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5ddf58ac0749b5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INTER-OFFICE MEMORANDUM</w:t>
      </w:r>
    </w:p>
    <w:p/>
    <w:p>
      <w:r>
        <w:t>TO:</w:t>
      </w:r>
      <w:r>
        <w:tab/>
      </w:r>
      <w:r>
        <w:t xml:space="preserve">{{DivisionHeadName}}, Division Head, Right of Way Division</w:t>
      </w:r>
    </w:p>
    <w:p>
      <w:r>
        <w:t xml:space="preserve">Attn: {{RowSectionHeadName}}, Section Head, Administrative Section</w:t>
      </w:r>
    </w:p>
    <w:p/>
    <w:p>
      <w:r>
        <w:t>FROM:</w:t>
      </w:r>
      <w:r>
        <w:tab/>
      </w:r>
      <w:r>
        <w:t xml:space="preserve">{{ChiefLegalCounselName}}, Chief Legal Counsel</w:t>
      </w:r>
    </w:p>
    <w:p>
      <w:r>
        <w:t xml:space="preserve">By: {{AttorneyName}}, Staff Attorney</w:t>
      </w:r>
    </w:p>
    <w:p/>
    <w:p>
      <w:r>
        <w:t>DATE:</w:t>
      </w:r>
      <w:r>
        <w:tab/>
      </w:r>
      <w:r>
        <w:t xml:space="preserve">{{MemoDate}}</w:t>
      </w:r>
    </w:p>
    <w:p/>
    <w:p>
      <w:r>
        <w:t>SUBJECT:</w:t>
      </w:r>
      <w:r>
        <w:tab/>
      </w:r>
      <w:r>
        <w:t xml:space="preserve">ASHC v. {{DefendantNames}}, et al.</w:t>
      </w:r>
    </w:p>
    <w:p>
      <w:r>
        <w:t xml:space="preserve">Case No. {{CaseNumber}}</w:t>
      </w:r>
    </w:p>
    <w:p>
      <w:r>
        <w:t xml:space="preserve">Job No. {{JobNumber}}, Tract No. {{Tract}}</w:t>
      </w:r>
    </w:p>
    <w:p>
      <w:r>
        <w:t xml:space="preserve">{{ProjectName}}</w:t>
      </w:r>
    </w:p>
    <w:p/>
    <w:p/>
    <w:p>
      <w:pPr>
        <w:jc w:val="center"/>
      </w:pPr>
      <w:r>
        <w:rPr>
          <w:b/>
        </w:rPr>
        <w:t>JUSTIFICATION FOR SETTLEMENT</w:t>
      </w:r>
    </w:p>
    <w:p/>
    <w:p>
      <w:r>
        <w:t xml:space="preserve">This condemnation was filed on {{FilingDate}}, for the purposes of constructing and maintaining highway facilities on {{ProjectName}}, in connection with Job No. {{JobNumber}}, which involved the acquisition of Tract {{Tract}}. The whole existing property was {{WholePropertyAcres}} acres, more or less. The property is {{PropertyDescription}}. A total of {{AcquisitionAcres}} acres, more or less, was acquired by the ASHC. {{TCEDescription}}</w:t>
      </w:r>
    </w:p>
    <w:p/>
    <w:p>
      <w:r>
        <w:t xml:space="preserve">ARDOT prepared a before-and-after appraisal that valued the total acquisition at ${{OurAppraisalTotal}}. The land was valued at ${{OurAppraisalLandBefore}} (${{OurAppraisalPerSfBefore}}/sf) before the acquisition and ${{OurAppraisalLandAfter}} (${{OurAppraisalPerSfAfter}}/sf) after the acquisition, based on comparable sales. Defendants obtained an appraisal for the amount of ${{DefendantAppraisalTotal}}, an additional ${{DefendantAppraisalAboveDeposit}} above the initial deposit. Defendants' appraisal also valued the land much higher than the value given by the ARDOT appraisal. The property was valued at ${{DefendantAppraisalLandBefore}} (${{DefendantAppraisalPerSfBefore}}/sf) before the acquisition and ${{DefendantAppraisalLandAfter}} (${{DefendantAppraisalPerSfAfter}}/sf) after the acquisition, based on comparable sales. Both appraisals found that the property had a highest and best use of {{HighestAndBestUse}}.</w:t>
      </w:r>
    </w:p>
    <w:p/>
    <w:p>
      <w:r>
        <w:t xml:space="preserve">Based on the valuation proffered by Defendants' appraisal, a proposal by ASHC of ${{ASHCOfferAmount}} was made on {{ASHCOfferDate}}. An adjustment of ${{FeeAdjustmentAmount}} was made on the initial offer to account for expenses and attorney's fees. As the total amount of ${{ASHCOfferAmount}} does not equal at least 20% above the initial deposit, it would not trigger the automatic statutory award of attorney's fees if such an award were made at trial.</w:t>
      </w:r>
    </w:p>
    <w:p/>
    <w:p>
      <w:r>
        <w:t xml:space="preserve">On {{CounterofferDate}}, Defendants made a counteroffer in the amount of ${{CounterofferAmount}}. Settlement for the sum of ${{SettlementAmount}} is reasonable. Potential risk of taking the matter to trial could result in total fees of ${{TrialFeeLow}}-${{TrialFeeHigh}} on a ${{SettlementAmount}} judgment. This does not include trial costs and fees that would be incurred by the ASHC. I recommend that the offer be accepted and submit the following in support of the recommendation:</w:t>
      </w:r>
    </w:p>
    <w:p/>
    <w:p>
      <w:r>
        <w:t xml:space="preserve">The cost of further litigation will be avoided by the acceptance of the landowner's offer. The cost of a trial has been estimated by the 2020 Legal Trends Report (updated 2021) to exceed the sum of $20,000.00, plus attorney's fees.</w:t>
      </w:r>
    </w:p>
    <w:p/>
    <w:p>
      <w:r>
        <w:t xml:space="preserve">Ark. Code Ann. § 27-67-317 mandates the awarding of defendants' attorney's fees, costs and appraisal fees when the amount of the judgment exceeds 20% or more of the deposit.</w:t>
      </w:r>
    </w:p>
    <w:p/>
    <w:p>
      <w:r>
        <w:t xml:space="preserve">The amount of the proposed settlement will not bear interest from the date of the taking until just compensation is paid. A jury verdict in excess of the deposit would bear interest from the date of taking until just compensation is paid. See Ark. Code Ann. § 27-67-316(e).</w:t>
      </w:r>
    </w:p>
    <w:p/>
    <w:p/>
    <w:p>
      <w:r>
        <w:t xml:space="preserve">_____________________________</w:t>
      </w:r>
    </w:p>
    <w:p>
      <w:r>
        <w:t xml:space="preserve">{{AttorneyName}}</w:t>
      </w:r>
    </w:p>
    <w:p/>
    <w:p/>
    <w:p>
      <w:r>
        <w:rPr>
          <w:b/>
        </w:rPr>
        <w:t>APPROVED:</w:t>
      </w:r>
    </w:p>
    <w:p>
      <w:r>
        <w:t xml:space="preserve">{{ChiefLegalCounselName}}, Chief Legal Counsel</w:t>
      </w:r>
    </w:p>
  </w:body>
</w:document>
</file>