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4A2E"/>
          <w:sz w:val="36"/>
        </w:rPr>
        <w:t>MINAGRI</w:t>
      </w:r>
    </w:p>
    <w:p>
      <w:pPr>
        <w:jc w:val="center"/>
      </w:pPr>
      <w:r>
        <w:rPr>
          <w:b/>
          <w:color w:val="0B4A2E"/>
          <w:sz w:val="60"/>
        </w:rPr>
        <w:t>DATA INTELLIGENCE PLATFORM</w:t>
      </w:r>
    </w:p>
    <w:p>
      <w:pPr>
        <w:jc w:val="center"/>
      </w:pPr>
      <w:r>
        <w:rPr>
          <w:i/>
          <w:color w:val="64748B"/>
          <w:sz w:val="30"/>
        </w:rPr>
        <w:t>From raw agricultural data to trusted, decision-ready intelligence</w:t>
      </w:r>
    </w:p>
    <w:tbl>
      <w:tblPr>
        <w:tblW w:type="auto" w:w="0"/>
        <w:jc w:val="center"/>
        <w:tblLook w:firstColumn="1" w:firstRow="1" w:lastColumn="0" w:lastRow="0" w:noHBand="0" w:noVBand="1" w:val="04A0"/>
      </w:tblPr>
      <w:tblGrid>
        <w:gridCol w:w="10080"/>
      </w:tblGrid>
      <w:tr>
        <w:tc>
          <w:tcPr>
            <w:tcW w:type="dxa" w:w="10080"/>
            <w:shd w:fill="E8FBE6"/>
            <w:vAlign w:val="center"/>
          </w:tcPr>
          <w:p>
            <w:pPr>
              <w:spacing w:after="60"/>
              <w:jc w:val="center"/>
            </w:pPr>
            <w:r>
              <w:rPr>
                <w:b/>
                <w:color w:val="0B4A2E"/>
                <w:sz w:val="19"/>
              </w:rPr>
              <w:t>UPLOAD  →  STANDARDIZE  →  VALIDATE  →  AI ANALYZE  →  REVIEW  →  TRUSTED DATA  →  INSIGHTS</w:t>
            </w:r>
          </w:p>
        </w:tc>
      </w:tr>
    </w:tbl>
    <w:p/>
    <w:p>
      <w:pPr>
        <w:jc w:val="center"/>
      </w:pPr>
      <w:r>
        <w:rPr>
          <w:b/>
        </w:rPr>
        <w:t>Solution &amp; Technical Concept Document</w:t>
        <w:br/>
      </w:r>
      <w:r>
        <w:t>Prototype focus: Rwanda eSoko agricultural price data</w:t>
        <w:br/>
      </w:r>
      <w:r>
        <w:t>Snapshot used for the prototype: 28 September 2026</w:t>
        <w:br/>
      </w:r>
      <w:r>
        <w:rPr>
          <w:color w:val="64748B"/>
        </w:rPr>
        <w:t>Prepared for: MINAGRI / Agricultural Data Innovation Demonstration</w:t>
      </w:r>
    </w:p>
    <w:p>
      <w:r>
        <w:br w:type="page"/>
      </w:r>
    </w:p>
    <w:p>
      <w:pPr>
        <w:pStyle w:val="Heading1"/>
        <w:keepNext/>
      </w:pPr>
      <w:r>
        <w:t>1. Executive Summary</w:t>
      </w:r>
    </w:p>
    <w:p>
      <w:r>
        <w:t>The MINAGRI Data Intelligence Platform is an AI-assisted agricultural data quality and intelligence solution designed to transform raw, inconsistent, and heterogeneous agricultural data into clean, validated, explainable, and decision-ready information. The platform introduces an intelligent trust layer between data collection systems such as eSoko and the dashboards or analytical tools used by decision-makers.</w:t>
      </w:r>
    </w:p>
    <w:p>
      <w:r>
        <w:t>The core idea is simple: instead of requiring agricultural officers to manually inspect every record, the platform automatically profiles incoming datasets, standardizes fields, detects duplicates and inconsistencies, matches commodity and market names, identifies unusual price observations, checks agricultural business rules, and sends only the records requiring human attention to a focused Review Center.</w:t>
      </w:r>
    </w:p>
    <w:p>
      <w:r>
        <w:t>The prototype is designed around a one-day Rwanda eSoko price snapshot dated 28 September 2026. The analysis set contains a catalog of 134 commodities, 67 markets across 29 districts, five provinces, and 366 farm-gate, 365 wholesale, and 365 retail price records. The snapshot is used to demonstrate data quality, anomaly detection, entity matching, market coverage, and price-ladder intelligence. Because the source is a single day, the prototype deliberately avoids claiming seasonal forecasting or inflation trends.</w:t>
      </w:r>
    </w:p>
    <w:p>
      <w:pPr>
        <w:pStyle w:val="Callout"/>
      </w:pPr>
      <w:r>
        <w:rPr>
          <w:b/>
        </w:rPr>
        <w:t xml:space="preserve">Core proposition: </w:t>
      </w:r>
      <w:r>
        <w:t>AI handles the volume of data-quality work; humans retain control over important decisions.</w:t>
      </w:r>
    </w:p>
    <w:p>
      <w:pPr>
        <w:pStyle w:val="Heading1"/>
        <w:keepNext/>
      </w:pPr>
      <w:r>
        <w:t>2. Problem Statement</w:t>
      </w:r>
    </w:p>
    <w:p>
      <w:r>
        <w:t>Agricultural data is valuable only when users can understand its provenance, consistency, coverage, and reliability. Data arriving from markets, enumerators, catalogs, spreadsheets, and other systems can contain different naming conventions, missing fields, duplicates, inconsistent geography, invalid values, and unusual observations.</w:t>
      </w:r>
    </w:p>
    <w:p>
      <w:r>
        <w:t>The platform addresses six practical problems:</w:t>
      </w:r>
    </w:p>
    <w:p>
      <w:pPr>
        <w:pStyle w:val="ListBullet"/>
      </w:pPr>
      <w:r>
        <w:rPr>
          <w:b/>
        </w:rPr>
        <w:t xml:space="preserve">Inconsistent names: </w:t>
      </w:r>
      <w:r>
        <w:t>The same commodity or market may appear under different spellings, languages, abbreviations, or naming conventions.</w:t>
      </w:r>
    </w:p>
    <w:p>
      <w:pPr>
        <w:pStyle w:val="ListBullet"/>
      </w:pPr>
      <w:r>
        <w:rPr>
          <w:b/>
        </w:rPr>
        <w:t xml:space="preserve">Duplicate records: </w:t>
      </w:r>
      <w:r>
        <w:t>The same observation can appear more than once, creating inflated counts and misleading summaries.</w:t>
      </w:r>
    </w:p>
    <w:p>
      <w:pPr>
        <w:pStyle w:val="ListBullet"/>
      </w:pPr>
      <w:r>
        <w:rPr>
          <w:b/>
        </w:rPr>
        <w:t xml:space="preserve">Anomalous values: </w:t>
      </w:r>
      <w:r>
        <w:t>A price can be unusually high or low compared with comparable observations.</w:t>
      </w:r>
    </w:p>
    <w:p>
      <w:pPr>
        <w:pStyle w:val="ListBullet"/>
      </w:pPr>
      <w:r>
        <w:rPr>
          <w:b/>
        </w:rPr>
        <w:t xml:space="preserve">Incomplete coverage: </w:t>
      </w:r>
      <w:r>
        <w:t>A missing market or province can be mistaken for zero activity if absence is not explicitly represented.</w:t>
      </w:r>
    </w:p>
    <w:p>
      <w:pPr>
        <w:pStyle w:val="ListBullet"/>
      </w:pPr>
      <w:r>
        <w:rPr>
          <w:b/>
        </w:rPr>
        <w:t xml:space="preserve">Business-rule conflicts: </w:t>
      </w:r>
      <w:r>
        <w:t>Agricultural relationships such as farm-gate ≤ wholesale ≤ retail can be violated by data-entry or source errors.</w:t>
      </w:r>
    </w:p>
    <w:p>
      <w:pPr>
        <w:pStyle w:val="ListBullet"/>
      </w:pPr>
      <w:r>
        <w:rPr>
          <w:b/>
        </w:rPr>
        <w:t xml:space="preserve">Low explainability: </w:t>
      </w:r>
      <w:r>
        <w:t>A dashboard can display numbers without showing how the data was cleaned or why an observation was flagged.</w:t>
      </w:r>
    </w:p>
    <w:p>
      <w:pPr>
        <w:pStyle w:val="Heading1"/>
        <w:keepNext/>
      </w:pPr>
      <w:r>
        <w:t>3. Solution Concept</w:t>
      </w:r>
    </w:p>
    <w:p>
      <w:r>
        <w:t>The platform acts as a reusable data trust and intelligence layer. A user uploads a dataset, and the platform automatically builds a profile of the data. It then performs deterministic validation and standardization, statistical analysis, machine-learning anomaly detection, semantic entity matching, and domain-specific agricultural checks.</w:t>
      </w:r>
    </w:p>
    <w:p>
      <w:pPr>
        <w:pStyle w:val="ListNumber"/>
      </w:pPr>
      <w:r>
        <w:rPr>
          <w:b/>
        </w:rPr>
        <w:t xml:space="preserve">1. Ingest — </w:t>
      </w:r>
      <w:r>
        <w:t>Upload CSV/XLSX or receive structured data from an integrated source.</w:t>
      </w:r>
    </w:p>
    <w:p>
      <w:pPr>
        <w:pStyle w:val="ListNumber"/>
      </w:pPr>
      <w:r>
        <w:rPr>
          <w:b/>
        </w:rPr>
        <w:t xml:space="preserve">2. Profile — </w:t>
      </w:r>
      <w:r>
        <w:t>Identify columns, data types, missingness, unique values, ranges, and relationships.</w:t>
      </w:r>
    </w:p>
    <w:p>
      <w:pPr>
        <w:pStyle w:val="ListNumber"/>
      </w:pPr>
      <w:r>
        <w:rPr>
          <w:b/>
        </w:rPr>
        <w:t xml:space="preserve">3. Standardize — </w:t>
      </w:r>
      <w:r>
        <w:t>Normalize names, dates, units, whitespace, casing, and known reference values.</w:t>
      </w:r>
    </w:p>
    <w:p>
      <w:pPr>
        <w:pStyle w:val="ListNumber"/>
      </w:pPr>
      <w:r>
        <w:rPr>
          <w:b/>
        </w:rPr>
        <w:t xml:space="preserve">4. Validate — </w:t>
      </w:r>
      <w:r>
        <w:t>Check required fields, data types, ranges, identifiers, geography, and domain rules.</w:t>
      </w:r>
    </w:p>
    <w:p>
      <w:pPr>
        <w:pStyle w:val="ListNumber"/>
      </w:pPr>
      <w:r>
        <w:rPr>
          <w:b/>
        </w:rPr>
        <w:t xml:space="preserve">5. Deduplicate — </w:t>
      </w:r>
      <w:r>
        <w:t>Identify exact and near-duplicate records without silently deleting evidence.</w:t>
      </w:r>
    </w:p>
    <w:p>
      <w:pPr>
        <w:pStyle w:val="ListNumber"/>
      </w:pPr>
      <w:r>
        <w:rPr>
          <w:b/>
        </w:rPr>
        <w:t xml:space="preserve">6. AI Analysis — </w:t>
      </w:r>
      <w:r>
        <w:t>Detect anomalies and match entities using statistical, ML, and semantic methods.</w:t>
      </w:r>
    </w:p>
    <w:p>
      <w:pPr>
        <w:pStyle w:val="ListNumber"/>
      </w:pPr>
      <w:r>
        <w:rPr>
          <w:b/>
        </w:rPr>
        <w:t xml:space="preserve">7. Review — </w:t>
      </w:r>
      <w:r>
        <w:t>Present explainable issues to a human reviewer with confidence and evidence.</w:t>
      </w:r>
    </w:p>
    <w:p>
      <w:pPr>
        <w:pStyle w:val="ListNumber"/>
      </w:pPr>
      <w:r>
        <w:rPr>
          <w:b/>
        </w:rPr>
        <w:t xml:space="preserve">8. Trust — </w:t>
      </w:r>
      <w:r>
        <w:t>Produce a versioned trusted dataset while preserving the raw source.</w:t>
      </w:r>
    </w:p>
    <w:p>
      <w:pPr>
        <w:pStyle w:val="ListNumber"/>
      </w:pPr>
      <w:r>
        <w:rPr>
          <w:b/>
        </w:rPr>
        <w:t xml:space="preserve">9. Insights — </w:t>
      </w:r>
      <w:r>
        <w:t>Provide market, commodity, price, and data-quality intelligence.</w:t>
      </w:r>
    </w:p>
    <w:p>
      <w:pPr>
        <w:pStyle w:val="Heading1"/>
        <w:keepNext/>
      </w:pPr>
      <w:r>
        <w:t>4. High-Level Architecture</w:t>
      </w:r>
    </w:p>
    <w:p>
      <w:r>
        <w:t>The architecture should separate the user experience, orchestration/API layer, data-processing engine, AI engine, persistence layer, and visualization layer. This allows the prototype to remain understandable while providing a path to production.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4A2E"/>
            <w:vAlign w:val="center"/>
          </w:tcPr>
          <w:p>
            <w:pPr>
              <w:spacing w:after="60"/>
            </w:pPr>
            <w:r>
              <w:rPr>
                <w:b/>
                <w:color w:val="FFFFFF"/>
                <w:sz w:val="19"/>
              </w:rPr>
              <w:t>Layer</w:t>
            </w:r>
          </w:p>
        </w:tc>
        <w:tc>
          <w:tcPr>
            <w:tcW w:type="dxa" w:w="3360"/>
            <w:shd w:fill="0B4A2E"/>
            <w:vAlign w:val="center"/>
          </w:tcPr>
          <w:p>
            <w:pPr>
              <w:spacing w:after="60"/>
            </w:pPr>
            <w:r>
              <w:rPr>
                <w:b/>
                <w:color w:val="FFFFFF"/>
                <w:sz w:val="19"/>
              </w:rPr>
              <w:t>Suggested technology</w:t>
            </w:r>
          </w:p>
        </w:tc>
        <w:tc>
          <w:tcPr>
            <w:tcW w:type="dxa" w:w="3360"/>
            <w:shd w:fill="0B4A2E"/>
            <w:vAlign w:val="center"/>
          </w:tcPr>
          <w:p>
            <w:pPr>
              <w:spacing w:after="60"/>
            </w:pPr>
            <w:r>
              <w:rPr>
                <w:b/>
                <w:color w:val="FFFFFF"/>
                <w:sz w:val="19"/>
              </w:rPr>
              <w:t>Purpose</w:t>
            </w:r>
          </w:p>
        </w:tc>
      </w:tr>
      <w:tr>
        <w:tc>
          <w:tcPr>
            <w:tcW w:type="dxa" w:w="3360"/>
            <w:vAlign w:val="center"/>
          </w:tcPr>
          <w:p>
            <w:pPr>
              <w:spacing w:after="60"/>
            </w:pPr>
            <w:r>
              <w:rPr>
                <w:sz w:val="19"/>
              </w:rPr>
              <w:t>Frontend</w:t>
            </w:r>
          </w:p>
        </w:tc>
        <w:tc>
          <w:tcPr>
            <w:tcW w:type="dxa" w:w="3360"/>
            <w:vAlign w:val="center"/>
          </w:tcPr>
          <w:p>
            <w:pPr>
              <w:spacing w:after="60"/>
            </w:pPr>
            <w:r>
              <w:rPr>
                <w:sz w:val="19"/>
              </w:rPr>
              <w:t>React/TypeScript/Tailwind or the existing frontend stack</w:t>
            </w:r>
          </w:p>
        </w:tc>
        <w:tc>
          <w:tcPr>
            <w:tcW w:type="dxa" w:w="3360"/>
            <w:vAlign w:val="center"/>
          </w:tcPr>
          <w:p>
            <w:pPr>
              <w:spacing w:after="60"/>
            </w:pPr>
            <w:r>
              <w:rPr>
                <w:sz w:val="19"/>
              </w:rPr>
              <w:t>Dashboard, upload, quality, review, trusted data, insights.</w:t>
            </w:r>
          </w:p>
        </w:tc>
      </w:tr>
      <w:tr>
        <w:tc>
          <w:tcPr>
            <w:tcW w:type="dxa" w:w="3360"/>
            <w:vAlign w:val="center"/>
          </w:tcPr>
          <w:p>
            <w:pPr>
              <w:spacing w:after="60"/>
            </w:pPr>
            <w:r>
              <w:rPr>
                <w:sz w:val="19"/>
              </w:rPr>
              <w:t>API / Orchestration</w:t>
            </w:r>
          </w:p>
        </w:tc>
        <w:tc>
          <w:tcPr>
            <w:tcW w:type="dxa" w:w="3360"/>
            <w:vAlign w:val="center"/>
          </w:tcPr>
          <w:p>
            <w:pPr>
              <w:spacing w:after="60"/>
            </w:pPr>
            <w:r>
              <w:rPr>
                <w:sz w:val="19"/>
              </w:rPr>
              <w:t>Node.js/TypeScript or existing backend</w:t>
            </w:r>
          </w:p>
        </w:tc>
        <w:tc>
          <w:tcPr>
            <w:tcW w:type="dxa" w:w="3360"/>
            <w:vAlign w:val="center"/>
          </w:tcPr>
          <w:p>
            <w:pPr>
              <w:spacing w:after="60"/>
            </w:pPr>
            <w:r>
              <w:rPr>
                <w:sz w:val="19"/>
              </w:rPr>
              <w:t>Authentication, dataset jobs, review actions, API contracts, audit events.</w:t>
            </w:r>
          </w:p>
        </w:tc>
      </w:tr>
      <w:tr>
        <w:tc>
          <w:tcPr>
            <w:tcW w:type="dxa" w:w="3360"/>
            <w:vAlign w:val="center"/>
          </w:tcPr>
          <w:p>
            <w:pPr>
              <w:spacing w:after="60"/>
            </w:pPr>
            <w:r>
              <w:rPr>
                <w:sz w:val="19"/>
              </w:rPr>
              <w:t>Data Engine</w:t>
            </w:r>
          </w:p>
        </w:tc>
        <w:tc>
          <w:tcPr>
            <w:tcW w:type="dxa" w:w="3360"/>
            <w:vAlign w:val="center"/>
          </w:tcPr>
          <w:p>
            <w:pPr>
              <w:spacing w:after="60"/>
            </w:pPr>
            <w:r>
              <w:rPr>
                <w:sz w:val="19"/>
              </w:rPr>
              <w:t>Python + Pandas</w:t>
            </w:r>
          </w:p>
        </w:tc>
        <w:tc>
          <w:tcPr>
            <w:tcW w:type="dxa" w:w="3360"/>
            <w:vAlign w:val="center"/>
          </w:tcPr>
          <w:p>
            <w:pPr>
              <w:spacing w:after="60"/>
            </w:pPr>
            <w:r>
              <w:rPr>
                <w:sz w:val="19"/>
              </w:rPr>
              <w:t>Profiling, cleaning, standardization, validation, feature creation.</w:t>
            </w:r>
          </w:p>
        </w:tc>
      </w:tr>
      <w:tr>
        <w:tc>
          <w:tcPr>
            <w:tcW w:type="dxa" w:w="3360"/>
            <w:vAlign w:val="center"/>
          </w:tcPr>
          <w:p>
            <w:pPr>
              <w:spacing w:after="60"/>
            </w:pPr>
            <w:r>
              <w:rPr>
                <w:sz w:val="19"/>
              </w:rPr>
              <w:t>AI Engine</w:t>
            </w:r>
          </w:p>
        </w:tc>
        <w:tc>
          <w:tcPr>
            <w:tcW w:type="dxa" w:w="3360"/>
            <w:vAlign w:val="center"/>
          </w:tcPr>
          <w:p>
            <w:pPr>
              <w:spacing w:after="60"/>
            </w:pPr>
            <w:r>
              <w:rPr>
                <w:sz w:val="19"/>
              </w:rPr>
              <w:t>scikit-learn + RapidFuzz + Sentence Transformers</w:t>
            </w:r>
          </w:p>
        </w:tc>
        <w:tc>
          <w:tcPr>
            <w:tcW w:type="dxa" w:w="3360"/>
            <w:vAlign w:val="center"/>
          </w:tcPr>
          <w:p>
            <w:pPr>
              <w:spacing w:after="60"/>
            </w:pPr>
            <w:r>
              <w:rPr>
                <w:sz w:val="19"/>
              </w:rPr>
              <w:t>Anomaly detection, fuzzy matching, semantic matching.</w:t>
            </w:r>
          </w:p>
        </w:tc>
      </w:tr>
      <w:tr>
        <w:tc>
          <w:tcPr>
            <w:tcW w:type="dxa" w:w="3360"/>
            <w:vAlign w:val="center"/>
          </w:tcPr>
          <w:p>
            <w:pPr>
              <w:spacing w:after="60"/>
            </w:pPr>
            <w:r>
              <w:rPr>
                <w:sz w:val="19"/>
              </w:rPr>
              <w:t>Database</w:t>
            </w:r>
          </w:p>
        </w:tc>
        <w:tc>
          <w:tcPr>
            <w:tcW w:type="dxa" w:w="3360"/>
            <w:vAlign w:val="center"/>
          </w:tcPr>
          <w:p>
            <w:pPr>
              <w:spacing w:after="60"/>
            </w:pPr>
            <w:r>
              <w:rPr>
                <w:sz w:val="19"/>
              </w:rPr>
              <w:t>Existing project database / PostgreSQL or MySQL as appropriate</w:t>
            </w:r>
          </w:p>
        </w:tc>
        <w:tc>
          <w:tcPr>
            <w:tcW w:type="dxa" w:w="3360"/>
            <w:vAlign w:val="center"/>
          </w:tcPr>
          <w:p>
            <w:pPr>
              <w:spacing w:after="60"/>
            </w:pPr>
            <w:r>
              <w:rPr>
                <w:sz w:val="19"/>
              </w:rPr>
              <w:t>Datasets, records, issue states, reference catalogs, audit trail.</w:t>
            </w:r>
          </w:p>
        </w:tc>
      </w:tr>
      <w:tr>
        <w:tc>
          <w:tcPr>
            <w:tcW w:type="dxa" w:w="3360"/>
            <w:vAlign w:val="center"/>
          </w:tcPr>
          <w:p>
            <w:pPr>
              <w:spacing w:after="60"/>
            </w:pPr>
            <w:r>
              <w:rPr>
                <w:sz w:val="19"/>
              </w:rPr>
              <w:t>File Storage</w:t>
            </w:r>
          </w:p>
        </w:tc>
        <w:tc>
          <w:tcPr>
            <w:tcW w:type="dxa" w:w="3360"/>
            <w:vAlign w:val="center"/>
          </w:tcPr>
          <w:p>
            <w:pPr>
              <w:spacing w:after="60"/>
            </w:pPr>
            <w:r>
              <w:rPr>
                <w:sz w:val="19"/>
              </w:rPr>
              <w:t>Existing object/file storage</w:t>
            </w:r>
          </w:p>
        </w:tc>
        <w:tc>
          <w:tcPr>
            <w:tcW w:type="dxa" w:w="3360"/>
            <w:vAlign w:val="center"/>
          </w:tcPr>
          <w:p>
            <w:pPr>
              <w:spacing w:after="60"/>
            </w:pPr>
            <w:r>
              <w:rPr>
                <w:sz w:val="19"/>
              </w:rPr>
              <w:t>Raw uploads and exported trusted datasets.</w:t>
            </w:r>
          </w:p>
        </w:tc>
      </w:tr>
      <w:tr>
        <w:tc>
          <w:tcPr>
            <w:tcW w:type="dxa" w:w="3360"/>
            <w:vAlign w:val="center"/>
          </w:tcPr>
          <w:p>
            <w:pPr>
              <w:spacing w:after="60"/>
            </w:pPr>
            <w:r>
              <w:rPr>
                <w:sz w:val="19"/>
              </w:rPr>
              <w:t>Visualization</w:t>
            </w:r>
          </w:p>
        </w:tc>
        <w:tc>
          <w:tcPr>
            <w:tcW w:type="dxa" w:w="3360"/>
            <w:vAlign w:val="center"/>
          </w:tcPr>
          <w:p>
            <w:pPr>
              <w:spacing w:after="60"/>
            </w:pPr>
            <w:r>
              <w:rPr>
                <w:sz w:val="19"/>
              </w:rPr>
              <w:t>Existing chart library</w:t>
            </w:r>
          </w:p>
        </w:tc>
        <w:tc>
          <w:tcPr>
            <w:tcW w:type="dxa" w:w="3360"/>
            <w:vAlign w:val="center"/>
          </w:tcPr>
          <w:p>
            <w:pPr>
              <w:spacing w:after="60"/>
            </w:pPr>
            <w:r>
              <w:rPr>
                <w:sz w:val="19"/>
              </w:rPr>
              <w:t>Price trends, market comparisons, coverage, quality indicators.</w:t>
            </w:r>
          </w:p>
        </w:tc>
      </w:tr>
    </w:tbl>
    <w:p/>
    <w:p>
      <w:pPr>
        <w:pStyle w:val="Callout"/>
      </w:pPr>
      <w:r>
        <w:rPr>
          <w:b/>
        </w:rPr>
        <w:t xml:space="preserve">Architecture principle: </w:t>
      </w:r>
      <w:r>
        <w:t>Do not replace the existing working demo stack unless there is a concrete technical reason. Integrate the intelligence layer into the current product.</w:t>
      </w:r>
    </w:p>
    <w:p>
      <w:pPr>
        <w:pStyle w:val="Heading1"/>
        <w:keepNext/>
      </w:pPr>
      <w:r>
        <w:t>5. AI Engine</w:t>
      </w:r>
    </w:p>
    <w:p>
      <w:r>
        <w:t>The solution uses a hybrid intelligence architecture rather than a single large model. This is intentional: agricultural data quality requires deterministic checks for known rules, statistics for unusual values, machine learning for multivariate outliers, and semantic models for names and entities.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4A2E"/>
            <w:vAlign w:val="center"/>
          </w:tcPr>
          <w:p>
            <w:pPr>
              <w:spacing w:after="60"/>
            </w:pPr>
            <w:r>
              <w:rPr>
                <w:b/>
                <w:color w:val="FFFFFF"/>
                <w:sz w:val="19"/>
              </w:rPr>
              <w:t>Capability</w:t>
            </w:r>
          </w:p>
        </w:tc>
        <w:tc>
          <w:tcPr>
            <w:tcW w:type="dxa" w:w="2520"/>
            <w:shd w:fill="0B4A2E"/>
            <w:vAlign w:val="center"/>
          </w:tcPr>
          <w:p>
            <w:pPr>
              <w:spacing w:after="60"/>
            </w:pPr>
            <w:r>
              <w:rPr>
                <w:b/>
                <w:color w:val="FFFFFF"/>
                <w:sz w:val="19"/>
              </w:rPr>
              <w:t>Method</w:t>
            </w:r>
          </w:p>
        </w:tc>
        <w:tc>
          <w:tcPr>
            <w:tcW w:type="dxa" w:w="2520"/>
            <w:shd w:fill="0B4A2E"/>
            <w:vAlign w:val="center"/>
          </w:tcPr>
          <w:p>
            <w:pPr>
              <w:spacing w:after="60"/>
            </w:pPr>
            <w:r>
              <w:rPr>
                <w:b/>
                <w:color w:val="FFFFFF"/>
                <w:sz w:val="19"/>
              </w:rPr>
              <w:t>Input</w:t>
            </w:r>
          </w:p>
        </w:tc>
        <w:tc>
          <w:tcPr>
            <w:tcW w:type="dxa" w:w="2520"/>
            <w:shd w:fill="0B4A2E"/>
            <w:vAlign w:val="center"/>
          </w:tcPr>
          <w:p>
            <w:pPr>
              <w:spacing w:after="60"/>
            </w:pPr>
            <w:r>
              <w:rPr>
                <w:b/>
                <w:color w:val="FFFFFF"/>
                <w:sz w:val="19"/>
              </w:rPr>
              <w:t>Output</w:t>
            </w:r>
          </w:p>
        </w:tc>
      </w:tr>
      <w:tr>
        <w:tc>
          <w:tcPr>
            <w:tcW w:type="dxa" w:w="2520"/>
            <w:vAlign w:val="center"/>
          </w:tcPr>
          <w:p>
            <w:pPr>
              <w:spacing w:after="60"/>
            </w:pPr>
            <w:r>
              <w:rPr>
                <w:sz w:val="19"/>
              </w:rPr>
              <w:t>Rule validation</w:t>
            </w:r>
          </w:p>
        </w:tc>
        <w:tc>
          <w:tcPr>
            <w:tcW w:type="dxa" w:w="2520"/>
            <w:vAlign w:val="center"/>
          </w:tcPr>
          <w:p>
            <w:pPr>
              <w:spacing w:after="60"/>
            </w:pPr>
            <w:r>
              <w:rPr>
                <w:sz w:val="19"/>
              </w:rPr>
              <w:t>Deterministic rules</w:t>
            </w:r>
          </w:p>
        </w:tc>
        <w:tc>
          <w:tcPr>
            <w:tcW w:type="dxa" w:w="2520"/>
            <w:vAlign w:val="center"/>
          </w:tcPr>
          <w:p>
            <w:pPr>
              <w:spacing w:after="60"/>
            </w:pPr>
            <w:r>
              <w:rPr>
                <w:sz w:val="19"/>
              </w:rPr>
              <w:t>Schema, values, relationships</w:t>
            </w:r>
          </w:p>
        </w:tc>
        <w:tc>
          <w:tcPr>
            <w:tcW w:type="dxa" w:w="2520"/>
            <w:vAlign w:val="center"/>
          </w:tcPr>
          <w:p>
            <w:pPr>
              <w:spacing w:after="60"/>
            </w:pPr>
            <w:r>
              <w:rPr>
                <w:sz w:val="19"/>
              </w:rPr>
              <w:t>Pass/fail + explanation</w:t>
            </w:r>
          </w:p>
        </w:tc>
      </w:tr>
      <w:tr>
        <w:tc>
          <w:tcPr>
            <w:tcW w:type="dxa" w:w="2520"/>
            <w:vAlign w:val="center"/>
          </w:tcPr>
          <w:p>
            <w:pPr>
              <w:spacing w:after="60"/>
            </w:pPr>
            <w:r>
              <w:rPr>
                <w:sz w:val="19"/>
              </w:rPr>
              <w:t>Duplicate detection</w:t>
            </w:r>
          </w:p>
        </w:tc>
        <w:tc>
          <w:tcPr>
            <w:tcW w:type="dxa" w:w="2520"/>
            <w:vAlign w:val="center"/>
          </w:tcPr>
          <w:p>
            <w:pPr>
              <w:spacing w:after="60"/>
            </w:pPr>
            <w:r>
              <w:rPr>
                <w:sz w:val="19"/>
              </w:rPr>
              <w:t>Exact hash + similarity rules</w:t>
            </w:r>
          </w:p>
        </w:tc>
        <w:tc>
          <w:tcPr>
            <w:tcW w:type="dxa" w:w="2520"/>
            <w:vAlign w:val="center"/>
          </w:tcPr>
          <w:p>
            <w:pPr>
              <w:spacing w:after="60"/>
            </w:pPr>
            <w:r>
              <w:rPr>
                <w:sz w:val="19"/>
              </w:rPr>
              <w:t>Normalized records</w:t>
            </w:r>
          </w:p>
        </w:tc>
        <w:tc>
          <w:tcPr>
            <w:tcW w:type="dxa" w:w="2520"/>
            <w:vAlign w:val="center"/>
          </w:tcPr>
          <w:p>
            <w:pPr>
              <w:spacing w:after="60"/>
            </w:pPr>
            <w:r>
              <w:rPr>
                <w:sz w:val="19"/>
              </w:rPr>
              <w:t>Duplicate groups</w:t>
            </w:r>
          </w:p>
        </w:tc>
      </w:tr>
      <w:tr>
        <w:tc>
          <w:tcPr>
            <w:tcW w:type="dxa" w:w="2520"/>
            <w:vAlign w:val="center"/>
          </w:tcPr>
          <w:p>
            <w:pPr>
              <w:spacing w:after="60"/>
            </w:pPr>
            <w:r>
              <w:rPr>
                <w:sz w:val="19"/>
              </w:rPr>
              <w:t>Anomaly detection</w:t>
            </w:r>
          </w:p>
        </w:tc>
        <w:tc>
          <w:tcPr>
            <w:tcW w:type="dxa" w:w="2520"/>
            <w:vAlign w:val="center"/>
          </w:tcPr>
          <w:p>
            <w:pPr>
              <w:spacing w:after="60"/>
            </w:pPr>
            <w:r>
              <w:rPr>
                <w:sz w:val="19"/>
              </w:rPr>
              <w:t>IQR/robust statistics + Isolation Forest</w:t>
            </w:r>
          </w:p>
        </w:tc>
        <w:tc>
          <w:tcPr>
            <w:tcW w:type="dxa" w:w="2520"/>
            <w:vAlign w:val="center"/>
          </w:tcPr>
          <w:p>
            <w:pPr>
              <w:spacing w:after="60"/>
            </w:pPr>
            <w:r>
              <w:rPr>
                <w:sz w:val="19"/>
              </w:rPr>
              <w:t>Price and contextual features</w:t>
            </w:r>
          </w:p>
        </w:tc>
        <w:tc>
          <w:tcPr>
            <w:tcW w:type="dxa" w:w="2520"/>
            <w:vAlign w:val="center"/>
          </w:tcPr>
          <w:p>
            <w:pPr>
              <w:spacing w:after="60"/>
            </w:pPr>
            <w:r>
              <w:rPr>
                <w:sz w:val="19"/>
              </w:rPr>
              <w:t>Anomaly score + reason</w:t>
            </w:r>
          </w:p>
        </w:tc>
      </w:tr>
      <w:tr>
        <w:tc>
          <w:tcPr>
            <w:tcW w:type="dxa" w:w="2520"/>
            <w:vAlign w:val="center"/>
          </w:tcPr>
          <w:p>
            <w:pPr>
              <w:spacing w:after="60"/>
            </w:pPr>
            <w:r>
              <w:rPr>
                <w:sz w:val="19"/>
              </w:rPr>
              <w:t>Name matching</w:t>
            </w:r>
          </w:p>
        </w:tc>
        <w:tc>
          <w:tcPr>
            <w:tcW w:type="dxa" w:w="2520"/>
            <w:vAlign w:val="center"/>
          </w:tcPr>
          <w:p>
            <w:pPr>
              <w:spacing w:after="60"/>
            </w:pPr>
            <w:r>
              <w:rPr>
                <w:sz w:val="19"/>
              </w:rPr>
              <w:t>RapidFuzz</w:t>
            </w:r>
          </w:p>
        </w:tc>
        <w:tc>
          <w:tcPr>
            <w:tcW w:type="dxa" w:w="2520"/>
            <w:vAlign w:val="center"/>
          </w:tcPr>
          <w:p>
            <w:pPr>
              <w:spacing w:after="60"/>
            </w:pPr>
            <w:r>
              <w:rPr>
                <w:sz w:val="19"/>
              </w:rPr>
              <w:t>Raw vs catalog names</w:t>
            </w:r>
          </w:p>
        </w:tc>
        <w:tc>
          <w:tcPr>
            <w:tcW w:type="dxa" w:w="2520"/>
            <w:vAlign w:val="center"/>
          </w:tcPr>
          <w:p>
            <w:pPr>
              <w:spacing w:after="60"/>
            </w:pPr>
            <w:r>
              <w:rPr>
                <w:sz w:val="19"/>
              </w:rPr>
              <w:t>Similarity candidates</w:t>
            </w:r>
          </w:p>
        </w:tc>
      </w:tr>
      <w:tr>
        <w:tc>
          <w:tcPr>
            <w:tcW w:type="dxa" w:w="2520"/>
            <w:vAlign w:val="center"/>
          </w:tcPr>
          <w:p>
            <w:pPr>
              <w:spacing w:after="60"/>
            </w:pPr>
            <w:r>
              <w:rPr>
                <w:sz w:val="19"/>
              </w:rPr>
              <w:t>Semantic matching</w:t>
            </w:r>
          </w:p>
        </w:tc>
        <w:tc>
          <w:tcPr>
            <w:tcW w:type="dxa" w:w="2520"/>
            <w:vAlign w:val="center"/>
          </w:tcPr>
          <w:p>
            <w:pPr>
              <w:spacing w:after="60"/>
            </w:pPr>
            <w:r>
              <w:rPr>
                <w:sz w:val="19"/>
              </w:rPr>
              <w:t>Sentence Transformers / all-MiniLM-L6-v2</w:t>
            </w:r>
          </w:p>
        </w:tc>
        <w:tc>
          <w:tcPr>
            <w:tcW w:type="dxa" w:w="2520"/>
            <w:vAlign w:val="center"/>
          </w:tcPr>
          <w:p>
            <w:pPr>
              <w:spacing w:after="60"/>
            </w:pPr>
            <w:r>
              <w:rPr>
                <w:sz w:val="19"/>
              </w:rPr>
              <w:t>Commodity/market text</w:t>
            </w:r>
          </w:p>
        </w:tc>
        <w:tc>
          <w:tcPr>
            <w:tcW w:type="dxa" w:w="2520"/>
            <w:vAlign w:val="center"/>
          </w:tcPr>
          <w:p>
            <w:pPr>
              <w:spacing w:after="60"/>
            </w:pPr>
            <w:r>
              <w:rPr>
                <w:sz w:val="19"/>
              </w:rPr>
              <w:t>Semantic similarity</w:t>
            </w:r>
          </w:p>
        </w:tc>
      </w:tr>
      <w:tr>
        <w:tc>
          <w:tcPr>
            <w:tcW w:type="dxa" w:w="2520"/>
            <w:vAlign w:val="center"/>
          </w:tcPr>
          <w:p>
            <w:pPr>
              <w:spacing w:after="60"/>
            </w:pPr>
            <w:r>
              <w:rPr>
                <w:sz w:val="19"/>
              </w:rPr>
              <w:t>Quality scoring</w:t>
            </w:r>
          </w:p>
        </w:tc>
        <w:tc>
          <w:tcPr>
            <w:tcW w:type="dxa" w:w="2520"/>
            <w:vAlign w:val="center"/>
          </w:tcPr>
          <w:p>
            <w:pPr>
              <w:spacing w:after="60"/>
            </w:pPr>
            <w:r>
              <w:rPr>
                <w:sz w:val="19"/>
              </w:rPr>
              <w:t>Transparent weighted scoring</w:t>
            </w:r>
          </w:p>
        </w:tc>
        <w:tc>
          <w:tcPr>
            <w:tcW w:type="dxa" w:w="2520"/>
            <w:vAlign w:val="center"/>
          </w:tcPr>
          <w:p>
            <w:pPr>
              <w:spacing w:after="60"/>
            </w:pPr>
            <w:r>
              <w:rPr>
                <w:sz w:val="19"/>
              </w:rPr>
              <w:t>Completeness, validity, consistency, uniqueness, matching</w:t>
            </w:r>
          </w:p>
        </w:tc>
        <w:tc>
          <w:tcPr>
            <w:tcW w:type="dxa" w:w="2520"/>
            <w:vAlign w:val="center"/>
          </w:tcPr>
          <w:p>
            <w:pPr>
              <w:spacing w:after="60"/>
            </w:pPr>
            <w:r>
              <w:rPr>
                <w:sz w:val="19"/>
              </w:rPr>
              <w:t>Quality score</w:t>
            </w:r>
          </w:p>
        </w:tc>
      </w:tr>
      <w:tr>
        <w:tc>
          <w:tcPr>
            <w:tcW w:type="dxa" w:w="2520"/>
            <w:vAlign w:val="center"/>
          </w:tcPr>
          <w:p>
            <w:pPr>
              <w:spacing w:after="60"/>
            </w:pPr>
            <w:r>
              <w:rPr>
                <w:sz w:val="19"/>
              </w:rPr>
              <w:t>Explanation</w:t>
            </w:r>
          </w:p>
        </w:tc>
        <w:tc>
          <w:tcPr>
            <w:tcW w:type="dxa" w:w="2520"/>
            <w:vAlign w:val="center"/>
          </w:tcPr>
          <w:p>
            <w:pPr>
              <w:spacing w:after="60"/>
            </w:pPr>
            <w:r>
              <w:rPr>
                <w:sz w:val="19"/>
              </w:rPr>
              <w:t>Evidence-backed templates; optional LLM</w:t>
            </w:r>
          </w:p>
        </w:tc>
        <w:tc>
          <w:tcPr>
            <w:tcW w:type="dxa" w:w="2520"/>
            <w:vAlign w:val="center"/>
          </w:tcPr>
          <w:p>
            <w:pPr>
              <w:spacing w:after="60"/>
            </w:pPr>
            <w:r>
              <w:rPr>
                <w:sz w:val="19"/>
              </w:rPr>
              <w:t>Detected evidence</w:t>
            </w:r>
          </w:p>
        </w:tc>
        <w:tc>
          <w:tcPr>
            <w:tcW w:type="dxa" w:w="2520"/>
            <w:vAlign w:val="center"/>
          </w:tcPr>
          <w:p>
            <w:pPr>
              <w:spacing w:after="60"/>
            </w:pPr>
            <w:r>
              <w:rPr>
                <w:sz w:val="19"/>
              </w:rPr>
              <w:t>Human-readable explanation</w:t>
            </w:r>
          </w:p>
        </w:tc>
      </w:tr>
    </w:tbl>
    <w:p>
      <w:pPr>
        <w:pStyle w:val="Heading2"/>
        <w:keepNext/>
      </w:pPr>
      <w:r>
        <w:t>5.1 Anomaly Detection</w:t>
      </w:r>
    </w:p>
    <w:p>
      <w:r>
        <w:t>The prototype should combine robust statistical checks with Isolation Forest. Statistical checks are easy to explain and useful for commodity/market comparisons; Isolation Forest adds an ML-based outlier signal when multiple features are considered together.</w:t>
      </w:r>
    </w:p>
    <w:p>
      <w:r>
        <w:t>Potential features include:</w:t>
      </w:r>
    </w:p>
    <w:p>
      <w:pPr>
        <w:pStyle w:val="ListBullet"/>
      </w:pPr>
      <w:r>
        <w:t>price value</w:t>
      </w:r>
    </w:p>
    <w:p>
      <w:pPr>
        <w:pStyle w:val="ListBullet"/>
      </w:pPr>
      <w:r>
        <w:t>commodity median and dispersion</w:t>
      </w:r>
    </w:p>
    <w:p>
      <w:pPr>
        <w:pStyle w:val="ListBullet"/>
      </w:pPr>
      <w:r>
        <w:t>market median and dispersion</w:t>
      </w:r>
    </w:p>
    <w:p>
      <w:pPr>
        <w:pStyle w:val="ListBullet"/>
      </w:pPr>
      <w:r>
        <w:t>province-level statistics</w:t>
      </w:r>
    </w:p>
    <w:p>
      <w:pPr>
        <w:pStyle w:val="ListBullet"/>
      </w:pPr>
      <w:r>
        <w:t>farm-to-wholesale difference</w:t>
      </w:r>
    </w:p>
    <w:p>
      <w:pPr>
        <w:pStyle w:val="ListBullet"/>
      </w:pPr>
      <w:r>
        <w:t>wholesale-to-retail difference</w:t>
      </w:r>
    </w:p>
    <w:p>
      <w:pPr>
        <w:pStyle w:val="ListBullet"/>
      </w:pPr>
      <w:r>
        <w:t>farm-to-retail percentage change</w:t>
      </w:r>
    </w:p>
    <w:p>
      <w:pPr>
        <w:pStyle w:val="ListBullet"/>
      </w:pPr>
      <w:r>
        <w:t>unit type</w:t>
      </w:r>
    </w:p>
    <w:p>
      <w:pPr>
        <w:pStyle w:val="ListBullet"/>
      </w:pPr>
      <w:r>
        <w:t>commodity category</w:t>
      </w:r>
    </w:p>
    <w:p>
      <w:pPr>
        <w:pStyle w:val="Heading2"/>
        <w:keepNext/>
      </w:pPr>
      <w:r>
        <w:t>5.2 Entity Matching</w:t>
      </w:r>
    </w:p>
    <w:p>
      <w:r>
        <w:t>Entity matching should use a tiered strategy. Exact normalized matching is attempted first, followed by fuzzy matching. Semantic embeddings are used for ambiguous names. High-confidence matches can be suggested automatically, while uncertain matches are routed to human review.</w:t>
      </w:r>
    </w:p>
    <w:p>
      <w:pPr>
        <w:pStyle w:val="Heading2"/>
        <w:keepNext/>
      </w:pPr>
      <w:r>
        <w:t>5.3 Explainability</w:t>
      </w:r>
    </w:p>
    <w:p>
      <w:r>
        <w:t>Every AI finding should expose the evidence behind it. The UI should answer four questions:</w:t>
      </w:r>
    </w:p>
    <w:p>
      <w:pPr>
        <w:pStyle w:val="ListBullet"/>
      </w:pPr>
      <w:r>
        <w:t>WHAT was detected?</w:t>
      </w:r>
    </w:p>
    <w:p>
      <w:pPr>
        <w:pStyle w:val="ListBullet"/>
      </w:pPr>
      <w:r>
        <w:t>WHY was it flagged?</w:t>
      </w:r>
    </w:p>
    <w:p>
      <w:pPr>
        <w:pStyle w:val="ListBullet"/>
      </w:pPr>
      <w:r>
        <w:t>HOW CONFIDENT is the system?</w:t>
      </w:r>
    </w:p>
    <w:p>
      <w:pPr>
        <w:pStyle w:val="ListBullet"/>
      </w:pPr>
      <w:r>
        <w:t>WHAT ACTION can the reviewer take?</w:t>
      </w:r>
    </w:p>
    <w:p>
      <w:pPr>
        <w:pStyle w:val="Heading1"/>
        <w:keepNext/>
      </w:pPr>
      <w:r>
        <w:t>6. Prototype Dataset and Evidence Base</w:t>
      </w:r>
    </w:p>
    <w:p>
      <w:r>
        <w:t>The current prototype uses a one-day Rwanda eSoko price snapshot for 28 September 2026, alongside market and commodity catalogs. The dataset is appropriate for demonstrating data quality and cross-sectional price intelligence, but it is not a time series.</w:t>
      </w:r>
    </w:p>
    <w:tbl>
      <w:tblPr>
        <w:tblStyle w:val="TableGrid"/>
        <w:tblW w:type="auto" w:w="0"/>
        <w:tblLook w:firstColumn="1" w:firstRow="1" w:lastColumn="0" w:lastRow="0" w:noHBand="0" w:noVBand="1" w:val="04A0"/>
      </w:tblPr>
      <w:tblGrid>
        <w:gridCol w:w="3360"/>
        <w:gridCol w:w="3360"/>
        <w:gridCol w:w="3360"/>
      </w:tblGrid>
      <w:tr>
        <w:tc>
          <w:tcPr>
            <w:tcW w:type="dxa" w:w="3360"/>
            <w:shd w:fill="0B4A2E"/>
            <w:vAlign w:val="center"/>
          </w:tcPr>
          <w:p>
            <w:pPr>
              <w:spacing w:after="60"/>
            </w:pPr>
            <w:r>
              <w:rPr>
                <w:b/>
                <w:color w:val="FFFFFF"/>
                <w:sz w:val="19"/>
              </w:rPr>
              <w:t>Layer</w:t>
            </w:r>
          </w:p>
        </w:tc>
        <w:tc>
          <w:tcPr>
            <w:tcW w:type="dxa" w:w="3360"/>
            <w:shd w:fill="0B4A2E"/>
            <w:vAlign w:val="center"/>
          </w:tcPr>
          <w:p>
            <w:pPr>
              <w:spacing w:after="60"/>
            </w:pPr>
            <w:r>
              <w:rPr>
                <w:b/>
                <w:color w:val="FFFFFF"/>
                <w:sz w:val="19"/>
              </w:rPr>
              <w:t>Records</w:t>
            </w:r>
          </w:p>
        </w:tc>
        <w:tc>
          <w:tcPr>
            <w:tcW w:type="dxa" w:w="3360"/>
            <w:shd w:fill="0B4A2E"/>
            <w:vAlign w:val="center"/>
          </w:tcPr>
          <w:p>
            <w:pPr>
              <w:spacing w:after="60"/>
            </w:pPr>
            <w:r>
              <w:rPr>
                <w:b/>
                <w:color w:val="FFFFFF"/>
                <w:sz w:val="19"/>
              </w:rPr>
              <w:t>Meaning</w:t>
            </w:r>
          </w:p>
        </w:tc>
      </w:tr>
      <w:tr>
        <w:tc>
          <w:tcPr>
            <w:tcW w:type="dxa" w:w="3360"/>
            <w:vAlign w:val="center"/>
          </w:tcPr>
          <w:p>
            <w:pPr>
              <w:spacing w:after="60"/>
            </w:pPr>
            <w:r>
              <w:rPr>
                <w:sz w:val="19"/>
              </w:rPr>
              <w:t>Commodity catalog</w:t>
            </w:r>
          </w:p>
        </w:tc>
        <w:tc>
          <w:tcPr>
            <w:tcW w:type="dxa" w:w="3360"/>
            <w:vAlign w:val="center"/>
          </w:tcPr>
          <w:p>
            <w:pPr>
              <w:spacing w:after="60"/>
            </w:pPr>
            <w:r>
              <w:rPr>
                <w:sz w:val="19"/>
              </w:rPr>
              <w:t>134</w:t>
            </w:r>
          </w:p>
        </w:tc>
        <w:tc>
          <w:tcPr>
            <w:tcW w:type="dxa" w:w="3360"/>
            <w:vAlign w:val="center"/>
          </w:tcPr>
          <w:p>
            <w:pPr>
              <w:spacing w:after="60"/>
            </w:pPr>
            <w:r>
              <w:rPr>
                <w:sz w:val="19"/>
              </w:rPr>
              <w:t>Reference catalog</w:t>
            </w:r>
          </w:p>
        </w:tc>
      </w:tr>
      <w:tr>
        <w:tc>
          <w:tcPr>
            <w:tcW w:type="dxa" w:w="3360"/>
            <w:vAlign w:val="center"/>
          </w:tcPr>
          <w:p>
            <w:pPr>
              <w:spacing w:after="60"/>
            </w:pPr>
            <w:r>
              <w:rPr>
                <w:sz w:val="19"/>
              </w:rPr>
              <w:t>Priced commodities</w:t>
            </w:r>
          </w:p>
        </w:tc>
        <w:tc>
          <w:tcPr>
            <w:tcW w:type="dxa" w:w="3360"/>
            <w:vAlign w:val="center"/>
          </w:tcPr>
          <w:p>
            <w:pPr>
              <w:spacing w:after="60"/>
            </w:pPr>
            <w:r>
              <w:rPr>
                <w:sz w:val="19"/>
              </w:rPr>
              <w:t>98</w:t>
            </w:r>
          </w:p>
        </w:tc>
        <w:tc>
          <w:tcPr>
            <w:tcW w:type="dxa" w:w="3360"/>
            <w:vAlign w:val="center"/>
          </w:tcPr>
          <w:p>
            <w:pPr>
              <w:spacing w:after="60"/>
            </w:pPr>
            <w:r>
              <w:rPr>
                <w:sz w:val="19"/>
              </w:rPr>
              <w:t>Commodities appearing in the day's prices</w:t>
            </w:r>
          </w:p>
        </w:tc>
      </w:tr>
      <w:tr>
        <w:tc>
          <w:tcPr>
            <w:tcW w:type="dxa" w:w="3360"/>
            <w:vAlign w:val="center"/>
          </w:tcPr>
          <w:p>
            <w:pPr>
              <w:spacing w:after="60"/>
            </w:pPr>
            <w:r>
              <w:rPr>
                <w:sz w:val="19"/>
              </w:rPr>
              <w:t>Markets</w:t>
            </w:r>
          </w:p>
        </w:tc>
        <w:tc>
          <w:tcPr>
            <w:tcW w:type="dxa" w:w="3360"/>
            <w:vAlign w:val="center"/>
          </w:tcPr>
          <w:p>
            <w:pPr>
              <w:spacing w:after="60"/>
            </w:pPr>
            <w:r>
              <w:rPr>
                <w:sz w:val="19"/>
              </w:rPr>
              <w:t>67</w:t>
            </w:r>
          </w:p>
        </w:tc>
        <w:tc>
          <w:tcPr>
            <w:tcW w:type="dxa" w:w="3360"/>
            <w:vAlign w:val="center"/>
          </w:tcPr>
          <w:p>
            <w:pPr>
              <w:spacing w:after="60"/>
            </w:pPr>
            <w:r>
              <w:rPr>
                <w:sz w:val="19"/>
              </w:rPr>
              <w:t>Across 29 districts</w:t>
            </w:r>
          </w:p>
        </w:tc>
      </w:tr>
      <w:tr>
        <w:tc>
          <w:tcPr>
            <w:tcW w:type="dxa" w:w="3360"/>
            <w:vAlign w:val="center"/>
          </w:tcPr>
          <w:p>
            <w:pPr>
              <w:spacing w:after="60"/>
            </w:pPr>
            <w:r>
              <w:rPr>
                <w:sz w:val="19"/>
              </w:rPr>
              <w:t>Provinces</w:t>
            </w:r>
          </w:p>
        </w:tc>
        <w:tc>
          <w:tcPr>
            <w:tcW w:type="dxa" w:w="3360"/>
            <w:vAlign w:val="center"/>
          </w:tcPr>
          <w:p>
            <w:pPr>
              <w:spacing w:after="60"/>
            </w:pPr>
            <w:r>
              <w:rPr>
                <w:sz w:val="19"/>
              </w:rPr>
              <w:t>5</w:t>
            </w:r>
          </w:p>
        </w:tc>
        <w:tc>
          <w:tcPr>
            <w:tcW w:type="dxa" w:w="3360"/>
            <w:vAlign w:val="center"/>
          </w:tcPr>
          <w:p>
            <w:pPr>
              <w:spacing w:after="60"/>
            </w:pPr>
            <w:r>
              <w:rPr>
                <w:sz w:val="19"/>
              </w:rPr>
              <w:t>Southern, Western, Northern, Eastern, Kigali City</w:t>
            </w:r>
          </w:p>
        </w:tc>
      </w:tr>
      <w:tr>
        <w:tc>
          <w:tcPr>
            <w:tcW w:type="dxa" w:w="3360"/>
            <w:vAlign w:val="center"/>
          </w:tcPr>
          <w:p>
            <w:pPr>
              <w:spacing w:after="60"/>
            </w:pPr>
            <w:r>
              <w:rPr>
                <w:sz w:val="19"/>
              </w:rPr>
              <w:t>Farm-gate records</w:t>
            </w:r>
          </w:p>
        </w:tc>
        <w:tc>
          <w:tcPr>
            <w:tcW w:type="dxa" w:w="3360"/>
            <w:vAlign w:val="center"/>
          </w:tcPr>
          <w:p>
            <w:pPr>
              <w:spacing w:after="60"/>
            </w:pPr>
            <w:r>
              <w:rPr>
                <w:sz w:val="19"/>
              </w:rPr>
              <w:t>366</w:t>
            </w:r>
          </w:p>
        </w:tc>
        <w:tc>
          <w:tcPr>
            <w:tcW w:type="dxa" w:w="3360"/>
            <w:vAlign w:val="center"/>
          </w:tcPr>
          <w:p>
            <w:pPr>
              <w:spacing w:after="60"/>
            </w:pPr>
            <w:r>
              <w:rPr>
                <w:sz w:val="19"/>
              </w:rPr>
              <w:t>Dated 28 Sep 2026</w:t>
            </w:r>
          </w:p>
        </w:tc>
      </w:tr>
      <w:tr>
        <w:tc>
          <w:tcPr>
            <w:tcW w:type="dxa" w:w="3360"/>
            <w:vAlign w:val="center"/>
          </w:tcPr>
          <w:p>
            <w:pPr>
              <w:spacing w:after="60"/>
            </w:pPr>
            <w:r>
              <w:rPr>
                <w:sz w:val="19"/>
              </w:rPr>
              <w:t>Wholesale records</w:t>
            </w:r>
          </w:p>
        </w:tc>
        <w:tc>
          <w:tcPr>
            <w:tcW w:type="dxa" w:w="3360"/>
            <w:vAlign w:val="center"/>
          </w:tcPr>
          <w:p>
            <w:pPr>
              <w:spacing w:after="60"/>
            </w:pPr>
            <w:r>
              <w:rPr>
                <w:sz w:val="19"/>
              </w:rPr>
              <w:t>365</w:t>
            </w:r>
          </w:p>
        </w:tc>
        <w:tc>
          <w:tcPr>
            <w:tcW w:type="dxa" w:w="3360"/>
            <w:vAlign w:val="center"/>
          </w:tcPr>
          <w:p>
            <w:pPr>
              <w:spacing w:after="60"/>
            </w:pPr>
            <w:r>
              <w:rPr>
                <w:sz w:val="19"/>
              </w:rPr>
              <w:t>Dated 28 Sep 2026</w:t>
            </w:r>
          </w:p>
        </w:tc>
      </w:tr>
      <w:tr>
        <w:tc>
          <w:tcPr>
            <w:tcW w:type="dxa" w:w="3360"/>
            <w:vAlign w:val="center"/>
          </w:tcPr>
          <w:p>
            <w:pPr>
              <w:spacing w:after="60"/>
            </w:pPr>
            <w:r>
              <w:rPr>
                <w:sz w:val="19"/>
              </w:rPr>
              <w:t>Retail records</w:t>
            </w:r>
          </w:p>
        </w:tc>
        <w:tc>
          <w:tcPr>
            <w:tcW w:type="dxa" w:w="3360"/>
            <w:vAlign w:val="center"/>
          </w:tcPr>
          <w:p>
            <w:pPr>
              <w:spacing w:after="60"/>
            </w:pPr>
            <w:r>
              <w:rPr>
                <w:sz w:val="19"/>
              </w:rPr>
              <w:t>365</w:t>
            </w:r>
          </w:p>
        </w:tc>
        <w:tc>
          <w:tcPr>
            <w:tcW w:type="dxa" w:w="3360"/>
            <w:vAlign w:val="center"/>
          </w:tcPr>
          <w:p>
            <w:pPr>
              <w:spacing w:after="60"/>
            </w:pPr>
            <w:r>
              <w:rPr>
                <w:sz w:val="19"/>
              </w:rPr>
              <w:t>Dated 28 Sep 2026</w:t>
            </w:r>
          </w:p>
        </w:tc>
      </w:tr>
      <w:tr>
        <w:tc>
          <w:tcPr>
            <w:tcW w:type="dxa" w:w="3360"/>
            <w:vAlign w:val="center"/>
          </w:tcPr>
          <w:p>
            <w:pPr>
              <w:spacing w:after="60"/>
            </w:pPr>
            <w:r>
              <w:rPr>
                <w:sz w:val="19"/>
              </w:rPr>
              <w:t>Reporting markets</w:t>
            </w:r>
          </w:p>
        </w:tc>
        <w:tc>
          <w:tcPr>
            <w:tcW w:type="dxa" w:w="3360"/>
            <w:vAlign w:val="center"/>
          </w:tcPr>
          <w:p>
            <w:pPr>
              <w:spacing w:after="60"/>
            </w:pPr>
            <w:r>
              <w:rPr>
                <w:sz w:val="19"/>
              </w:rPr>
              <w:t>11</w:t>
            </w:r>
          </w:p>
        </w:tc>
        <w:tc>
          <w:tcPr>
            <w:tcW w:type="dxa" w:w="3360"/>
            <w:vAlign w:val="center"/>
          </w:tcPr>
          <w:p>
            <w:pPr>
              <w:spacing w:after="60"/>
            </w:pPr>
            <w:r>
              <w:rPr>
                <w:sz w:val="19"/>
              </w:rPr>
              <w:t>Markets with observations on the day</w:t>
            </w:r>
          </w:p>
        </w:tc>
      </w:tr>
    </w:tbl>
    <w:p>
      <w:pPr>
        <w:pStyle w:val="Heading2"/>
        <w:keepNext/>
      </w:pPr>
      <w:r>
        <w:t>6.1 Important Dataset Constraints</w:t>
      </w:r>
    </w:p>
    <w:p>
      <w:pPr>
        <w:pStyle w:val="ListBullet"/>
      </w:pPr>
      <w:r>
        <w:t>The snapshot contains one date only, so the prototype must not claim trends, seasonality, inflation, or forecasting from this dataset alone.</w:t>
      </w:r>
    </w:p>
    <w:p>
      <w:pPr>
        <w:pStyle w:val="ListBullet"/>
      </w:pPr>
      <w:r>
        <w:t>Only 11 of 67 markets reported on the snapshot date; missing coverage must be represented explicitly.</w:t>
      </w:r>
    </w:p>
    <w:p>
      <w:pPr>
        <w:pStyle w:val="ListBullet"/>
      </w:pPr>
      <w:r>
        <w:t>The entire Northern Province is silent in the snapshot; this is a coverage gap, not evidence of zero prices or zero activity.</w:t>
      </w:r>
    </w:p>
    <w:p>
      <w:pPr>
        <w:pStyle w:val="ListBullet"/>
      </w:pPr>
      <w:r>
        <w:t>The price commodity_code maps to the product id rather than the catalog commodity_code field; joins must follow the verified relationship.</w:t>
      </w:r>
    </w:p>
    <w:p>
      <w:pPr>
        <w:pStyle w:val="ListBullet"/>
      </w:pPr>
      <w:r>
        <w:t>Some catalog geography fields conflict; district should be treated as the safer geographic reference where the source conflict is known.</w:t>
      </w:r>
    </w:p>
    <w:p>
      <w:pPr>
        <w:pStyle w:val="ListBullet"/>
      </w:pPr>
      <w:r>
        <w:t>Collector fields price_1, price_2, and price_3 are nearly identical, so their average should not be presented as an independent price range.</w:t>
      </w:r>
    </w:p>
    <w:p>
      <w:pPr>
        <w:pStyle w:val="Heading1"/>
        <w:keepNext/>
      </w:pPr>
      <w:r>
        <w:t>7. Agricultural Intelligence Features</w:t>
      </w:r>
    </w:p>
    <w:p>
      <w:pPr>
        <w:pStyle w:val="Heading2"/>
        <w:keepNext/>
      </w:pPr>
      <w:r>
        <w:t>7.1 Price Ladder Intelligence</w:t>
      </w:r>
    </w:p>
    <w:p>
      <w:r>
        <w:t>For observations where the three channels are comparable, the system checks the expected ordering: farm gate ≤ wholesale ≤ retail. Violations are flagged as possible data conflicts and sent to the Review Center.</w:t>
      </w:r>
    </w:p>
    <w:p>
      <w:pPr>
        <w:pStyle w:val="Heading2"/>
        <w:keepNext/>
      </w:pPr>
      <w:r>
        <w:t>7.2 Market Comparison</w:t>
      </w:r>
    </w:p>
    <w:p>
      <w:r>
        <w:t>The platform compares the same commodity across reporting markets, showing median, minimum, maximum, spread, and relative variation. This is particularly useful for local perishables where market-level differences are substantial.</w:t>
      </w:r>
    </w:p>
    <w:p>
      <w:pPr>
        <w:pStyle w:val="Heading2"/>
        <w:keepNext/>
      </w:pPr>
      <w:r>
        <w:t>7.3 Coverage Intelligence</w:t>
      </w:r>
    </w:p>
    <w:p>
      <w:r>
        <w:t>Coverage is calculated as a reporting measure, not a price measure. The system should clearly distinguish between a market that reported no data and a market that reported a zero price.</w:t>
      </w:r>
    </w:p>
    <w:p>
      <w:pPr>
        <w:pStyle w:val="Heading2"/>
        <w:keepNext/>
      </w:pPr>
      <w:r>
        <w:t>7.4 Data Quality Intelligence</w:t>
      </w:r>
    </w:p>
    <w:p>
      <w:r>
        <w:t>The platform computes a transparent quality score from measurable dimensions such as completeness, validity, consistency, uniqueness, and entity matching confidence. The weighting must be configurable and visible to authorized administrators.</w:t>
      </w:r>
    </w:p>
    <w:p>
      <w:pPr>
        <w:pStyle w:val="Heading1"/>
        <w:keepNext/>
      </w:pPr>
      <w:r>
        <w:t>8. Product UX and Interface</w:t>
      </w:r>
    </w:p>
    <w:p>
      <w:r>
        <w:t>The interface should combine agricultural identity with premium data-product usability. It should be understandable without formal training and should minimize the number of clicks required for common tasks.</w:t>
      </w:r>
    </w:p>
    <w:tbl>
      <w:tblPr>
        <w:tblStyle w:val="TableGrid"/>
        <w:tblW w:type="auto" w:w="0"/>
        <w:tblLook w:firstColumn="1" w:firstRow="1" w:lastColumn="0" w:lastRow="0" w:noHBand="0" w:noVBand="1" w:val="04A0"/>
      </w:tblPr>
      <w:tblGrid>
        <w:gridCol w:w="5040"/>
        <w:gridCol w:w="5040"/>
      </w:tblGrid>
      <w:tr>
        <w:tc>
          <w:tcPr>
            <w:tcW w:type="dxa" w:w="5040"/>
            <w:shd w:fill="0B4A2E"/>
            <w:vAlign w:val="center"/>
          </w:tcPr>
          <w:p>
            <w:pPr>
              <w:spacing w:after="60"/>
            </w:pPr>
            <w:r>
              <w:rPr>
                <w:b/>
                <w:color w:val="FFFFFF"/>
                <w:sz w:val="19"/>
              </w:rPr>
              <w:t>Screen</w:t>
            </w:r>
          </w:p>
        </w:tc>
        <w:tc>
          <w:tcPr>
            <w:tcW w:type="dxa" w:w="5040"/>
            <w:shd w:fill="0B4A2E"/>
            <w:vAlign w:val="center"/>
          </w:tcPr>
          <w:p>
            <w:pPr>
              <w:spacing w:after="60"/>
            </w:pPr>
            <w:r>
              <w:rPr>
                <w:b/>
                <w:color w:val="FFFFFF"/>
                <w:sz w:val="19"/>
              </w:rPr>
              <w:t>Purpose</w:t>
            </w:r>
          </w:p>
        </w:tc>
      </w:tr>
      <w:tr>
        <w:tc>
          <w:tcPr>
            <w:tcW w:type="dxa" w:w="5040"/>
            <w:vAlign w:val="center"/>
          </w:tcPr>
          <w:p>
            <w:pPr>
              <w:spacing w:after="60"/>
            </w:pPr>
            <w:r>
              <w:rPr>
                <w:sz w:val="19"/>
              </w:rPr>
              <w:t>Dashboard</w:t>
            </w:r>
          </w:p>
        </w:tc>
        <w:tc>
          <w:tcPr>
            <w:tcW w:type="dxa" w:w="5040"/>
            <w:vAlign w:val="center"/>
          </w:tcPr>
          <w:p>
            <w:pPr>
              <w:spacing w:after="60"/>
            </w:pPr>
            <w:r>
              <w:rPr>
                <w:sz w:val="19"/>
              </w:rPr>
              <w:t>Large quality and coverage metrics, price intelligence, AI findings, and clear next actions.</w:t>
            </w:r>
          </w:p>
        </w:tc>
      </w:tr>
      <w:tr>
        <w:tc>
          <w:tcPr>
            <w:tcW w:type="dxa" w:w="5040"/>
            <w:vAlign w:val="center"/>
          </w:tcPr>
          <w:p>
            <w:pPr>
              <w:spacing w:after="60"/>
            </w:pPr>
            <w:r>
              <w:rPr>
                <w:sz w:val="19"/>
              </w:rPr>
              <w:t>Upload</w:t>
            </w:r>
          </w:p>
        </w:tc>
        <w:tc>
          <w:tcPr>
            <w:tcW w:type="dxa" w:w="5040"/>
            <w:vAlign w:val="center"/>
          </w:tcPr>
          <w:p>
            <w:pPr>
              <w:spacing w:after="60"/>
            </w:pPr>
            <w:r>
              <w:rPr>
                <w:sz w:val="19"/>
              </w:rPr>
              <w:t>Single-step dataset upload with automatic profiling and processing status.</w:t>
            </w:r>
          </w:p>
        </w:tc>
      </w:tr>
      <w:tr>
        <w:tc>
          <w:tcPr>
            <w:tcW w:type="dxa" w:w="5040"/>
            <w:vAlign w:val="center"/>
          </w:tcPr>
          <w:p>
            <w:pPr>
              <w:spacing w:after="60"/>
            </w:pPr>
            <w:r>
              <w:rPr>
                <w:sz w:val="19"/>
              </w:rPr>
              <w:t>AI Quality</w:t>
            </w:r>
          </w:p>
        </w:tc>
        <w:tc>
          <w:tcPr>
            <w:tcW w:type="dxa" w:w="5040"/>
            <w:vAlign w:val="center"/>
          </w:tcPr>
          <w:p>
            <w:pPr>
              <w:spacing w:after="60"/>
            </w:pPr>
            <w:r>
              <w:rPr>
                <w:sz w:val="19"/>
              </w:rPr>
              <w:t>Explainable quality score and issue categories.</w:t>
            </w:r>
          </w:p>
        </w:tc>
      </w:tr>
      <w:tr>
        <w:tc>
          <w:tcPr>
            <w:tcW w:type="dxa" w:w="5040"/>
            <w:vAlign w:val="center"/>
          </w:tcPr>
          <w:p>
            <w:pPr>
              <w:spacing w:after="60"/>
            </w:pPr>
            <w:r>
              <w:rPr>
                <w:sz w:val="19"/>
              </w:rPr>
              <w:t>Review Center</w:t>
            </w:r>
          </w:p>
        </w:tc>
        <w:tc>
          <w:tcPr>
            <w:tcW w:type="dxa" w:w="5040"/>
            <w:vAlign w:val="center"/>
          </w:tcPr>
          <w:p>
            <w:pPr>
              <w:spacing w:after="60"/>
            </w:pPr>
            <w:r>
              <w:rPr>
                <w:sz w:val="19"/>
              </w:rPr>
              <w:t>Focused queue of anomalies, conflicts, duplicates, and entity matches.</w:t>
            </w:r>
          </w:p>
        </w:tc>
      </w:tr>
      <w:tr>
        <w:tc>
          <w:tcPr>
            <w:tcW w:type="dxa" w:w="5040"/>
            <w:vAlign w:val="center"/>
          </w:tcPr>
          <w:p>
            <w:pPr>
              <w:spacing w:after="60"/>
            </w:pPr>
            <w:r>
              <w:rPr>
                <w:sz w:val="19"/>
              </w:rPr>
              <w:t>Trusted Dataset</w:t>
            </w:r>
          </w:p>
        </w:tc>
        <w:tc>
          <w:tcPr>
            <w:tcW w:type="dxa" w:w="5040"/>
            <w:vAlign w:val="center"/>
          </w:tcPr>
          <w:p>
            <w:pPr>
              <w:spacing w:after="60"/>
            </w:pPr>
            <w:r>
              <w:rPr>
                <w:sz w:val="19"/>
              </w:rPr>
              <w:t>Validated records, lineage, export, and quality report.</w:t>
            </w:r>
          </w:p>
        </w:tc>
      </w:tr>
      <w:tr>
        <w:tc>
          <w:tcPr>
            <w:tcW w:type="dxa" w:w="5040"/>
            <w:vAlign w:val="center"/>
          </w:tcPr>
          <w:p>
            <w:pPr>
              <w:spacing w:after="60"/>
            </w:pPr>
            <w:r>
              <w:rPr>
                <w:sz w:val="19"/>
              </w:rPr>
              <w:t>Insights</w:t>
            </w:r>
          </w:p>
        </w:tc>
        <w:tc>
          <w:tcPr>
            <w:tcW w:type="dxa" w:w="5040"/>
            <w:vAlign w:val="center"/>
          </w:tcPr>
          <w:p>
            <w:pPr>
              <w:spacing w:after="60"/>
            </w:pPr>
            <w:r>
              <w:rPr>
                <w:sz w:val="19"/>
              </w:rPr>
              <w:t>Market/commodity comparisons and agricultural price intelligence.</w:t>
            </w:r>
          </w:p>
        </w:tc>
      </w:tr>
      <w:tr>
        <w:tc>
          <w:tcPr>
            <w:tcW w:type="dxa" w:w="5040"/>
            <w:vAlign w:val="center"/>
          </w:tcPr>
          <w:p>
            <w:pPr>
              <w:spacing w:after="60"/>
            </w:pPr>
            <w:r>
              <w:rPr>
                <w:sz w:val="19"/>
              </w:rPr>
              <w:t>Data Lineage</w:t>
            </w:r>
          </w:p>
        </w:tc>
        <w:tc>
          <w:tcPr>
            <w:tcW w:type="dxa" w:w="5040"/>
            <w:vAlign w:val="center"/>
          </w:tcPr>
          <w:p>
            <w:pPr>
              <w:spacing w:after="60"/>
            </w:pPr>
            <w:r>
              <w:rPr>
                <w:sz w:val="19"/>
              </w:rPr>
              <w:t>Trace from raw record to transformed and trusted record.</w:t>
            </w:r>
          </w:p>
        </w:tc>
      </w:tr>
    </w:tbl>
    <w:p>
      <w:pPr>
        <w:pStyle w:val="Heading2"/>
        <w:keepNext/>
      </w:pPr>
      <w:r>
        <w:t>8.1 Visual Design Standard</w:t>
      </w:r>
    </w:p>
    <w:p>
      <w:r>
        <w:t>Primary color: #0B4A2E (deep agricultural green)</w:t>
      </w:r>
    </w:p>
    <w:p>
      <w:r>
        <w:t>Secondary green: #155D3C</w:t>
      </w:r>
    </w:p>
    <w:p>
      <w:r>
        <w:t>Agricultural green: #4F9D52</w:t>
      </w:r>
    </w:p>
    <w:p>
      <w:r>
        <w:t>Accent: #8CC63F</w:t>
      </w:r>
    </w:p>
    <w:p>
      <w:r>
        <w:t>Application background: #F7FAF7</w:t>
      </w:r>
    </w:p>
    <w:p>
      <w:r>
        <w:t>Primary font: Poppins; fallback: Inter</w:t>
      </w:r>
    </w:p>
    <w:p>
      <w:r>
        <w:t>Semantic colors: blue #2563EB, amber #F59E0B, red #DC2626, success #16A34A</w:t>
      </w:r>
    </w:p>
    <w:p>
      <w:r>
        <w:t>The interface should use green as the identity color rather than filling every component with green. Neutral white surfaces should dominate the analytical workspace.</w:t>
      </w:r>
    </w:p>
    <w:p>
      <w:pPr>
        <w:pStyle w:val="Heading1"/>
        <w:keepNext/>
      </w:pPr>
      <w:r>
        <w:t>9. End-to-End User Journey</w:t>
      </w:r>
    </w:p>
    <w:p>
      <w:pPr>
        <w:pStyle w:val="ListNumber"/>
      </w:pPr>
      <w:r>
        <w:rPr>
          <w:b/>
        </w:rPr>
        <w:t xml:space="preserve">Upload: </w:t>
      </w:r>
      <w:r>
        <w:t>Officer uploads an eSoko-style CSV.</w:t>
      </w:r>
    </w:p>
    <w:p>
      <w:pPr>
        <w:pStyle w:val="ListNumber"/>
      </w:pPr>
      <w:r>
        <w:rPr>
          <w:b/>
        </w:rPr>
        <w:t xml:space="preserve">Automatic profiling: </w:t>
      </w:r>
      <w:r>
        <w:t>System identifies columns, types, missingness, duplicates, and reference fields.</w:t>
      </w:r>
    </w:p>
    <w:p>
      <w:pPr>
        <w:pStyle w:val="ListNumber"/>
      </w:pPr>
      <w:r>
        <w:rPr>
          <w:b/>
        </w:rPr>
        <w:t xml:space="preserve">Processing: </w:t>
      </w:r>
      <w:r>
        <w:t>Standardization, validation, deduplication, and entity matching run automatically.</w:t>
      </w:r>
    </w:p>
    <w:p>
      <w:pPr>
        <w:pStyle w:val="ListNumber"/>
      </w:pPr>
      <w:r>
        <w:rPr>
          <w:b/>
        </w:rPr>
        <w:t xml:space="preserve">AI analysis: </w:t>
      </w:r>
      <w:r>
        <w:t>Anomaly detection and contextual agricultural checks run.</w:t>
      </w:r>
    </w:p>
    <w:p>
      <w:pPr>
        <w:pStyle w:val="ListNumber"/>
      </w:pPr>
      <w:r>
        <w:rPr>
          <w:b/>
        </w:rPr>
        <w:t xml:space="preserve">Review: </w:t>
      </w:r>
      <w:r>
        <w:t>Officer sees a prioritized list of issues with evidence.</w:t>
      </w:r>
    </w:p>
    <w:p>
      <w:pPr>
        <w:pStyle w:val="ListNumber"/>
      </w:pPr>
      <w:r>
        <w:rPr>
          <w:b/>
        </w:rPr>
        <w:t xml:space="preserve">Resolution: </w:t>
      </w:r>
      <w:r>
        <w:t>Officer accepts, corrects, or dismisses findings.</w:t>
      </w:r>
    </w:p>
    <w:p>
      <w:pPr>
        <w:pStyle w:val="ListNumber"/>
      </w:pPr>
      <w:r>
        <w:rPr>
          <w:b/>
        </w:rPr>
        <w:t xml:space="preserve">Trusted dataset: </w:t>
      </w:r>
      <w:r>
        <w:t>The platform creates a reviewed version while preserving the raw dataset.</w:t>
      </w:r>
    </w:p>
    <w:p>
      <w:pPr>
        <w:pStyle w:val="ListNumber"/>
      </w:pPr>
      <w:r>
        <w:rPr>
          <w:b/>
        </w:rPr>
        <w:t xml:space="preserve">Insights: </w:t>
      </w:r>
      <w:r>
        <w:t>Decision-makers explore prices, markets, coverage, and quality.</w:t>
      </w:r>
    </w:p>
    <w:p>
      <w:pPr>
        <w:pStyle w:val="Heading1"/>
        <w:keepNext/>
      </w:pPr>
      <w:r>
        <w:t>10. Core Data Model</w:t>
      </w:r>
    </w:p>
    <w:p>
      <w:r>
        <w:t>A practical MVP should maintain the following logical entities:</w:t>
      </w:r>
    </w:p>
    <w:tbl>
      <w:tblPr>
        <w:tblStyle w:val="TableGrid"/>
        <w:tblW w:type="auto" w:w="0"/>
        <w:tblLook w:firstColumn="1" w:firstRow="1" w:lastColumn="0" w:lastRow="0" w:noHBand="0" w:noVBand="1" w:val="04A0"/>
      </w:tblPr>
      <w:tblGrid>
        <w:gridCol w:w="5040"/>
        <w:gridCol w:w="5040"/>
      </w:tblGrid>
      <w:tr>
        <w:tc>
          <w:tcPr>
            <w:tcW w:type="dxa" w:w="5040"/>
            <w:shd w:fill="0B4A2E"/>
            <w:vAlign w:val="center"/>
          </w:tcPr>
          <w:p>
            <w:pPr>
              <w:spacing w:after="60"/>
            </w:pPr>
            <w:r>
              <w:rPr>
                <w:b/>
                <w:color w:val="FFFFFF"/>
                <w:sz w:val="19"/>
              </w:rPr>
              <w:t>Entity</w:t>
            </w:r>
          </w:p>
        </w:tc>
        <w:tc>
          <w:tcPr>
            <w:tcW w:type="dxa" w:w="5040"/>
            <w:shd w:fill="0B4A2E"/>
            <w:vAlign w:val="center"/>
          </w:tcPr>
          <w:p>
            <w:pPr>
              <w:spacing w:after="60"/>
            </w:pPr>
            <w:r>
              <w:rPr>
                <w:b/>
                <w:color w:val="FFFFFF"/>
                <w:sz w:val="19"/>
              </w:rPr>
              <w:t>Purpose / key fields</w:t>
            </w:r>
          </w:p>
        </w:tc>
      </w:tr>
      <w:tr>
        <w:tc>
          <w:tcPr>
            <w:tcW w:type="dxa" w:w="5040"/>
            <w:vAlign w:val="center"/>
          </w:tcPr>
          <w:p>
            <w:pPr>
              <w:spacing w:after="60"/>
            </w:pPr>
            <w:r>
              <w:rPr>
                <w:sz w:val="19"/>
              </w:rPr>
              <w:t>Dataset</w:t>
            </w:r>
          </w:p>
        </w:tc>
        <w:tc>
          <w:tcPr>
            <w:tcW w:type="dxa" w:w="5040"/>
            <w:vAlign w:val="center"/>
          </w:tcPr>
          <w:p>
            <w:pPr>
              <w:spacing w:after="60"/>
            </w:pPr>
            <w:r>
              <w:rPr>
                <w:sz w:val="19"/>
              </w:rPr>
              <w:t>id, name, source, upload_time, schema, status, quality_score</w:t>
            </w:r>
          </w:p>
        </w:tc>
      </w:tr>
      <w:tr>
        <w:tc>
          <w:tcPr>
            <w:tcW w:type="dxa" w:w="5040"/>
            <w:vAlign w:val="center"/>
          </w:tcPr>
          <w:p>
            <w:pPr>
              <w:spacing w:after="60"/>
            </w:pPr>
            <w:r>
              <w:rPr>
                <w:sz w:val="19"/>
              </w:rPr>
              <w:t>RawRecord</w:t>
            </w:r>
          </w:p>
        </w:tc>
        <w:tc>
          <w:tcPr>
            <w:tcW w:type="dxa" w:w="5040"/>
            <w:vAlign w:val="center"/>
          </w:tcPr>
          <w:p>
            <w:pPr>
              <w:spacing w:after="60"/>
            </w:pPr>
            <w:r>
              <w:rPr>
                <w:sz w:val="19"/>
              </w:rPr>
              <w:t>Original source record preserved exactly or as faithfully as possible</w:t>
            </w:r>
          </w:p>
        </w:tc>
      </w:tr>
      <w:tr>
        <w:tc>
          <w:tcPr>
            <w:tcW w:type="dxa" w:w="5040"/>
            <w:vAlign w:val="center"/>
          </w:tcPr>
          <w:p>
            <w:pPr>
              <w:spacing w:after="60"/>
            </w:pPr>
            <w:r>
              <w:rPr>
                <w:sz w:val="19"/>
              </w:rPr>
              <w:t>NormalizedRecord</w:t>
            </w:r>
          </w:p>
        </w:tc>
        <w:tc>
          <w:tcPr>
            <w:tcW w:type="dxa" w:w="5040"/>
            <w:vAlign w:val="center"/>
          </w:tcPr>
          <w:p>
            <w:pPr>
              <w:spacing w:after="60"/>
            </w:pPr>
            <w:r>
              <w:rPr>
                <w:sz w:val="19"/>
              </w:rPr>
              <w:t>Standardized version used for analysis</w:t>
            </w:r>
          </w:p>
        </w:tc>
      </w:tr>
      <w:tr>
        <w:tc>
          <w:tcPr>
            <w:tcW w:type="dxa" w:w="5040"/>
            <w:vAlign w:val="center"/>
          </w:tcPr>
          <w:p>
            <w:pPr>
              <w:spacing w:after="60"/>
            </w:pPr>
            <w:r>
              <w:rPr>
                <w:sz w:val="19"/>
              </w:rPr>
              <w:t>Commodity</w:t>
            </w:r>
          </w:p>
        </w:tc>
        <w:tc>
          <w:tcPr>
            <w:tcW w:type="dxa" w:w="5040"/>
            <w:vAlign w:val="center"/>
          </w:tcPr>
          <w:p>
            <w:pPr>
              <w:spacing w:after="60"/>
            </w:pPr>
            <w:r>
              <w:rPr>
                <w:sz w:val="19"/>
              </w:rPr>
              <w:t>Catalog identity, names, unit, category, identifiers</w:t>
            </w:r>
          </w:p>
        </w:tc>
      </w:tr>
      <w:tr>
        <w:tc>
          <w:tcPr>
            <w:tcW w:type="dxa" w:w="5040"/>
            <w:vAlign w:val="center"/>
          </w:tcPr>
          <w:p>
            <w:pPr>
              <w:spacing w:after="60"/>
            </w:pPr>
            <w:r>
              <w:rPr>
                <w:sz w:val="19"/>
              </w:rPr>
              <w:t>Market</w:t>
            </w:r>
          </w:p>
        </w:tc>
        <w:tc>
          <w:tcPr>
            <w:tcW w:type="dxa" w:w="5040"/>
            <w:vAlign w:val="center"/>
          </w:tcPr>
          <w:p>
            <w:pPr>
              <w:spacing w:after="60"/>
            </w:pPr>
            <w:r>
              <w:rPr>
                <w:sz w:val="19"/>
              </w:rPr>
              <w:t>Market identity, district, province, coordinates where available</w:t>
            </w:r>
          </w:p>
        </w:tc>
      </w:tr>
      <w:tr>
        <w:tc>
          <w:tcPr>
            <w:tcW w:type="dxa" w:w="5040"/>
            <w:vAlign w:val="center"/>
          </w:tcPr>
          <w:p>
            <w:pPr>
              <w:spacing w:after="60"/>
            </w:pPr>
            <w:r>
              <w:rPr>
                <w:sz w:val="19"/>
              </w:rPr>
              <w:t>PriceObservation</w:t>
            </w:r>
          </w:p>
        </w:tc>
        <w:tc>
          <w:tcPr>
            <w:tcW w:type="dxa" w:w="5040"/>
            <w:vAlign w:val="center"/>
          </w:tcPr>
          <w:p>
            <w:pPr>
              <w:spacing w:after="60"/>
            </w:pPr>
            <w:r>
              <w:rPr>
                <w:sz w:val="19"/>
              </w:rPr>
              <w:t>Commodity, market, date, channel, price, unit</w:t>
            </w:r>
          </w:p>
        </w:tc>
      </w:tr>
      <w:tr>
        <w:tc>
          <w:tcPr>
            <w:tcW w:type="dxa" w:w="5040"/>
            <w:vAlign w:val="center"/>
          </w:tcPr>
          <w:p>
            <w:pPr>
              <w:spacing w:after="60"/>
            </w:pPr>
            <w:r>
              <w:rPr>
                <w:sz w:val="19"/>
              </w:rPr>
              <w:t>Issue</w:t>
            </w:r>
          </w:p>
        </w:tc>
        <w:tc>
          <w:tcPr>
            <w:tcW w:type="dxa" w:w="5040"/>
            <w:vAlign w:val="center"/>
          </w:tcPr>
          <w:p>
            <w:pPr>
              <w:spacing w:after="60"/>
            </w:pPr>
            <w:r>
              <w:rPr>
                <w:sz w:val="19"/>
              </w:rPr>
              <w:t>Type, severity, record reference, evidence, confidence, status</w:t>
            </w:r>
          </w:p>
        </w:tc>
      </w:tr>
      <w:tr>
        <w:tc>
          <w:tcPr>
            <w:tcW w:type="dxa" w:w="5040"/>
            <w:vAlign w:val="center"/>
          </w:tcPr>
          <w:p>
            <w:pPr>
              <w:spacing w:after="60"/>
            </w:pPr>
            <w:r>
              <w:rPr>
                <w:sz w:val="19"/>
              </w:rPr>
              <w:t>MatchCandidate</w:t>
            </w:r>
          </w:p>
        </w:tc>
        <w:tc>
          <w:tcPr>
            <w:tcW w:type="dxa" w:w="5040"/>
            <w:vAlign w:val="center"/>
          </w:tcPr>
          <w:p>
            <w:pPr>
              <w:spacing w:after="60"/>
            </w:pPr>
            <w:r>
              <w:rPr>
                <w:sz w:val="19"/>
              </w:rPr>
              <w:t>Input value, candidate entity, similarity score, decision</w:t>
            </w:r>
          </w:p>
        </w:tc>
      </w:tr>
      <w:tr>
        <w:tc>
          <w:tcPr>
            <w:tcW w:type="dxa" w:w="5040"/>
            <w:vAlign w:val="center"/>
          </w:tcPr>
          <w:p>
            <w:pPr>
              <w:spacing w:after="60"/>
            </w:pPr>
            <w:r>
              <w:rPr>
                <w:sz w:val="19"/>
              </w:rPr>
              <w:t>ReviewAction</w:t>
            </w:r>
          </w:p>
        </w:tc>
        <w:tc>
          <w:tcPr>
            <w:tcW w:type="dxa" w:w="5040"/>
            <w:vAlign w:val="center"/>
          </w:tcPr>
          <w:p>
            <w:pPr>
              <w:spacing w:after="60"/>
            </w:pPr>
            <w:r>
              <w:rPr>
                <w:sz w:val="19"/>
              </w:rPr>
              <w:t>Reviewer, action, timestamp, before/after values</w:t>
            </w:r>
          </w:p>
        </w:tc>
      </w:tr>
      <w:tr>
        <w:tc>
          <w:tcPr>
            <w:tcW w:type="dxa" w:w="5040"/>
            <w:vAlign w:val="center"/>
          </w:tcPr>
          <w:p>
            <w:pPr>
              <w:spacing w:after="60"/>
            </w:pPr>
            <w:r>
              <w:rPr>
                <w:sz w:val="19"/>
              </w:rPr>
              <w:t>TrustedRecord</w:t>
            </w:r>
          </w:p>
        </w:tc>
        <w:tc>
          <w:tcPr>
            <w:tcW w:type="dxa" w:w="5040"/>
            <w:vAlign w:val="center"/>
          </w:tcPr>
          <w:p>
            <w:pPr>
              <w:spacing w:after="60"/>
            </w:pPr>
            <w:r>
              <w:rPr>
                <w:sz w:val="19"/>
              </w:rPr>
              <w:t>Final reviewed representation</w:t>
            </w:r>
          </w:p>
        </w:tc>
      </w:tr>
      <w:tr>
        <w:tc>
          <w:tcPr>
            <w:tcW w:type="dxa" w:w="5040"/>
            <w:vAlign w:val="center"/>
          </w:tcPr>
          <w:p>
            <w:pPr>
              <w:spacing w:after="60"/>
            </w:pPr>
            <w:r>
              <w:rPr>
                <w:sz w:val="19"/>
              </w:rPr>
              <w:t>AuditEvent</w:t>
            </w:r>
          </w:p>
        </w:tc>
        <w:tc>
          <w:tcPr>
            <w:tcW w:type="dxa" w:w="5040"/>
            <w:vAlign w:val="center"/>
          </w:tcPr>
          <w:p>
            <w:pPr>
              <w:spacing w:after="60"/>
            </w:pPr>
            <w:r>
              <w:rPr>
                <w:sz w:val="19"/>
              </w:rPr>
              <w:t>Traceability for important system actions</w:t>
            </w:r>
          </w:p>
        </w:tc>
      </w:tr>
    </w:tbl>
    <w:p>
      <w:pPr>
        <w:pStyle w:val="Heading1"/>
        <w:keepNext/>
      </w:pPr>
      <w:r>
        <w:t>11. Processing and API Flow</w:t>
      </w:r>
    </w:p>
    <w:p>
      <w:r>
        <w:t>Processing should be asynchronous for larger datasets. The frontend should receive job status updates and display meaningful stages rather than a generic spinner.</w:t>
      </w:r>
    </w:p>
    <w:p>
      <w:pPr>
        <w:pStyle w:val="ListBullet"/>
      </w:pPr>
      <w:r>
        <w:t>POST /datasets/upload</w:t>
      </w:r>
    </w:p>
    <w:p>
      <w:pPr>
        <w:pStyle w:val="ListBullet"/>
      </w:pPr>
      <w:r>
        <w:t>POST /datasets/{id}/process</w:t>
      </w:r>
    </w:p>
    <w:p>
      <w:pPr>
        <w:pStyle w:val="ListBullet"/>
      </w:pPr>
      <w:r>
        <w:t>GET /datasets/{id}/status</w:t>
      </w:r>
    </w:p>
    <w:p>
      <w:pPr>
        <w:pStyle w:val="ListBullet"/>
      </w:pPr>
      <w:r>
        <w:t>GET /datasets/{id}/quality</w:t>
      </w:r>
    </w:p>
    <w:p>
      <w:pPr>
        <w:pStyle w:val="ListBullet"/>
      </w:pPr>
      <w:r>
        <w:t>GET /datasets/{id}/issues</w:t>
      </w:r>
    </w:p>
    <w:p>
      <w:pPr>
        <w:pStyle w:val="ListBullet"/>
      </w:pPr>
      <w:r>
        <w:t>PATCH /issues/{id}/review</w:t>
      </w:r>
    </w:p>
    <w:p>
      <w:pPr>
        <w:pStyle w:val="ListBullet"/>
      </w:pPr>
      <w:r>
        <w:t>GET /datasets/{id}/trusted</w:t>
      </w:r>
    </w:p>
    <w:p>
      <w:pPr>
        <w:pStyle w:val="ListBullet"/>
      </w:pPr>
      <w:r>
        <w:t>GET /datasets/{id}/lineage</w:t>
      </w:r>
    </w:p>
    <w:p>
      <w:pPr>
        <w:pStyle w:val="ListBullet"/>
      </w:pPr>
      <w:r>
        <w:t>GET /insights/markets</w:t>
      </w:r>
    </w:p>
    <w:p>
      <w:pPr>
        <w:pStyle w:val="ListBullet"/>
      </w:pPr>
      <w:r>
        <w:t>GET /insights/commodities</w:t>
      </w:r>
    </w:p>
    <w:p>
      <w:pPr>
        <w:pStyle w:val="Heading1"/>
        <w:keepNext/>
      </w:pPr>
      <w:r>
        <w:t>12. Competition Demonstration Flow</w:t>
      </w:r>
    </w:p>
    <w:p>
      <w:r>
        <w:t>The live demonstration should tell a short, evidence-based story rather than showing every feature.</w:t>
      </w:r>
    </w:p>
    <w:p>
      <w:pPr>
        <w:pStyle w:val="ListNumber"/>
      </w:pPr>
      <w:r>
        <w:rPr>
          <w:b/>
        </w:rPr>
        <w:t xml:space="preserve">1. Start: </w:t>
      </w:r>
      <w:r>
        <w:t>Open the dashboard and show current data coverage and quality.</w:t>
      </w:r>
    </w:p>
    <w:p>
      <w:pPr>
        <w:pStyle w:val="ListNumber"/>
      </w:pPr>
      <w:r>
        <w:rPr>
          <w:b/>
        </w:rPr>
        <w:t xml:space="preserve">2. Upload: </w:t>
      </w:r>
      <w:r>
        <w:t>Upload the eSoko snapshot or a prepared sample file.</w:t>
      </w:r>
    </w:p>
    <w:p>
      <w:pPr>
        <w:pStyle w:val="ListNumber"/>
      </w:pPr>
      <w:r>
        <w:rPr>
          <w:b/>
        </w:rPr>
        <w:t xml:space="preserve">3. Automatic processing: </w:t>
      </w:r>
      <w:r>
        <w:t>Show the pipeline moving through standardization, validation, deduplication, and AI analysis.</w:t>
      </w:r>
    </w:p>
    <w:p>
      <w:pPr>
        <w:pStyle w:val="ListNumber"/>
      </w:pPr>
      <w:r>
        <w:rPr>
          <w:b/>
        </w:rPr>
        <w:t xml:space="preserve">4. AI findings: </w:t>
      </w:r>
      <w:r>
        <w:t>Show a small number of high-value issues with evidence and confidence.</w:t>
      </w:r>
    </w:p>
    <w:p>
      <w:pPr>
        <w:pStyle w:val="ListNumber"/>
      </w:pPr>
      <w:r>
        <w:rPr>
          <w:b/>
        </w:rPr>
        <w:t xml:space="preserve">5. Review: </w:t>
      </w:r>
      <w:r>
        <w:t>Accept or correct one finding and show the trusted dataset updating.</w:t>
      </w:r>
    </w:p>
    <w:p>
      <w:pPr>
        <w:pStyle w:val="ListNumber"/>
      </w:pPr>
      <w:r>
        <w:rPr>
          <w:b/>
        </w:rPr>
        <w:t xml:space="preserve">6. Insight: </w:t>
      </w:r>
      <w:r>
        <w:t>Open a market/commodity comparison and demonstrate a useful price observation.</w:t>
      </w:r>
    </w:p>
    <w:p>
      <w:pPr>
        <w:pStyle w:val="ListNumber"/>
      </w:pPr>
      <w:r>
        <w:rPr>
          <w:b/>
        </w:rPr>
        <w:t xml:space="preserve">7. Trust: </w:t>
      </w:r>
      <w:r>
        <w:t>Open lineage to show where the final record came from and what changed.</w:t>
      </w:r>
    </w:p>
    <w:p>
      <w:pPr>
        <w:pStyle w:val="Callout"/>
      </w:pPr>
      <w:r>
        <w:rPr>
          <w:b/>
        </w:rPr>
        <w:t xml:space="preserve">Demo principle: </w:t>
      </w:r>
      <w:r>
        <w:t>Every AI finding shown live should be reproducible from the demo data or clearly labeled as simulated demo data.</w:t>
      </w:r>
    </w:p>
    <w:p>
      <w:pPr>
        <w:pStyle w:val="Heading1"/>
        <w:keepNext/>
      </w:pPr>
      <w:r>
        <w:t>13. Evaluation and Success Metrics</w:t>
      </w:r>
    </w:p>
    <w:tbl>
      <w:tblPr>
        <w:tblStyle w:val="TableGrid"/>
        <w:tblW w:type="auto" w:w="0"/>
        <w:tblLook w:firstColumn="1" w:firstRow="1" w:lastColumn="0" w:lastRow="0" w:noHBand="0" w:noVBand="1" w:val="04A0"/>
      </w:tblPr>
      <w:tblGrid>
        <w:gridCol w:w="5040"/>
        <w:gridCol w:w="5040"/>
      </w:tblGrid>
      <w:tr>
        <w:tc>
          <w:tcPr>
            <w:tcW w:type="dxa" w:w="5040"/>
            <w:shd w:fill="0B4A2E"/>
            <w:vAlign w:val="center"/>
          </w:tcPr>
          <w:p>
            <w:pPr>
              <w:spacing w:after="60"/>
            </w:pPr>
            <w:r>
              <w:rPr>
                <w:b/>
                <w:color w:val="FFFFFF"/>
                <w:sz w:val="19"/>
              </w:rPr>
              <w:t>Metric</w:t>
            </w:r>
          </w:p>
        </w:tc>
        <w:tc>
          <w:tcPr>
            <w:tcW w:type="dxa" w:w="5040"/>
            <w:shd w:fill="0B4A2E"/>
            <w:vAlign w:val="center"/>
          </w:tcPr>
          <w:p>
            <w:pPr>
              <w:spacing w:after="60"/>
            </w:pPr>
            <w:r>
              <w:rPr>
                <w:b/>
                <w:color w:val="FFFFFF"/>
                <w:sz w:val="19"/>
              </w:rPr>
              <w:t>How to evaluate</w:t>
            </w:r>
          </w:p>
        </w:tc>
      </w:tr>
      <w:tr>
        <w:tc>
          <w:tcPr>
            <w:tcW w:type="dxa" w:w="5040"/>
            <w:vAlign w:val="center"/>
          </w:tcPr>
          <w:p>
            <w:pPr>
              <w:spacing w:after="60"/>
            </w:pPr>
            <w:r>
              <w:rPr>
                <w:sz w:val="19"/>
              </w:rPr>
              <w:t>Data processing</w:t>
            </w:r>
          </w:p>
        </w:tc>
        <w:tc>
          <w:tcPr>
            <w:tcW w:type="dxa" w:w="5040"/>
            <w:vAlign w:val="center"/>
          </w:tcPr>
          <w:p>
            <w:pPr>
              <w:spacing w:after="60"/>
            </w:pPr>
            <w:r>
              <w:rPr>
                <w:sz w:val="19"/>
              </w:rPr>
              <w:t>Percentage of valid input rows processed without system failure.</w:t>
            </w:r>
          </w:p>
        </w:tc>
      </w:tr>
      <w:tr>
        <w:tc>
          <w:tcPr>
            <w:tcW w:type="dxa" w:w="5040"/>
            <w:vAlign w:val="center"/>
          </w:tcPr>
          <w:p>
            <w:pPr>
              <w:spacing w:after="60"/>
            </w:pPr>
            <w:r>
              <w:rPr>
                <w:sz w:val="19"/>
              </w:rPr>
              <w:t>Validation</w:t>
            </w:r>
          </w:p>
        </w:tc>
        <w:tc>
          <w:tcPr>
            <w:tcW w:type="dxa" w:w="5040"/>
            <w:vAlign w:val="center"/>
          </w:tcPr>
          <w:p>
            <w:pPr>
              <w:spacing w:after="60"/>
            </w:pPr>
            <w:r>
              <w:rPr>
                <w:sz w:val="19"/>
              </w:rPr>
              <w:t>Precision of rule-based issue detection on known test cases.</w:t>
            </w:r>
          </w:p>
        </w:tc>
      </w:tr>
      <w:tr>
        <w:tc>
          <w:tcPr>
            <w:tcW w:type="dxa" w:w="5040"/>
            <w:vAlign w:val="center"/>
          </w:tcPr>
          <w:p>
            <w:pPr>
              <w:spacing w:after="60"/>
            </w:pPr>
            <w:r>
              <w:rPr>
                <w:sz w:val="19"/>
              </w:rPr>
              <w:t>Anomaly detection</w:t>
            </w:r>
          </w:p>
        </w:tc>
        <w:tc>
          <w:tcPr>
            <w:tcW w:type="dxa" w:w="5040"/>
            <w:vAlign w:val="center"/>
          </w:tcPr>
          <w:p>
            <w:pPr>
              <w:spacing w:after="60"/>
            </w:pPr>
            <w:r>
              <w:rPr>
                <w:sz w:val="19"/>
              </w:rPr>
              <w:t>Precision/recall on a manually reviewed evaluation set once labels are available.</w:t>
            </w:r>
          </w:p>
        </w:tc>
      </w:tr>
      <w:tr>
        <w:tc>
          <w:tcPr>
            <w:tcW w:type="dxa" w:w="5040"/>
            <w:vAlign w:val="center"/>
          </w:tcPr>
          <w:p>
            <w:pPr>
              <w:spacing w:after="60"/>
            </w:pPr>
            <w:r>
              <w:rPr>
                <w:sz w:val="19"/>
              </w:rPr>
              <w:t>Entity matching</w:t>
            </w:r>
          </w:p>
        </w:tc>
        <w:tc>
          <w:tcPr>
            <w:tcW w:type="dxa" w:w="5040"/>
            <w:vAlign w:val="center"/>
          </w:tcPr>
          <w:p>
            <w:pPr>
              <w:spacing w:after="60"/>
            </w:pPr>
            <w:r>
              <w:rPr>
                <w:sz w:val="19"/>
              </w:rPr>
              <w:t>Precision of accepted commodity/market matches at different confidence thresholds.</w:t>
            </w:r>
          </w:p>
        </w:tc>
      </w:tr>
      <w:tr>
        <w:tc>
          <w:tcPr>
            <w:tcW w:type="dxa" w:w="5040"/>
            <w:vAlign w:val="center"/>
          </w:tcPr>
          <w:p>
            <w:pPr>
              <w:spacing w:after="60"/>
            </w:pPr>
            <w:r>
              <w:rPr>
                <w:sz w:val="19"/>
              </w:rPr>
              <w:t>Review efficiency</w:t>
            </w:r>
          </w:p>
        </w:tc>
        <w:tc>
          <w:tcPr>
            <w:tcW w:type="dxa" w:w="5040"/>
            <w:vAlign w:val="center"/>
          </w:tcPr>
          <w:p>
            <w:pPr>
              <w:spacing w:after="60"/>
            </w:pPr>
            <w:r>
              <w:rPr>
                <w:sz w:val="19"/>
              </w:rPr>
              <w:t>Average number of clicks/time required to resolve an issue.</w:t>
            </w:r>
          </w:p>
        </w:tc>
      </w:tr>
      <w:tr>
        <w:tc>
          <w:tcPr>
            <w:tcW w:type="dxa" w:w="5040"/>
            <w:vAlign w:val="center"/>
          </w:tcPr>
          <w:p>
            <w:pPr>
              <w:spacing w:after="60"/>
            </w:pPr>
            <w:r>
              <w:rPr>
                <w:sz w:val="19"/>
              </w:rPr>
              <w:t>Data quality</w:t>
            </w:r>
          </w:p>
        </w:tc>
        <w:tc>
          <w:tcPr>
            <w:tcW w:type="dxa" w:w="5040"/>
            <w:vAlign w:val="center"/>
          </w:tcPr>
          <w:p>
            <w:pPr>
              <w:spacing w:after="60"/>
            </w:pPr>
            <w:r>
              <w:rPr>
                <w:sz w:val="19"/>
              </w:rPr>
              <w:t>Change in completeness, validity, consistency, and duplicate rate from raw to trusted.</w:t>
            </w:r>
          </w:p>
        </w:tc>
      </w:tr>
      <w:tr>
        <w:tc>
          <w:tcPr>
            <w:tcW w:type="dxa" w:w="5040"/>
            <w:vAlign w:val="center"/>
          </w:tcPr>
          <w:p>
            <w:pPr>
              <w:spacing w:after="60"/>
            </w:pPr>
            <w:r>
              <w:rPr>
                <w:sz w:val="19"/>
              </w:rPr>
              <w:t>Usability</w:t>
            </w:r>
          </w:p>
        </w:tc>
        <w:tc>
          <w:tcPr>
            <w:tcW w:type="dxa" w:w="5040"/>
            <w:vAlign w:val="center"/>
          </w:tcPr>
          <w:p>
            <w:pPr>
              <w:spacing w:after="60"/>
            </w:pPr>
            <w:r>
              <w:rPr>
                <w:sz w:val="19"/>
              </w:rPr>
              <w:t>Percentage of first-time users who can upload, review, and export without training.</w:t>
            </w:r>
          </w:p>
        </w:tc>
      </w:tr>
    </w:tbl>
    <w:p>
      <w:pPr>
        <w:pStyle w:val="Heading1"/>
        <w:keepNext/>
      </w:pPr>
      <w:r>
        <w:t>14. Security, Governance and Trust</w:t>
      </w:r>
    </w:p>
    <w:p>
      <w:pPr>
        <w:pStyle w:val="ListBullet"/>
      </w:pPr>
      <w:r>
        <w:t>Preserve raw data and never overwrite source records silently.</w:t>
      </w:r>
    </w:p>
    <w:p>
      <w:pPr>
        <w:pStyle w:val="ListBullet"/>
      </w:pPr>
      <w:r>
        <w:t>Record who changed a value, what changed, when, and why.</w:t>
      </w:r>
    </w:p>
    <w:p>
      <w:pPr>
        <w:pStyle w:val="ListBullet"/>
      </w:pPr>
      <w:r>
        <w:t>Use role-based access for administrative and review functions.</w:t>
      </w:r>
    </w:p>
    <w:p>
      <w:pPr>
        <w:pStyle w:val="ListBullet"/>
      </w:pPr>
      <w:r>
        <w:t>Validate uploaded files before processing.</w:t>
      </w:r>
    </w:p>
    <w:p>
      <w:pPr>
        <w:pStyle w:val="ListBullet"/>
      </w:pPr>
      <w:r>
        <w:t>Restrict file types and size according to deployment policy.</w:t>
      </w:r>
    </w:p>
    <w:p>
      <w:pPr>
        <w:pStyle w:val="ListBullet"/>
      </w:pPr>
      <w:r>
        <w:t>Do not expose sensitive source data unnecessarily in logs.</w:t>
      </w:r>
    </w:p>
    <w:p>
      <w:pPr>
        <w:pStyle w:val="ListBullet"/>
      </w:pPr>
      <w:r>
        <w:t>Keep AI explanations tied to stored evidence.</w:t>
      </w:r>
    </w:p>
    <w:p>
      <w:pPr>
        <w:pStyle w:val="ListBullet"/>
      </w:pPr>
      <w:r>
        <w:t>Allow reviewers to override AI suggestions while recording the decision.</w:t>
      </w:r>
    </w:p>
    <w:p>
      <w:pPr>
        <w:pStyle w:val="ListBullet"/>
      </w:pPr>
      <w:r>
        <w:t>Version trusted datasets so downstream users can identify which version they used.</w:t>
      </w:r>
    </w:p>
    <w:p>
      <w:pPr>
        <w:pStyle w:val="Heading1"/>
        <w:keepNext/>
      </w:pPr>
      <w:r>
        <w:t>15. Implementation Roadmap</w:t>
      </w:r>
    </w:p>
    <w:tbl>
      <w:tblPr>
        <w:tblStyle w:val="TableGrid"/>
        <w:tblW w:type="auto" w:w="0"/>
        <w:tblLook w:firstColumn="1" w:firstRow="1" w:lastColumn="0" w:lastRow="0" w:noHBand="0" w:noVBand="1" w:val="04A0"/>
      </w:tblPr>
      <w:tblGrid>
        <w:gridCol w:w="5040"/>
        <w:gridCol w:w="5040"/>
      </w:tblGrid>
      <w:tr>
        <w:tc>
          <w:tcPr>
            <w:tcW w:type="dxa" w:w="5040"/>
            <w:shd w:fill="0B4A2E"/>
            <w:vAlign w:val="center"/>
          </w:tcPr>
          <w:p>
            <w:pPr>
              <w:spacing w:after="60"/>
            </w:pPr>
            <w:r>
              <w:rPr>
                <w:b/>
                <w:color w:val="FFFFFF"/>
                <w:sz w:val="19"/>
              </w:rPr>
              <w:t>Phase</w:t>
            </w:r>
          </w:p>
        </w:tc>
        <w:tc>
          <w:tcPr>
            <w:tcW w:type="dxa" w:w="5040"/>
            <w:shd w:fill="0B4A2E"/>
            <w:vAlign w:val="center"/>
          </w:tcPr>
          <w:p>
            <w:pPr>
              <w:spacing w:after="60"/>
            </w:pPr>
            <w:r>
              <w:rPr>
                <w:b/>
                <w:color w:val="FFFFFF"/>
                <w:sz w:val="19"/>
              </w:rPr>
              <w:t>Scope</w:t>
            </w:r>
          </w:p>
        </w:tc>
      </w:tr>
      <w:tr>
        <w:tc>
          <w:tcPr>
            <w:tcW w:type="dxa" w:w="5040"/>
            <w:vAlign w:val="center"/>
          </w:tcPr>
          <w:p>
            <w:pPr>
              <w:spacing w:after="60"/>
            </w:pPr>
            <w:r>
              <w:rPr>
                <w:sz w:val="19"/>
              </w:rPr>
              <w:t>Phase 1 — Foundation</w:t>
            </w:r>
          </w:p>
        </w:tc>
        <w:tc>
          <w:tcPr>
            <w:tcW w:type="dxa" w:w="5040"/>
            <w:vAlign w:val="center"/>
          </w:tcPr>
          <w:p>
            <w:pPr>
              <w:spacing w:after="60"/>
            </w:pPr>
            <w:r>
              <w:rPr>
                <w:sz w:val="19"/>
              </w:rPr>
              <w:t>Existing UI audit, design tokens, application shell, dataset ingestion.</w:t>
            </w:r>
          </w:p>
        </w:tc>
      </w:tr>
      <w:tr>
        <w:tc>
          <w:tcPr>
            <w:tcW w:type="dxa" w:w="5040"/>
            <w:vAlign w:val="center"/>
          </w:tcPr>
          <w:p>
            <w:pPr>
              <w:spacing w:after="60"/>
            </w:pPr>
            <w:r>
              <w:rPr>
                <w:sz w:val="19"/>
              </w:rPr>
              <w:t>Phase 2 — Data Quality</w:t>
            </w:r>
          </w:p>
        </w:tc>
        <w:tc>
          <w:tcPr>
            <w:tcW w:type="dxa" w:w="5040"/>
            <w:vAlign w:val="center"/>
          </w:tcPr>
          <w:p>
            <w:pPr>
              <w:spacing w:after="60"/>
            </w:pPr>
            <w:r>
              <w:rPr>
                <w:sz w:val="19"/>
              </w:rPr>
              <w:t>Profiling, standardization, validation, deduplication, quality scoring.</w:t>
            </w:r>
          </w:p>
        </w:tc>
      </w:tr>
      <w:tr>
        <w:tc>
          <w:tcPr>
            <w:tcW w:type="dxa" w:w="5040"/>
            <w:vAlign w:val="center"/>
          </w:tcPr>
          <w:p>
            <w:pPr>
              <w:spacing w:after="60"/>
            </w:pPr>
            <w:r>
              <w:rPr>
                <w:sz w:val="19"/>
              </w:rPr>
              <w:t>Phase 3 — AI Engine</w:t>
            </w:r>
          </w:p>
        </w:tc>
        <w:tc>
          <w:tcPr>
            <w:tcW w:type="dxa" w:w="5040"/>
            <w:vAlign w:val="center"/>
          </w:tcPr>
          <w:p>
            <w:pPr>
              <w:spacing w:after="60"/>
            </w:pPr>
            <w:r>
              <w:rPr>
                <w:sz w:val="19"/>
              </w:rPr>
              <w:t>Anomaly detection, entity matching, confidence scoring, explanations.</w:t>
            </w:r>
          </w:p>
        </w:tc>
      </w:tr>
      <w:tr>
        <w:tc>
          <w:tcPr>
            <w:tcW w:type="dxa" w:w="5040"/>
            <w:vAlign w:val="center"/>
          </w:tcPr>
          <w:p>
            <w:pPr>
              <w:spacing w:after="60"/>
            </w:pPr>
            <w:r>
              <w:rPr>
                <w:sz w:val="19"/>
              </w:rPr>
              <w:t>Phase 4 — Review</w:t>
            </w:r>
          </w:p>
        </w:tc>
        <w:tc>
          <w:tcPr>
            <w:tcW w:type="dxa" w:w="5040"/>
            <w:vAlign w:val="center"/>
          </w:tcPr>
          <w:p>
            <w:pPr>
              <w:spacing w:after="60"/>
            </w:pPr>
            <w:r>
              <w:rPr>
                <w:sz w:val="19"/>
              </w:rPr>
              <w:t>Review Center, issue workflow, corrections, audit trail.</w:t>
            </w:r>
          </w:p>
        </w:tc>
      </w:tr>
      <w:tr>
        <w:tc>
          <w:tcPr>
            <w:tcW w:type="dxa" w:w="5040"/>
            <w:vAlign w:val="center"/>
          </w:tcPr>
          <w:p>
            <w:pPr>
              <w:spacing w:after="60"/>
            </w:pPr>
            <w:r>
              <w:rPr>
                <w:sz w:val="19"/>
              </w:rPr>
              <w:t>Phase 5 — Intelligence</w:t>
            </w:r>
          </w:p>
        </w:tc>
        <w:tc>
          <w:tcPr>
            <w:tcW w:type="dxa" w:w="5040"/>
            <w:vAlign w:val="center"/>
          </w:tcPr>
          <w:p>
            <w:pPr>
              <w:spacing w:after="60"/>
            </w:pPr>
            <w:r>
              <w:rPr>
                <w:sz w:val="19"/>
              </w:rPr>
              <w:t>Market and commodity analytics, coverage views, price-ladder intelligence.</w:t>
            </w:r>
          </w:p>
        </w:tc>
      </w:tr>
      <w:tr>
        <w:tc>
          <w:tcPr>
            <w:tcW w:type="dxa" w:w="5040"/>
            <w:vAlign w:val="center"/>
          </w:tcPr>
          <w:p>
            <w:pPr>
              <w:spacing w:after="60"/>
            </w:pPr>
            <w:r>
              <w:rPr>
                <w:sz w:val="19"/>
              </w:rPr>
              <w:t>Phase 6 — Production hardening</w:t>
            </w:r>
          </w:p>
        </w:tc>
        <w:tc>
          <w:tcPr>
            <w:tcW w:type="dxa" w:w="5040"/>
            <w:vAlign w:val="center"/>
          </w:tcPr>
          <w:p>
            <w:pPr>
              <w:spacing w:after="60"/>
            </w:pPr>
            <w:r>
              <w:rPr>
                <w:sz w:val="19"/>
              </w:rPr>
              <w:t>Security, performance, monitoring, model evaluation, versioning, deployment.</w:t>
            </w:r>
          </w:p>
        </w:tc>
      </w:tr>
      <w:tr>
        <w:tc>
          <w:tcPr>
            <w:tcW w:type="dxa" w:w="5040"/>
            <w:vAlign w:val="center"/>
          </w:tcPr>
          <w:p>
            <w:pPr>
              <w:spacing w:after="60"/>
            </w:pPr>
            <w:r>
              <w:rPr>
                <w:sz w:val="19"/>
              </w:rPr>
              <w:t>Phase 7 — Historical intelligence</w:t>
            </w:r>
          </w:p>
        </w:tc>
        <w:tc>
          <w:tcPr>
            <w:tcW w:type="dxa" w:w="5040"/>
            <w:vAlign w:val="center"/>
          </w:tcPr>
          <w:p>
            <w:pPr>
              <w:spacing w:after="60"/>
            </w:pPr>
            <w:r>
              <w:rPr>
                <w:sz w:val="19"/>
              </w:rPr>
              <w:t>When historical data becomes available: trends, seasonality, forecasting, and early-warning features.</w:t>
            </w:r>
          </w:p>
        </w:tc>
      </w:tr>
    </w:tbl>
    <w:p>
      <w:pPr>
        <w:pStyle w:val="Heading1"/>
        <w:keepNext/>
      </w:pPr>
      <w:r>
        <w:t>16. Innovation and Differentiation</w:t>
      </w:r>
    </w:p>
    <w:p>
      <w:pPr>
        <w:pStyle w:val="ListBullet"/>
      </w:pPr>
      <w:r>
        <w:rPr>
          <w:b/>
        </w:rPr>
        <w:t xml:space="preserve">Data trust before dashboards: </w:t>
      </w:r>
      <w:r>
        <w:t>The platform treats data quality as a first-class product capability rather than an invisible preprocessing step.</w:t>
      </w:r>
    </w:p>
    <w:p>
      <w:pPr>
        <w:pStyle w:val="ListBullet"/>
      </w:pPr>
      <w:r>
        <w:rPr>
          <w:b/>
        </w:rPr>
        <w:t xml:space="preserve">Hybrid AI: </w:t>
      </w:r>
      <w:r>
        <w:t>Combines rules, robust statistics, ML, fuzzy matching, and semantic embeddings.</w:t>
      </w:r>
    </w:p>
    <w:p>
      <w:pPr>
        <w:pStyle w:val="ListBullet"/>
      </w:pPr>
      <w:r>
        <w:rPr>
          <w:b/>
        </w:rPr>
        <w:t xml:space="preserve">Human-in-the-loop: </w:t>
      </w:r>
      <w:r>
        <w:t>AI identifies and explains; authorized users make final review decisions.</w:t>
      </w:r>
    </w:p>
    <w:p>
      <w:pPr>
        <w:pStyle w:val="ListBullet"/>
      </w:pPr>
      <w:r>
        <w:rPr>
          <w:b/>
        </w:rPr>
        <w:t xml:space="preserve">Agricultural context: </w:t>
      </w:r>
      <w:r>
        <w:t>The engine understands market, commodity, province, price channel, and price-ladder relationships.</w:t>
      </w:r>
    </w:p>
    <w:p>
      <w:pPr>
        <w:pStyle w:val="ListBullet"/>
      </w:pPr>
      <w:r>
        <w:rPr>
          <w:b/>
        </w:rPr>
        <w:t xml:space="preserve">Explainability: </w:t>
      </w:r>
      <w:r>
        <w:t>Every important AI result can show evidence, confidence, and reason.</w:t>
      </w:r>
    </w:p>
    <w:p>
      <w:pPr>
        <w:pStyle w:val="ListBullet"/>
      </w:pPr>
      <w:r>
        <w:rPr>
          <w:b/>
        </w:rPr>
        <w:t xml:space="preserve">Data lineage: </w:t>
      </w:r>
      <w:r>
        <w:t>Users can trace trusted values back to the raw source and review action.</w:t>
      </w:r>
    </w:p>
    <w:p>
      <w:pPr>
        <w:pStyle w:val="ListBullet"/>
      </w:pPr>
      <w:r>
        <w:rPr>
          <w:b/>
        </w:rPr>
        <w:t xml:space="preserve">Low-training UX: </w:t>
      </w:r>
      <w:r>
        <w:t>The workflow is designed around a few obvious actions and progressive disclosure.</w:t>
      </w:r>
    </w:p>
    <w:p>
      <w:pPr>
        <w:pStyle w:val="Heading1"/>
        <w:keepNext/>
      </w:pPr>
      <w:r>
        <w:t>17. Risks and Mitigation</w:t>
      </w:r>
    </w:p>
    <w:tbl>
      <w:tblPr>
        <w:tblStyle w:val="TableGrid"/>
        <w:tblW w:type="auto" w:w="0"/>
        <w:tblLook w:firstColumn="1" w:firstRow="1" w:lastColumn="0" w:lastRow="0" w:noHBand="0" w:noVBand="1" w:val="04A0"/>
      </w:tblPr>
      <w:tblGrid>
        <w:gridCol w:w="5040"/>
        <w:gridCol w:w="5040"/>
      </w:tblGrid>
      <w:tr>
        <w:tc>
          <w:tcPr>
            <w:tcW w:type="dxa" w:w="5040"/>
            <w:shd w:fill="0B4A2E"/>
            <w:vAlign w:val="center"/>
          </w:tcPr>
          <w:p>
            <w:pPr>
              <w:spacing w:after="60"/>
            </w:pPr>
            <w:r>
              <w:rPr>
                <w:b/>
                <w:color w:val="FFFFFF"/>
                <w:sz w:val="19"/>
              </w:rPr>
              <w:t>Risk</w:t>
            </w:r>
          </w:p>
        </w:tc>
        <w:tc>
          <w:tcPr>
            <w:tcW w:type="dxa" w:w="5040"/>
            <w:shd w:fill="0B4A2E"/>
            <w:vAlign w:val="center"/>
          </w:tcPr>
          <w:p>
            <w:pPr>
              <w:spacing w:after="60"/>
            </w:pPr>
            <w:r>
              <w:rPr>
                <w:b/>
                <w:color w:val="FFFFFF"/>
                <w:sz w:val="19"/>
              </w:rPr>
              <w:t>Mitigation</w:t>
            </w:r>
          </w:p>
        </w:tc>
      </w:tr>
      <w:tr>
        <w:tc>
          <w:tcPr>
            <w:tcW w:type="dxa" w:w="5040"/>
            <w:vAlign w:val="center"/>
          </w:tcPr>
          <w:p>
            <w:pPr>
              <w:spacing w:after="60"/>
            </w:pPr>
            <w:r>
              <w:rPr>
                <w:sz w:val="19"/>
              </w:rPr>
              <w:t>Limited historical data</w:t>
            </w:r>
          </w:p>
        </w:tc>
        <w:tc>
          <w:tcPr>
            <w:tcW w:type="dxa" w:w="5040"/>
            <w:vAlign w:val="center"/>
          </w:tcPr>
          <w:p>
            <w:pPr>
              <w:spacing w:after="60"/>
            </w:pPr>
            <w:r>
              <w:rPr>
                <w:sz w:val="19"/>
              </w:rPr>
              <w:t>Do not claim forecasting from the one-day snapshot. Add forecasting only after historical data is available.</w:t>
            </w:r>
          </w:p>
        </w:tc>
      </w:tr>
      <w:tr>
        <w:tc>
          <w:tcPr>
            <w:tcW w:type="dxa" w:w="5040"/>
            <w:vAlign w:val="center"/>
          </w:tcPr>
          <w:p>
            <w:pPr>
              <w:spacing w:after="60"/>
            </w:pPr>
            <w:r>
              <w:rPr>
                <w:sz w:val="19"/>
              </w:rPr>
              <w:t>False positives</w:t>
            </w:r>
          </w:p>
        </w:tc>
        <w:tc>
          <w:tcPr>
            <w:tcW w:type="dxa" w:w="5040"/>
            <w:vAlign w:val="center"/>
          </w:tcPr>
          <w:p>
            <w:pPr>
              <w:spacing w:after="60"/>
            </w:pPr>
            <w:r>
              <w:rPr>
                <w:sz w:val="19"/>
              </w:rPr>
              <w:t>Use confidence thresholds and human review; measure precision on a labeled evaluation set.</w:t>
            </w:r>
          </w:p>
        </w:tc>
      </w:tr>
      <w:tr>
        <w:tc>
          <w:tcPr>
            <w:tcW w:type="dxa" w:w="5040"/>
            <w:vAlign w:val="center"/>
          </w:tcPr>
          <w:p>
            <w:pPr>
              <w:spacing w:after="60"/>
            </w:pPr>
            <w:r>
              <w:rPr>
                <w:sz w:val="19"/>
              </w:rPr>
              <w:t>Incorrect entity matching</w:t>
            </w:r>
          </w:p>
        </w:tc>
        <w:tc>
          <w:tcPr>
            <w:tcW w:type="dxa" w:w="5040"/>
            <w:vAlign w:val="center"/>
          </w:tcPr>
          <w:p>
            <w:pPr>
              <w:spacing w:after="60"/>
            </w:pPr>
            <w:r>
              <w:rPr>
                <w:sz w:val="19"/>
              </w:rPr>
              <w:t>Use tiered matching and route uncertain matches to Review Center.</w:t>
            </w:r>
          </w:p>
        </w:tc>
      </w:tr>
      <w:tr>
        <w:tc>
          <w:tcPr>
            <w:tcW w:type="dxa" w:w="5040"/>
            <w:vAlign w:val="center"/>
          </w:tcPr>
          <w:p>
            <w:pPr>
              <w:spacing w:after="60"/>
            </w:pPr>
            <w:r>
              <w:rPr>
                <w:sz w:val="19"/>
              </w:rPr>
              <w:t>Source inconsistencies</w:t>
            </w:r>
          </w:p>
        </w:tc>
        <w:tc>
          <w:tcPr>
            <w:tcW w:type="dxa" w:w="5040"/>
            <w:vAlign w:val="center"/>
          </w:tcPr>
          <w:p>
            <w:pPr>
              <w:spacing w:after="60"/>
            </w:pPr>
            <w:r>
              <w:rPr>
                <w:sz w:val="19"/>
              </w:rPr>
              <w:t>Preserve source values and maintain reference mappings instead of silently changing them.</w:t>
            </w:r>
          </w:p>
        </w:tc>
      </w:tr>
      <w:tr>
        <w:tc>
          <w:tcPr>
            <w:tcW w:type="dxa" w:w="5040"/>
            <w:vAlign w:val="center"/>
          </w:tcPr>
          <w:p>
            <w:pPr>
              <w:spacing w:after="60"/>
            </w:pPr>
            <w:r>
              <w:rPr>
                <w:sz w:val="19"/>
              </w:rPr>
              <w:t>Overuse of AI</w:t>
            </w:r>
          </w:p>
        </w:tc>
        <w:tc>
          <w:tcPr>
            <w:tcW w:type="dxa" w:w="5040"/>
            <w:vAlign w:val="center"/>
          </w:tcPr>
          <w:p>
            <w:pPr>
              <w:spacing w:after="60"/>
            </w:pPr>
            <w:r>
              <w:rPr>
                <w:sz w:val="19"/>
              </w:rPr>
              <w:t>Use deterministic rules for deterministic problems and ML only where it adds value.</w:t>
            </w:r>
          </w:p>
        </w:tc>
      </w:tr>
      <w:tr>
        <w:tc>
          <w:tcPr>
            <w:tcW w:type="dxa" w:w="5040"/>
            <w:vAlign w:val="center"/>
          </w:tcPr>
          <w:p>
            <w:pPr>
              <w:spacing w:after="60"/>
            </w:pPr>
            <w:r>
              <w:rPr>
                <w:sz w:val="19"/>
              </w:rPr>
              <w:t>Demo instability</w:t>
            </w:r>
          </w:p>
        </w:tc>
        <w:tc>
          <w:tcPr>
            <w:tcW w:type="dxa" w:w="5040"/>
            <w:vAlign w:val="center"/>
          </w:tcPr>
          <w:p>
            <w:pPr>
              <w:spacing w:after="60"/>
            </w:pPr>
            <w:r>
              <w:rPr>
                <w:sz w:val="19"/>
              </w:rPr>
              <w:t>Prepare a deterministic demo dataset and a repeatable processing path.</w:t>
            </w:r>
          </w:p>
        </w:tc>
      </w:tr>
    </w:tbl>
    <w:p>
      <w:pPr>
        <w:pStyle w:val="Heading1"/>
        <w:keepNext/>
      </w:pPr>
      <w:r>
        <w:t>18. Future Expansion</w:t>
      </w:r>
    </w:p>
    <w:p>
      <w:r>
        <w:t>Once multiple historical observations are available, the same platform can evolve from data quality intelligence into broader agricultural decision support.</w:t>
      </w:r>
    </w:p>
    <w:p>
      <w:pPr>
        <w:pStyle w:val="ListBullet"/>
      </w:pPr>
      <w:r>
        <w:t>Time-series price trends and seasonal patterns.</w:t>
      </w:r>
    </w:p>
    <w:p>
      <w:pPr>
        <w:pStyle w:val="ListBullet"/>
      </w:pPr>
      <w:r>
        <w:t>Commodity-level forecasting.</w:t>
      </w:r>
    </w:p>
    <w:p>
      <w:pPr>
        <w:pStyle w:val="ListBullet"/>
      </w:pPr>
      <w:r>
        <w:t>Market-level early-warning alerts.</w:t>
      </w:r>
    </w:p>
    <w:p>
      <w:pPr>
        <w:pStyle w:val="ListBullet"/>
      </w:pPr>
      <w:r>
        <w:t>Supply and demand indicators where suitable data is available.</w:t>
      </w:r>
    </w:p>
    <w:p>
      <w:pPr>
        <w:pStyle w:val="ListBullet"/>
      </w:pPr>
      <w:r>
        <w:t>Cross-system data integration through APIs.</w:t>
      </w:r>
    </w:p>
    <w:p>
      <w:pPr>
        <w:pStyle w:val="ListBullet"/>
      </w:pPr>
      <w:r>
        <w:t>Mobile/offline data collection integration.</w:t>
      </w:r>
    </w:p>
    <w:p>
      <w:pPr>
        <w:pStyle w:val="ListBullet"/>
      </w:pPr>
      <w:r>
        <w:t>Role-specific dashboards for policymakers, analysts, market officers, and field teams.</w:t>
      </w:r>
    </w:p>
    <w:p>
      <w:pPr>
        <w:pStyle w:val="ListBullet"/>
      </w:pPr>
      <w:r>
        <w:t>Model monitoring and continuous improvement from reviewer decisions.</w:t>
      </w:r>
    </w:p>
    <w:p>
      <w:pPr>
        <w:pStyle w:val="Heading1"/>
        <w:keepNext/>
      </w:pPr>
      <w:r>
        <w:t>19. Final Concept Statement</w:t>
      </w:r>
    </w:p>
    <w:p>
      <w:r>
        <w:rPr>
          <w:b/>
        </w:rPr>
        <w:t>MINAGRI Data Intelligence Platform is an AI-powered trust layer for agricultural data. It converts raw observations into standardized, validated, explainable, and human-reviewed datasets, then turns those trusted records into agricultural intelligence.</w:t>
      </w:r>
    </w:p>
    <w:p>
      <w:r>
        <w:t>The platform is intentionally designed so that a non-technical user can understand what is happening without being trained in machine learning. Behind the simple interface, the system combines deterministic data validation, robust statistics, Isolation Forest anomaly detection, fuzzy matching, semantic embeddings, agricultural business rules, transparent quality scoring, and human review.</w:t>
      </w:r>
    </w:p>
    <w:p>
      <w:r>
        <w:t>The competition prototype should demonstrate one clear transformation: RAW DATA → TRUSTED DATA → BETTER INSIGHTS.</w:t>
      </w:r>
    </w:p>
    <w:p>
      <w:pPr>
        <w:pStyle w:val="Heading1"/>
        <w:keepNext/>
      </w:pPr>
      <w:r>
        <w:t>Appendix A — Example AI Finding</w:t>
      </w:r>
    </w:p>
    <w:tbl>
      <w:tblPr>
        <w:tblStyle w:val="TableGrid"/>
        <w:tblW w:type="auto" w:w="0"/>
        <w:tblLook w:firstColumn="1" w:firstRow="1" w:lastColumn="0" w:lastRow="0" w:noHBand="0" w:noVBand="1" w:val="04A0"/>
      </w:tblPr>
      <w:tblGrid>
        <w:gridCol w:w="5040"/>
        <w:gridCol w:w="5040"/>
      </w:tblGrid>
      <w:tr>
        <w:tc>
          <w:tcPr>
            <w:tcW w:type="dxa" w:w="5040"/>
            <w:shd w:fill="E8FBE6"/>
            <w:vAlign w:val="center"/>
          </w:tcPr>
          <w:p>
            <w:pPr>
              <w:spacing w:after="60"/>
            </w:pPr>
            <w:r>
              <w:rPr>
                <w:b/>
                <w:sz w:val="19"/>
              </w:rPr>
              <w:t>Finding</w:t>
            </w:r>
          </w:p>
        </w:tc>
        <w:tc>
          <w:tcPr>
            <w:tcW w:type="dxa" w:w="5040"/>
            <w:shd w:fill="E8FBE6"/>
            <w:vAlign w:val="center"/>
          </w:tcPr>
          <w:p>
            <w:pPr>
              <w:spacing w:after="60"/>
            </w:pPr>
            <w:r>
              <w:rPr>
                <w:b/>
                <w:sz w:val="19"/>
              </w:rPr>
              <w:t>Unusual Tomato Retail Price</w:t>
            </w:r>
          </w:p>
        </w:tc>
      </w:tr>
      <w:tr>
        <w:tc>
          <w:tcPr>
            <w:tcW w:type="dxa" w:w="5040"/>
            <w:vAlign w:val="center"/>
          </w:tcPr>
          <w:p>
            <w:pPr>
              <w:spacing w:after="60"/>
            </w:pPr>
            <w:r>
              <w:rPr>
                <w:sz w:val="19"/>
              </w:rPr>
              <w:t>Market</w:t>
            </w:r>
          </w:p>
        </w:tc>
        <w:tc>
          <w:tcPr>
            <w:tcW w:type="dxa" w:w="5040"/>
            <w:vAlign w:val="center"/>
          </w:tcPr>
          <w:p>
            <w:pPr>
              <w:spacing w:after="60"/>
            </w:pPr>
            <w:r>
              <w:rPr>
                <w:sz w:val="19"/>
              </w:rPr>
              <w:t>Nyabugogo</w:t>
            </w:r>
          </w:p>
        </w:tc>
      </w:tr>
      <w:tr>
        <w:tc>
          <w:tcPr>
            <w:tcW w:type="dxa" w:w="5040"/>
            <w:vAlign w:val="center"/>
          </w:tcPr>
          <w:p>
            <w:pPr>
              <w:spacing w:after="60"/>
            </w:pPr>
            <w:r>
              <w:rPr>
                <w:sz w:val="19"/>
              </w:rPr>
              <w:t>Observed</w:t>
            </w:r>
          </w:p>
        </w:tc>
        <w:tc>
          <w:tcPr>
            <w:tcW w:type="dxa" w:w="5040"/>
            <w:vAlign w:val="center"/>
          </w:tcPr>
          <w:p>
            <w:pPr>
              <w:spacing w:after="60"/>
            </w:pPr>
            <w:r>
              <w:rPr>
                <w:sz w:val="19"/>
              </w:rPr>
              <w:t>1,500 RWF/kg</w:t>
            </w:r>
          </w:p>
        </w:tc>
      </w:tr>
      <w:tr>
        <w:tc>
          <w:tcPr>
            <w:tcW w:type="dxa" w:w="5040"/>
            <w:vAlign w:val="center"/>
          </w:tcPr>
          <w:p>
            <w:pPr>
              <w:spacing w:after="60"/>
            </w:pPr>
            <w:r>
              <w:rPr>
                <w:sz w:val="19"/>
              </w:rPr>
              <w:t>Expected</w:t>
            </w:r>
          </w:p>
        </w:tc>
        <w:tc>
          <w:tcPr>
            <w:tcW w:type="dxa" w:w="5040"/>
            <w:vAlign w:val="center"/>
          </w:tcPr>
          <w:p>
            <w:pPr>
              <w:spacing w:after="60"/>
            </w:pPr>
            <w:r>
              <w:rPr>
                <w:sz w:val="19"/>
              </w:rPr>
              <w:t>Comparable observations / robust reference range</w:t>
            </w:r>
          </w:p>
        </w:tc>
      </w:tr>
      <w:tr>
        <w:tc>
          <w:tcPr>
            <w:tcW w:type="dxa" w:w="5040"/>
            <w:vAlign w:val="center"/>
          </w:tcPr>
          <w:p>
            <w:pPr>
              <w:spacing w:after="60"/>
            </w:pPr>
            <w:r>
              <w:rPr>
                <w:sz w:val="19"/>
              </w:rPr>
              <w:t>Evidence</w:t>
            </w:r>
          </w:p>
        </w:tc>
        <w:tc>
          <w:tcPr>
            <w:tcW w:type="dxa" w:w="5040"/>
            <w:vAlign w:val="center"/>
          </w:tcPr>
          <w:p>
            <w:pPr>
              <w:spacing w:after="60"/>
            </w:pPr>
            <w:r>
              <w:rPr>
                <w:sz w:val="19"/>
              </w:rPr>
              <w:t>Observed value materially differs from comparable market observations</w:t>
            </w:r>
          </w:p>
        </w:tc>
      </w:tr>
      <w:tr>
        <w:tc>
          <w:tcPr>
            <w:tcW w:type="dxa" w:w="5040"/>
            <w:vAlign w:val="center"/>
          </w:tcPr>
          <w:p>
            <w:pPr>
              <w:spacing w:after="60"/>
            </w:pPr>
            <w:r>
              <w:rPr>
                <w:sz w:val="19"/>
              </w:rPr>
              <w:t>Action</w:t>
            </w:r>
          </w:p>
        </w:tc>
        <w:tc>
          <w:tcPr>
            <w:tcW w:type="dxa" w:w="5040"/>
            <w:vAlign w:val="center"/>
          </w:tcPr>
          <w:p>
            <w:pPr>
              <w:spacing w:after="60"/>
            </w:pPr>
            <w:r>
              <w:rPr>
                <w:sz w:val="19"/>
              </w:rPr>
              <w:t>Review → Accept / Correct / Dismiss</w:t>
            </w:r>
          </w:p>
        </w:tc>
      </w:tr>
    </w:tbl>
    <w:p>
      <w:pPr>
        <w:pStyle w:val="Heading1"/>
        <w:keepNext/>
      </w:pPr>
      <w:r>
        <w:t>Appendix B — Core UI Navigation</w:t>
      </w:r>
    </w:p>
    <w:p>
      <w:pPr>
        <w:pStyle w:val="ListBullet"/>
      </w:pPr>
      <w:r>
        <w:t>Overview</w:t>
      </w:r>
    </w:p>
    <w:p>
      <w:pPr>
        <w:pStyle w:val="ListBullet"/>
      </w:pPr>
      <w:r>
        <w:t>Data → Upload</w:t>
      </w:r>
    </w:p>
    <w:p>
      <w:pPr>
        <w:pStyle w:val="ListBullet"/>
      </w:pPr>
      <w:r>
        <w:t>Data → Datasets</w:t>
      </w:r>
    </w:p>
    <w:p>
      <w:pPr>
        <w:pStyle w:val="ListBullet"/>
      </w:pPr>
      <w:r>
        <w:t>AI Intelligence → Quality</w:t>
      </w:r>
    </w:p>
    <w:p>
      <w:pPr>
        <w:pStyle w:val="ListBullet"/>
      </w:pPr>
      <w:r>
        <w:t>AI Intelligence → Anomalies</w:t>
      </w:r>
    </w:p>
    <w:p>
      <w:pPr>
        <w:pStyle w:val="ListBullet"/>
      </w:pPr>
      <w:r>
        <w:t>AI Intelligence → Matching</w:t>
      </w:r>
    </w:p>
    <w:p>
      <w:pPr>
        <w:pStyle w:val="ListBullet"/>
      </w:pPr>
      <w:r>
        <w:t>Review Center</w:t>
      </w:r>
    </w:p>
    <w:p>
      <w:pPr>
        <w:pStyle w:val="ListBullet"/>
      </w:pPr>
      <w:r>
        <w:t>Insights</w:t>
      </w:r>
    </w:p>
    <w:p>
      <w:pPr>
        <w:pStyle w:val="ListBullet"/>
      </w:pPr>
      <w:r>
        <w:t>Data Lineage</w:t>
      </w:r>
    </w:p>
    <w:p>
      <w:pPr>
        <w:pStyle w:val="ListBullet"/>
      </w:pPr>
      <w:r>
        <w:t>Settings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MINAGRI Data Intelligence Platform</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4A2E"/>
        <w:sz w:val="16"/>
      </w:rPr>
      <w:t>MINAGRI DATA INTELLIGENCE PLATFORM  •  SOLUTION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02A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5D3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4A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pPr>
    <w:rPr>
      <w:rFonts w:ascii="Aptos" w:hAnsi="Aptos"/>
      <w:color w:val="0B4A2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