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ontserrat" w:hAnsi="Montserrat"/>
          <w:b/>
          <w:color w:val="ED1165"/>
          <w:sz w:val="56"/>
        </w:rPr>
        <w:t>ROTEIRO DA APRESENTAÇÃO</w:t>
      </w:r>
    </w:p>
    <w:p>
      <w:pPr>
        <w:jc w:val="center"/>
      </w:pPr>
      <w:r>
        <w:rPr>
          <w:rFonts w:ascii="Montserrat" w:hAnsi="Montserrat"/>
          <w:b/>
          <w:color w:val="000000"/>
          <w:sz w:val="44"/>
        </w:rPr>
        <w:t>CP4 | Case iFood</w:t>
      </w:r>
    </w:p>
    <w:p>
      <w:pPr>
        <w:jc w:val="center"/>
      </w:pPr>
      <w:r>
        <w:rPr>
          <w:rFonts w:ascii="Montserrat" w:hAnsi="Montserrat"/>
          <w:b/>
          <w:color w:val="000000"/>
          <w:sz w:val="44"/>
        </w:rPr>
        <w:t>Cognitive Data Science + Machine Learning &amp; Modelling</w:t>
      </w:r>
    </w:p>
    <w:p>
      <w:pPr>
        <w:jc w:val="center"/>
      </w:pPr>
      <w:r>
        <w:rPr>
          <w:rFonts w:ascii="Montserrat" w:hAnsi="Montserrat"/>
          <w:b/>
          <w:color w:val="000000"/>
          <w:sz w:val="44"/>
        </w:rPr>
        <w:t>Grupo Perceptron · 1TIAPZ-2026</w:t>
      </w:r>
    </w:p>
    <w:p>
      <w:pPr>
        <w:jc w:val="center"/>
      </w:pPr>
      <w:r>
        <w:rPr>
          <w:rFonts w:ascii="Montserrat" w:hAnsi="Montserrat"/>
          <w:i/>
          <w:color w:val="333333"/>
          <w:sz w:val="24"/>
        </w:rPr>
        <w:t>Uma história curta sobre como usamos dados históricos para orientar um teste de campanha.</w:t>
      </w:r>
    </w:p>
    <w:p/>
    <w:p>
      <w:r>
        <w:rPr>
          <w:rFonts w:ascii="Montserrat" w:hAnsi="Montserrat"/>
          <w:b/>
          <w:sz w:val="18"/>
        </w:rPr>
        <w:t xml:space="preserve">Sala: </w:t>
      </w:r>
      <w:r>
        <w:rPr>
          <w:rFonts w:ascii="Montserrat" w:hAnsi="Montserrat"/>
          <w:sz w:val="18"/>
        </w:rPr>
        <w:t>1TIAPZ-2026</w:t>
      </w:r>
    </w:p>
    <w:p>
      <w:r>
        <w:rPr>
          <w:rFonts w:ascii="Montserrat" w:hAnsi="Montserrat"/>
          <w:b/>
          <w:sz w:val="18"/>
        </w:rPr>
        <w:t xml:space="preserve">Matéria: </w:t>
      </w:r>
      <w:r>
        <w:rPr>
          <w:rFonts w:ascii="Montserrat" w:hAnsi="Montserrat"/>
          <w:sz w:val="18"/>
        </w:rPr>
        <w:t>Cognitive Data Science + Machine Learning &amp; Modelling</w:t>
      </w:r>
    </w:p>
    <w:p>
      <w:r>
        <w:rPr>
          <w:rFonts w:ascii="Montserrat" w:hAnsi="Montserrat"/>
          <w:b/>
          <w:sz w:val="18"/>
        </w:rPr>
        <w:t xml:space="preserve">Grupo: </w:t>
      </w:r>
      <w:r>
        <w:rPr>
          <w:rFonts w:ascii="Montserrat" w:hAnsi="Montserrat"/>
          <w:sz w:val="18"/>
        </w:rPr>
        <w:t>Perceptron</w:t>
      </w:r>
    </w:p>
    <w:p>
      <w:r>
        <w:rPr>
          <w:rFonts w:ascii="Montserrat" w:hAnsi="Montserrat"/>
          <w:b/>
          <w:sz w:val="18"/>
        </w:rPr>
        <w:t xml:space="preserve">Integrantes: </w:t>
      </w:r>
      <w:r>
        <w:rPr>
          <w:rFonts w:ascii="Montserrat" w:hAnsi="Montserrat"/>
          <w:sz w:val="18"/>
        </w:rPr>
        <w:t>Giovanni Henrique Pereira Hessel (RM 570574)</w:t>
        <w:br/>
      </w:r>
      <w:r>
        <w:rPr>
          <w:rFonts w:ascii="Montserrat" w:hAnsi="Montserrat"/>
          <w:sz w:val="18"/>
        </w:rPr>
        <w:t>Suellen Pereira da Silva (RM 573862)</w:t>
        <w:br/>
      </w:r>
      <w:r>
        <w:rPr>
          <w:rFonts w:ascii="Montserrat" w:hAnsi="Montserrat"/>
          <w:sz w:val="18"/>
        </w:rPr>
        <w:t>Arthur Zeferino (RM 570858)</w:t>
        <w:br/>
      </w:r>
      <w:r>
        <w:rPr>
          <w:rFonts w:ascii="Montserrat" w:hAnsi="Montserrat"/>
          <w:sz w:val="18"/>
        </w:rPr>
        <w:t>Israel Carneiro de Toledo (RM 573854)</w:t>
      </w:r>
    </w:p>
    <w:p>
      <w:r>
        <w:br w:type="page"/>
      </w: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SLIDE 1 · ISRAEL: PERGUNTA E OBJETIVO</w:t>
      </w:r>
    </w:p>
    <w:p>
      <w:r>
        <w:rPr>
          <w:rFonts w:ascii="Montserrat" w:hAnsi="Montserrat"/>
          <w:b w:val="0"/>
          <w:color w:val="333333"/>
          <w:sz w:val="18"/>
        </w:rPr>
        <w:t>Nós começamos com uma pergunta de negócio: entre tantos clientes, quem tem maior chance de responder a uma campanha? A ideia é organizar melhor um teste de público. O modelo prevê respostas parecidas com as que vimos no histórico; ele não prova que a campanha causou a compra.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SLIDE 2 · GIOVANNI: O QUE OS DADOS MOSTRAM</w:t>
      </w:r>
    </w:p>
    <w:p>
      <w:r>
        <w:rPr>
          <w:rFonts w:ascii="Montserrat" w:hAnsi="Montserrat"/>
          <w:b w:val="0"/>
          <w:color w:val="333333"/>
          <w:sz w:val="18"/>
        </w:rPr>
        <w:t>Na base, 334 de 2.240 clientes aceitaram a campanha observada, cerca de 15%. Essa resposta é registrada na coluna RESPONSE. Também encontramos 193 perfis de preditores que se repetem, somando 201 registros além da primeira ocorrência. Como a resposta positiva é bem menos comum, olhar só a taxa geral de acerto poderia esconder um modelo que não encontra quase ninguém que responde.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SLIDE 3 · SUELLEN: DO ORACLE À ANÁLISE</w:t>
      </w:r>
    </w:p>
    <w:p>
      <w:r>
        <w:rPr>
          <w:rFonts w:ascii="Montserrat" w:hAnsi="Montserrat"/>
          <w:b w:val="0"/>
          <w:color w:val="333333"/>
          <w:sz w:val="18"/>
        </w:rPr>
        <w:t>Na parte de dados, criamos a tabela IFOOD_CUSTOMERS, definimos tipos e restrições e carregamos os registros do CSV. Em 18 de setembro, conferimos 2.240 linhas, 2.240 IDs distintos e a consulta Oracle com 29 campos. Demonstramos CREATE, ALTER, INSERT, UPDATE e DELETE em uma tabela separada, para não alterar a base principal. A modelagem agrupada atual ainda precisa ser executada com esse DataFrame Oracle.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SLIDE 4 · SUELLEN: VARIÁVEIS QUE AJUDAM A CONTAR A HISTÓRIA</w:t>
      </w:r>
    </w:p>
    <w:p>
      <w:r>
        <w:rPr>
          <w:rFonts w:ascii="Montserrat" w:hAnsi="Montserrat"/>
          <w:b w:val="0"/>
          <w:color w:val="333333"/>
          <w:sz w:val="18"/>
        </w:rPr>
        <w:t>Também criamos variáveis mais fáceis de interpretar. Juntamos gastos e compras, resumimos o número de campanhas aceitas e calculamos idade aproximada, composição familiar, participação de compras pela web e tempo de relacionamento. Essas variáveis ajudam a descrever o cliente sem usar a resposta que queremos prever.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SLIDE 5 · ARTHUR: COMPARAÇÃO SEM VAZAMENTO</w:t>
      </w:r>
    </w:p>
    <w:p>
      <w:r>
        <w:rPr>
          <w:rFonts w:ascii="Montserrat" w:hAnsi="Montserrat"/>
          <w:b w:val="0"/>
          <w:color w:val="333333"/>
          <w:sz w:val="18"/>
        </w:rPr>
        <w:t>Para comparar as árvores com justiça, reservamos um teste estratificado de 20% antes de ajustar os parâmetros. Mantivemos a proporção de respostas e os perfis iguais do mesmo lado. No treino, fizemos cinco dobras mantendo a proporção de respostas, escolhemos a configuração pela ROC AUC e ajustamos critério, profundidade, mínimo de clientes por folha e peso de classe. A imputação e as categorias também são ajustadas só dentro do treino.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SLIDE 6 · ISRAEL: RESULTADO E PRÓXIMO PASSO</w:t>
      </w:r>
    </w:p>
    <w:p>
      <w:r>
        <w:rPr>
          <w:rFonts w:ascii="Montserrat" w:hAnsi="Montserrat"/>
          <w:b w:val="0"/>
          <w:color w:val="333333"/>
          <w:sz w:val="18"/>
        </w:rPr>
        <w:t>Na validação local agrupada, a ROC AUC, que indica se quem respondeu fica acima de quem não respondeu no ranking, foi de 0,6357 na referência e 0,7973 na árvore ajustada. A precisão passou de 0,3651 para 0,5000, enquanto o recall caiu de 0,3433 para 0,3134. Isso mostra uma troca: a árvore ajustada ordenou melhor e aumentou a precisão, mas encontrou menos dos clientes que responderam. Como próximo passo de produto, escolheríamos o limite de contato e testaríamos a campanha contra um grupo de controle. Esses números ainda são da validação local com o CSV; precisamos salvar a execução agrupada usando o DataFrame Oracle.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PASSAGEM PARA O NOTEBOOK</w:t>
      </w:r>
    </w:p>
    <w:p>
      <w:r>
        <w:rPr>
          <w:rFonts w:ascii="Montserrat" w:hAnsi="Montserrat"/>
          <w:b w:val="0"/>
          <w:color w:val="333333"/>
          <w:sz w:val="18"/>
        </w:rPr>
        <w:t>Agora vamos abrir o notebook e mostrar a consulta, a separação do teste e a comparação das métricas.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