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 2026 OPERATIONS REPORT (DRAFT)</w:t>
      </w:r>
    </w:p>
    <w:p>
      <w:r>
        <w:t>Period: April-June 2026 (draft — figures not final).</w:t>
      </w:r>
    </w:p>
    <w:p>
      <w:r>
        <w:t>Intake volume tracking flat; two vendor onboardings completed.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