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8F90" w14:textId="77777777" w:rsidR="001D33B4" w:rsidRPr="00D3495F" w:rsidRDefault="00AA3F8F" w:rsidP="00AA3F8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     </w:t>
      </w:r>
      <w:r w:rsidRPr="001D33B4">
        <w:rPr>
          <w:rFonts w:ascii="Arial" w:hAnsi="Arial" w:cs="Arial"/>
          <w:b/>
          <w:color w:val="000000"/>
          <w:sz w:val="24"/>
          <w:szCs w:val="24"/>
        </w:rPr>
        <w:t xml:space="preserve">PRODUCTOS FORESTALES </w:t>
      </w:r>
      <w:r>
        <w:rPr>
          <w:rFonts w:ascii="Arial" w:hAnsi="Arial" w:cs="Arial"/>
          <w:b/>
          <w:color w:val="000000"/>
          <w:sz w:val="24"/>
          <w:szCs w:val="24"/>
        </w:rPr>
        <w:t>DE LOS BOSQUES</w:t>
      </w:r>
      <w:bookmarkStart w:id="0" w:name="_GoBack"/>
      <w:bookmarkEnd w:id="0"/>
      <w:r w:rsidRPr="001D33B4">
        <w:rPr>
          <w:rFonts w:ascii="Arial" w:hAnsi="Arial" w:cs="Arial"/>
          <w:b/>
          <w:color w:val="000000"/>
          <w:sz w:val="24"/>
          <w:szCs w:val="24"/>
        </w:rPr>
        <w:t>– PROGRAMA FORESTAL:</w:t>
      </w:r>
    </w:p>
    <w:p w14:paraId="207645A8" w14:textId="77777777" w:rsidR="00D3495F" w:rsidRPr="001D33B4" w:rsidRDefault="00D3495F" w:rsidP="00D3495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45AF64D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APRM Sur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contiene </w:t>
      </w:r>
      <w:r>
        <w:rPr>
          <w:rFonts w:ascii="Arial" w:hAnsi="Arial" w:cs="Arial"/>
          <w:color w:val="000000"/>
          <w:sz w:val="24"/>
          <w:szCs w:val="24"/>
        </w:rPr>
        <w:t xml:space="preserve">gran diversidad de recursos maderables como </w:t>
      </w:r>
      <w:r w:rsidRPr="00FC2AAE">
        <w:rPr>
          <w:rFonts w:ascii="Arial" w:hAnsi="Arial" w:cs="Arial"/>
          <w:color w:val="000000"/>
          <w:sz w:val="24"/>
          <w:szCs w:val="24"/>
        </w:rPr>
        <w:t>cedro, caoba, roble, soplillo, h</w:t>
      </w:r>
      <w:r>
        <w:rPr>
          <w:rFonts w:ascii="Arial" w:hAnsi="Arial" w:cs="Arial"/>
          <w:color w:val="000000"/>
          <w:sz w:val="24"/>
          <w:szCs w:val="24"/>
        </w:rPr>
        <w:t>umo, almácigo, arabo, guayacán, entre otro</w:t>
      </w:r>
      <w:r w:rsidRPr="00FC2AAE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, los cuales pueden ser aprovechados para la construcción (madera </w:t>
      </w:r>
      <w:r w:rsidRPr="00EC5AF6">
        <w:rPr>
          <w:rFonts w:ascii="Arial" w:hAnsi="Arial" w:cs="Arial"/>
          <w:color w:val="000000"/>
          <w:sz w:val="24"/>
          <w:szCs w:val="24"/>
        </w:rPr>
        <w:t>en rollo, aserrada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Pr="00EC5AF6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por las empresas Eléctrica y ETECSA (</w:t>
      </w:r>
      <w:r w:rsidRPr="00EC5AF6">
        <w:rPr>
          <w:rFonts w:ascii="Arial" w:hAnsi="Arial" w:cs="Arial"/>
          <w:color w:val="000000"/>
          <w:sz w:val="24"/>
          <w:szCs w:val="24"/>
        </w:rPr>
        <w:t>postes</w:t>
      </w:r>
      <w:r>
        <w:rPr>
          <w:rFonts w:ascii="Arial" w:hAnsi="Arial" w:cs="Arial"/>
          <w:color w:val="000000"/>
          <w:sz w:val="24"/>
          <w:szCs w:val="24"/>
        </w:rPr>
        <w:t xml:space="preserve">), en la Agricultura (madre y horcón), por las empresas marítimas (bujes de barcos, eje de la chumacera) y por las empresas de Industrias Locales y la Forestal (marcos de puertas y en la carpintería) y los  no maderables como guaniquiqui, la trinax, </w:t>
      </w:r>
      <w:r>
        <w:rPr>
          <w:rFonts w:ascii="Arial" w:hAnsi="Arial" w:cs="Arial"/>
          <w:sz w:val="24"/>
        </w:rPr>
        <w:t xml:space="preserve">el </w:t>
      </w:r>
      <w:r w:rsidRPr="00AA254C">
        <w:rPr>
          <w:rFonts w:ascii="Arial" w:hAnsi="Arial" w:cs="Arial"/>
          <w:sz w:val="24"/>
        </w:rPr>
        <w:t xml:space="preserve">yarey, palma cana, y las más comunes: yuraguano, roble blanco, ceiba, almacigo, brasilete, hicaco de costa, júcaro, patabán, ébano real, arabo, jiba macho, yaití y jigui. </w:t>
      </w:r>
    </w:p>
    <w:p w14:paraId="60A7D19F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estos recursos 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la </w:t>
      </w:r>
      <w:r w:rsidRPr="007F5CFE">
        <w:rPr>
          <w:rFonts w:ascii="Arial" w:hAnsi="Arial" w:cs="Arial"/>
          <w:color w:val="000000"/>
          <w:sz w:val="24"/>
          <w:szCs w:val="24"/>
        </w:rPr>
        <w:t xml:space="preserve">empresa Flora y Fauna 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extrajo del </w:t>
      </w:r>
      <w:r>
        <w:rPr>
          <w:rFonts w:ascii="Arial" w:hAnsi="Arial" w:cs="Arial"/>
          <w:color w:val="000000"/>
          <w:sz w:val="24"/>
          <w:szCs w:val="24"/>
        </w:rPr>
        <w:t>APRM Sur un total de 8000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 postes, </w:t>
      </w:r>
      <w:r>
        <w:rPr>
          <w:rFonts w:ascii="Arial" w:hAnsi="Arial" w:cs="Arial"/>
          <w:color w:val="000000"/>
          <w:sz w:val="24"/>
          <w:szCs w:val="24"/>
        </w:rPr>
        <w:t>20000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 cujes para tabaco, </w:t>
      </w:r>
      <w:r>
        <w:rPr>
          <w:rFonts w:ascii="Arial" w:hAnsi="Arial" w:cs="Arial"/>
          <w:color w:val="000000"/>
          <w:sz w:val="24"/>
          <w:szCs w:val="24"/>
        </w:rPr>
        <w:t>1 500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 horcones, 2</w:t>
      </w:r>
      <w:r>
        <w:rPr>
          <w:rFonts w:ascii="Arial" w:hAnsi="Arial" w:cs="Arial"/>
          <w:color w:val="000000"/>
          <w:sz w:val="24"/>
          <w:szCs w:val="24"/>
        </w:rPr>
        <w:t>70</w:t>
      </w:r>
      <w:r w:rsidRPr="00116B01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5 m³ de madera dura y </w:t>
      </w:r>
      <w:r>
        <w:rPr>
          <w:rFonts w:ascii="Arial" w:hAnsi="Arial" w:cs="Arial"/>
          <w:color w:val="000000"/>
          <w:sz w:val="24"/>
          <w:szCs w:val="24"/>
        </w:rPr>
        <w:t>70.95</w:t>
      </w:r>
      <w:r w:rsidRPr="00116B01">
        <w:rPr>
          <w:rFonts w:ascii="Arial" w:hAnsi="Arial" w:cs="Arial"/>
          <w:color w:val="000000"/>
          <w:sz w:val="24"/>
          <w:szCs w:val="24"/>
        </w:rPr>
        <w:t xml:space="preserve"> m³ de </w:t>
      </w:r>
      <w:r>
        <w:rPr>
          <w:rFonts w:ascii="Arial" w:hAnsi="Arial" w:cs="Arial"/>
          <w:color w:val="000000"/>
          <w:sz w:val="24"/>
          <w:szCs w:val="24"/>
        </w:rPr>
        <w:t>almacigo en bolos, los precios de cada producto están establecidos según ficha de costo presentada por la entidad.</w:t>
      </w:r>
    </w:p>
    <w:p w14:paraId="21219F19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C2AAE">
        <w:rPr>
          <w:rFonts w:ascii="Arial" w:hAnsi="Arial" w:cs="Arial"/>
          <w:color w:val="000000"/>
          <w:sz w:val="24"/>
          <w:szCs w:val="24"/>
        </w:rPr>
        <w:t xml:space="preserve">Los cálculos de la investigación </w:t>
      </w:r>
      <w:r>
        <w:rPr>
          <w:rFonts w:ascii="Arial" w:hAnsi="Arial" w:cs="Arial"/>
          <w:color w:val="000000"/>
          <w:sz w:val="24"/>
          <w:szCs w:val="24"/>
        </w:rPr>
        <w:t xml:space="preserve">se muestran en la Tabla No. </w:t>
      </w:r>
      <w:r w:rsidR="007A6818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, obteniéndose 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un valor económico de $ </w:t>
      </w:r>
      <w:r>
        <w:rPr>
          <w:rFonts w:ascii="Arial" w:hAnsi="Arial" w:cs="Arial"/>
          <w:color w:val="000000"/>
          <w:sz w:val="24"/>
          <w:szCs w:val="24"/>
        </w:rPr>
        <w:t xml:space="preserve">1 984 175.57 </w:t>
      </w:r>
      <w:r w:rsidRPr="00FC2AAE">
        <w:rPr>
          <w:rFonts w:ascii="Arial" w:hAnsi="Arial" w:cs="Arial"/>
          <w:color w:val="000000"/>
          <w:sz w:val="24"/>
          <w:szCs w:val="24"/>
        </w:rPr>
        <w:t>CUP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21E14FDC" w14:textId="77777777" w:rsidR="001D33B4" w:rsidRPr="00094941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7E4C">
        <w:rPr>
          <w:rFonts w:ascii="Arial" w:hAnsi="Arial" w:cs="Arial"/>
          <w:b/>
          <w:color w:val="000000"/>
          <w:sz w:val="24"/>
          <w:szCs w:val="24"/>
        </w:rPr>
        <w:t xml:space="preserve">Tabla No. </w:t>
      </w:r>
      <w:proofErr w:type="gramStart"/>
      <w:r w:rsidR="007A6818">
        <w:rPr>
          <w:rFonts w:ascii="Arial" w:hAnsi="Arial" w:cs="Arial"/>
          <w:b/>
          <w:color w:val="000000"/>
          <w:sz w:val="24"/>
          <w:szCs w:val="24"/>
        </w:rPr>
        <w:t>1</w:t>
      </w:r>
      <w:r w:rsidRPr="003D7E4C">
        <w:rPr>
          <w:rFonts w:ascii="Arial" w:hAnsi="Arial" w:cs="Arial"/>
          <w:b/>
          <w:color w:val="000000"/>
          <w:sz w:val="24"/>
          <w:szCs w:val="24"/>
        </w:rPr>
        <w:t>:</w:t>
      </w:r>
      <w:r w:rsidRPr="003D7E4C">
        <w:rPr>
          <w:rFonts w:ascii="Arial" w:hAnsi="Arial" w:cs="Arial"/>
          <w:i/>
          <w:color w:val="000000"/>
          <w:sz w:val="24"/>
          <w:szCs w:val="24"/>
        </w:rPr>
        <w:t>Valor</w:t>
      </w:r>
      <w:proofErr w:type="gramEnd"/>
      <w:r w:rsidRPr="003D7E4C">
        <w:rPr>
          <w:rFonts w:ascii="Arial" w:hAnsi="Arial" w:cs="Arial"/>
          <w:i/>
          <w:color w:val="000000"/>
          <w:sz w:val="24"/>
          <w:szCs w:val="24"/>
        </w:rPr>
        <w:t xml:space="preserve"> económico del servicio ambiental</w:t>
      </w:r>
      <w:r w:rsidRPr="003D7E4C">
        <w:t xml:space="preserve"> “</w:t>
      </w:r>
      <w:r w:rsidRPr="003D7E4C">
        <w:rPr>
          <w:rFonts w:ascii="Arial" w:hAnsi="Arial" w:cs="Arial"/>
          <w:i/>
          <w:color w:val="000000"/>
          <w:sz w:val="24"/>
          <w:szCs w:val="24"/>
        </w:rPr>
        <w:t>Recursos minerales”</w:t>
      </w:r>
      <w:r w:rsidRPr="003D7E4C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W w:w="84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0"/>
        <w:gridCol w:w="1615"/>
        <w:gridCol w:w="1574"/>
        <w:gridCol w:w="2065"/>
      </w:tblGrid>
      <w:tr w:rsidR="001D33B4" w:rsidRPr="00F455C0" w14:paraId="18974A8E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1733A" w14:textId="77777777" w:rsidR="001D33B4" w:rsidRPr="00C23580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Productos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E5CC7" w14:textId="77777777" w:rsidR="001D33B4" w:rsidRPr="00C23580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Producción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9F690" w14:textId="77777777" w:rsidR="001D33B4" w:rsidRPr="00C23580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P</w:t>
            </w:r>
            <w:r w:rsidRPr="00C23580"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recio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4DBF6" w14:textId="77777777" w:rsidR="001D33B4" w:rsidRPr="00C23580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 w:rsidRPr="00C23580"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Ingreso</w:t>
            </w:r>
            <w:r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s (CUP)</w:t>
            </w:r>
          </w:p>
        </w:tc>
      </w:tr>
      <w:tr w:rsidR="001D33B4" w:rsidRPr="00F455C0" w14:paraId="3B6E7289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13E96C" w14:textId="77777777" w:rsidR="001D33B4" w:rsidRPr="006844F4" w:rsidRDefault="001D33B4" w:rsidP="00F455C0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Madera dura (m</w:t>
            </w:r>
            <w:r w:rsidRPr="006844F4">
              <w:rPr>
                <w:rFonts w:ascii="Arial" w:hAnsi="Arial" w:cs="Arial"/>
                <w:color w:val="000000"/>
                <w:sz w:val="24"/>
                <w:vertAlign w:val="superscript"/>
                <w:lang w:val="es-ES_tradnl" w:eastAsia="es-ES_tradnl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)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EECB25" w14:textId="77777777" w:rsidR="001D33B4" w:rsidRPr="006844F4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270.55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F42E79" w14:textId="77777777" w:rsidR="001D33B4" w:rsidRPr="006844F4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$   5 560.28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A79E3D" w14:textId="77777777" w:rsidR="001D33B4" w:rsidRPr="006844F4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 w:rsidRPr="006844F4"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 xml:space="preserve">$   </w:t>
            </w: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1 504 333.75</w:t>
            </w:r>
          </w:p>
        </w:tc>
      </w:tr>
      <w:tr w:rsidR="001D33B4" w:rsidRPr="00F455C0" w14:paraId="497D3CDB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CC96" w14:textId="77777777" w:rsidR="001D33B4" w:rsidRPr="00C23580" w:rsidRDefault="001D33B4" w:rsidP="00F455C0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Almacigo en bolos (m</w:t>
            </w:r>
            <w:r w:rsidRPr="006844F4">
              <w:rPr>
                <w:rFonts w:ascii="Arial" w:hAnsi="Arial" w:cs="Arial"/>
                <w:color w:val="000000"/>
                <w:sz w:val="24"/>
                <w:vertAlign w:val="superscript"/>
                <w:lang w:val="es-ES_tradnl" w:eastAsia="es-ES_tradnl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)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4FAA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70.95</w:t>
            </w:r>
          </w:p>
        </w:tc>
        <w:tc>
          <w:tcPr>
            <w:tcW w:w="15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F6F0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1 872.33</w:t>
            </w:r>
          </w:p>
        </w:tc>
        <w:tc>
          <w:tcPr>
            <w:tcW w:w="20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2849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 xml:space="preserve"> 132 841.81</w:t>
            </w:r>
          </w:p>
        </w:tc>
      </w:tr>
      <w:tr w:rsidR="001D33B4" w:rsidRPr="00F455C0" w14:paraId="1ABFC208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946A35" w14:textId="77777777" w:rsidR="001D33B4" w:rsidRPr="00C23580" w:rsidRDefault="001D33B4" w:rsidP="00F455C0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Postes (u)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6C7D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8 000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CD34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15.00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1CE8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120 000.00</w:t>
            </w:r>
          </w:p>
        </w:tc>
      </w:tr>
      <w:tr w:rsidR="001D33B4" w:rsidRPr="00F455C0" w14:paraId="2E469DCF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8366E7" w14:textId="77777777" w:rsidR="001D33B4" w:rsidRPr="006844F4" w:rsidRDefault="001D33B4" w:rsidP="00F455C0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Horcón (u)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0F7605" w14:textId="77777777" w:rsidR="001D33B4" w:rsidRPr="006844F4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1 500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2F904E" w14:textId="77777777" w:rsidR="001D33B4" w:rsidRPr="006844F4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18.00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BFEF28" w14:textId="77777777" w:rsidR="001D33B4" w:rsidRPr="006844F4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27 000.00</w:t>
            </w:r>
          </w:p>
        </w:tc>
      </w:tr>
      <w:tr w:rsidR="001D33B4" w:rsidRPr="00F455C0" w14:paraId="03E711E4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20E497" w14:textId="77777777" w:rsidR="001D33B4" w:rsidRPr="00504AD7" w:rsidRDefault="001D33B4" w:rsidP="00F455C0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Cujes para tabacos (u)</w:t>
            </w:r>
          </w:p>
        </w:tc>
        <w:tc>
          <w:tcPr>
            <w:tcW w:w="161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EE5F42" w14:textId="77777777" w:rsidR="001D33B4" w:rsidRPr="00504AD7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20 000</w:t>
            </w:r>
          </w:p>
        </w:tc>
        <w:tc>
          <w:tcPr>
            <w:tcW w:w="157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C917C1" w14:textId="77777777" w:rsidR="001D33B4" w:rsidRPr="00504AD7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lang w:val="es-ES_tradnl" w:eastAsia="es-ES_tradnl"/>
              </w:rPr>
              <w:t>10.00</w:t>
            </w:r>
          </w:p>
        </w:tc>
        <w:tc>
          <w:tcPr>
            <w:tcW w:w="20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A12A78" w14:textId="77777777" w:rsidR="001D33B4" w:rsidRPr="00504AD7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lang w:eastAsia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200 000.00</w:t>
            </w:r>
          </w:p>
        </w:tc>
      </w:tr>
      <w:tr w:rsidR="001D33B4" w:rsidRPr="00F455C0" w14:paraId="5E64D3B0" w14:textId="77777777" w:rsidTr="00F455C0">
        <w:trPr>
          <w:trHeight w:hRule="exact" w:val="340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1891" w14:textId="77777777" w:rsidR="001D33B4" w:rsidRPr="00C23580" w:rsidRDefault="001D33B4" w:rsidP="00F455C0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 w:rsidRPr="00C23580"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94A1E" w14:textId="77777777" w:rsidR="001D33B4" w:rsidRPr="00C23580" w:rsidRDefault="001D33B4" w:rsidP="00F455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D39C4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DD803" w14:textId="77777777" w:rsidR="001D33B4" w:rsidRPr="00C23580" w:rsidRDefault="001D33B4" w:rsidP="00F455C0">
            <w:pPr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  <w:sz w:val="24"/>
                <w:lang w:val="es-ES_tradnl" w:eastAsia="es-ES_tradnl"/>
              </w:rPr>
            </w:pPr>
            <w:r w:rsidRPr="00B06A8B">
              <w:rPr>
                <w:rFonts w:ascii="Arial" w:hAnsi="Arial" w:cs="Arial"/>
                <w:b/>
                <w:color w:val="000000"/>
                <w:sz w:val="24"/>
                <w:lang w:eastAsia="es-ES_tradnl"/>
              </w:rPr>
              <w:t xml:space="preserve">$ </w:t>
            </w:r>
            <w:r>
              <w:rPr>
                <w:rFonts w:ascii="Arial" w:hAnsi="Arial" w:cs="Arial"/>
                <w:b/>
                <w:color w:val="000000"/>
                <w:sz w:val="24"/>
                <w:lang w:eastAsia="es-ES_tradnl"/>
              </w:rPr>
              <w:t xml:space="preserve">  1 984 175.57</w:t>
            </w:r>
          </w:p>
        </w:tc>
      </w:tr>
    </w:tbl>
    <w:p w14:paraId="5D19F6A7" w14:textId="77777777" w:rsidR="005F5AE8" w:rsidRDefault="005F5AE8"/>
    <w:p w14:paraId="48185E34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</w:p>
    <w:p w14:paraId="69E2BC31" w14:textId="77777777" w:rsidR="001D33B4" w:rsidRPr="001D33B4" w:rsidRDefault="001D33B4" w:rsidP="00D3495F">
      <w:pPr>
        <w:rPr>
          <w:rFonts w:ascii="Arial" w:hAnsi="Arial" w:cs="Arial"/>
          <w:color w:val="000000"/>
          <w:sz w:val="24"/>
          <w:szCs w:val="24"/>
        </w:rPr>
      </w:pPr>
    </w:p>
    <w:p w14:paraId="3A5A92B2" w14:textId="77777777" w:rsidR="001D33B4" w:rsidRPr="001D33B4" w:rsidRDefault="001D33B4">
      <w:pPr>
        <w:rPr>
          <w:lang w:val="es-ES_tradnl"/>
        </w:rPr>
      </w:pPr>
    </w:p>
    <w:sectPr w:rsidR="001D33B4" w:rsidRPr="001D33B4" w:rsidSect="00AA3F8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914"/>
    <w:multiLevelType w:val="hybridMultilevel"/>
    <w:tmpl w:val="99C21804"/>
    <w:lvl w:ilvl="0" w:tplc="0C0A000D">
      <w:start w:val="1"/>
      <w:numFmt w:val="bullet"/>
      <w:lvlText w:val=""/>
      <w:lvlJc w:val="left"/>
      <w:pPr>
        <w:ind w:left="333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5271"/>
    <w:multiLevelType w:val="hybridMultilevel"/>
    <w:tmpl w:val="EF6ECE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3CCD"/>
    <w:multiLevelType w:val="hybridMultilevel"/>
    <w:tmpl w:val="5AA62978"/>
    <w:lvl w:ilvl="0" w:tplc="63DA0732">
      <w:start w:val="1"/>
      <w:numFmt w:val="bullet"/>
      <w:lvlText w:val=""/>
      <w:lvlJc w:val="left"/>
      <w:pPr>
        <w:ind w:left="5464" w:hanging="360"/>
      </w:pPr>
      <w:rPr>
        <w:rFonts w:ascii="Wingdings" w:hAnsi="Wingdings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84B"/>
    <w:multiLevelType w:val="hybridMultilevel"/>
    <w:tmpl w:val="ABECF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837"/>
    <w:multiLevelType w:val="hybridMultilevel"/>
    <w:tmpl w:val="1E28636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16375">
    <w:abstractNumId w:val="2"/>
  </w:num>
  <w:num w:numId="2" w16cid:durableId="1879393144">
    <w:abstractNumId w:val="0"/>
  </w:num>
  <w:num w:numId="3" w16cid:durableId="38559608">
    <w:abstractNumId w:val="1"/>
  </w:num>
  <w:num w:numId="4" w16cid:durableId="1092779607">
    <w:abstractNumId w:val="4"/>
  </w:num>
  <w:num w:numId="5" w16cid:durableId="79973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B4"/>
    <w:rsid w:val="001D33B4"/>
    <w:rsid w:val="001E3CD8"/>
    <w:rsid w:val="005448E4"/>
    <w:rsid w:val="005F5AE8"/>
    <w:rsid w:val="00612EF6"/>
    <w:rsid w:val="007A6818"/>
    <w:rsid w:val="00AA3F8F"/>
    <w:rsid w:val="00D3495F"/>
    <w:rsid w:val="00E43302"/>
    <w:rsid w:val="00F4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D8C9"/>
  <w15:chartTrackingRefBased/>
  <w15:docId w15:val="{8E8EADCA-138F-45CE-BE3E-8882756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B4"/>
    <w:pPr>
      <w:spacing w:after="160" w:line="259" w:lineRule="auto"/>
    </w:pPr>
    <w:rPr>
      <w:rFonts w:eastAsia="Times New Roman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1D33B4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rsid w:val="001D33B4"/>
    <w:rPr>
      <w:rFonts w:eastAsia="Times New Roman" w:cs="Times New Roman"/>
    </w:rPr>
  </w:style>
  <w:style w:type="table" w:styleId="Tablaconcuadrcula">
    <w:name w:val="Table Grid"/>
    <w:basedOn w:val="Tablanormal"/>
    <w:uiPriority w:val="39"/>
    <w:rsid w:val="001D3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Yanisleydis</dc:creator>
  <cp:keywords/>
  <cp:lastModifiedBy>Guille Toranzo</cp:lastModifiedBy>
  <cp:revision>2</cp:revision>
  <dcterms:created xsi:type="dcterms:W3CDTF">2024-07-06T08:04:00Z</dcterms:created>
  <dcterms:modified xsi:type="dcterms:W3CDTF">2024-07-06T08:04:00Z</dcterms:modified>
</cp:coreProperties>
</file>