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6"/>
      </w:tblGrid>
      <w:tr w:rsidR="0043128B" w:rsidRPr="0043128B" w:rsidTr="0043128B">
        <w:trPr>
          <w:trHeight w:val="465"/>
        </w:trPr>
        <w:tc>
          <w:tcPr>
            <w:tcW w:w="10956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                      </w:t>
            </w:r>
            <w:r w:rsidRPr="00431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EXPEDIENTE DE PRODUCTO</w:t>
            </w:r>
            <w:r w:rsidRPr="00431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CODIFICACIÓN: </w:t>
            </w:r>
          </w:p>
        </w:tc>
      </w:tr>
      <w:tr w:rsidR="0043128B" w:rsidRPr="0043128B" w:rsidTr="0043128B">
        <w:trPr>
          <w:trHeight w:val="360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(2) FECHA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: 5/ Octubre /2021</w:t>
            </w:r>
            <w:r w:rsidRPr="0043128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  <w:t xml:space="preserve"> </w:t>
            </w: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</w:t>
            </w:r>
          </w:p>
        </w:tc>
      </w:tr>
      <w:tr w:rsidR="0043128B" w:rsidRPr="0043128B" w:rsidTr="0043128B">
        <w:trPr>
          <w:trHeight w:val="360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(3) NOMBRE DEL PRODUCTO: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Sendero Ecológico: </w:t>
            </w:r>
            <w:r w:rsidRPr="0043128B">
              <w:rPr>
                <w:rFonts w:ascii="Times New Roman" w:eastAsia="Times New Roman" w:hAnsi="Times New Roman" w:cs="Times New Roman"/>
                <w:b/>
                <w:color w:val="4F6228"/>
                <w:sz w:val="24"/>
                <w:szCs w:val="24"/>
                <w:lang w:eastAsia="es-ES"/>
              </w:rPr>
              <w:t>La cueva del Pirata Leclerc</w:t>
            </w:r>
          </w:p>
        </w:tc>
      </w:tr>
      <w:tr w:rsidR="0043128B" w:rsidRPr="0043128B" w:rsidTr="0043128B">
        <w:trPr>
          <w:trHeight w:val="360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(4) TERRITORIO DE PREFERENTE USO TURÍSTICO: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Parque Nacional Punta Francés. </w:t>
            </w:r>
          </w:p>
        </w:tc>
      </w:tr>
      <w:tr w:rsidR="0043128B" w:rsidRPr="0043128B" w:rsidTr="0043128B">
        <w:trPr>
          <w:trHeight w:val="360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(5) ENTIDAD</w:t>
            </w:r>
            <w:proofErr w:type="gramStart"/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Empresa</w:t>
            </w:r>
            <w:proofErr w:type="gramEnd"/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municipal para la Protección de la Flora y Fauna. </w:t>
            </w:r>
          </w:p>
        </w:tc>
      </w:tr>
      <w:tr w:rsidR="0043128B" w:rsidRPr="0043128B" w:rsidTr="0043128B">
        <w:trPr>
          <w:trHeight w:val="360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(6) DEPENDENCIA DE LA ENTIDAD: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Área Protegida de Recursos Manejados Sur de la Isla.</w:t>
            </w:r>
          </w:p>
        </w:tc>
      </w:tr>
      <w:tr w:rsidR="0043128B" w:rsidRPr="0043128B" w:rsidTr="0043128B">
        <w:trPr>
          <w:trHeight w:val="360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(7) DIRECCIÓN: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Calle 13 final, Sierra de Caballos, Nueva Gerona, Isla de la Juventud.</w:t>
            </w:r>
          </w:p>
        </w:tc>
      </w:tr>
      <w:tr w:rsidR="0043128B" w:rsidRPr="0043128B" w:rsidTr="0043128B">
        <w:trPr>
          <w:trHeight w:val="360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(8) MODALIDAD: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Turismo de Naturaleza. (Sendero ecológico)</w:t>
            </w:r>
          </w:p>
        </w:tc>
      </w:tr>
      <w:tr w:rsidR="0043128B" w:rsidRPr="0043128B" w:rsidTr="0043128B">
        <w:trPr>
          <w:trHeight w:val="375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(9) LOCALIZACIÓN DEL PRODUCTO:</w:t>
            </w:r>
            <w:r w:rsidRPr="004312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43128B" w:rsidRPr="0043128B" w:rsidTr="0043128B">
        <w:trPr>
          <w:trHeight w:val="674"/>
        </w:trPr>
        <w:tc>
          <w:tcPr>
            <w:tcW w:w="10956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(10) MAPA DEL ÁREA: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43128B">
              <w:rPr>
                <w:rFonts w:ascii="Times New Roman" w:eastAsia="Times New Roman" w:hAnsi="Times New Roman" w:cs="Times New Roman"/>
                <w:i/>
                <w:iCs/>
                <w:color w:val="4F6228"/>
                <w:sz w:val="24"/>
                <w:szCs w:val="24"/>
                <w:lang w:eastAsia="es-ES"/>
              </w:rPr>
              <w:t>Referencia: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Hoja cartográfica 3681-IV-d, 3681-III-b, 3581-III- d, 3680-IV- d, 3680-I-c 3680-II-a  escala 1: 25 000 Coordenadas al inicio: (Norte- Este): 275 112   199 528  y final  275 097   199 126</w:t>
            </w:r>
          </w:p>
        </w:tc>
      </w:tr>
      <w:tr w:rsidR="0043128B" w:rsidRPr="0043128B" w:rsidTr="0043128B">
        <w:trPr>
          <w:trHeight w:val="7380"/>
        </w:trPr>
        <w:tc>
          <w:tcPr>
            <w:tcW w:w="10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86"/>
            </w:tblGrid>
            <w:tr w:rsidR="0043128B" w:rsidRPr="0043128B" w:rsidTr="0043128B">
              <w:trPr>
                <w:trHeight w:val="9496"/>
                <w:tblCellSpacing w:w="0" w:type="dxa"/>
              </w:trPr>
              <w:tc>
                <w:tcPr>
                  <w:tcW w:w="1078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hideMark/>
                </w:tcPr>
                <w:p w:rsidR="0043128B" w:rsidRPr="0043128B" w:rsidRDefault="0043128B" w:rsidP="004312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color w:val="000000"/>
                      <w:lang w:eastAsia="es-ES"/>
                    </w:rPr>
                    <w:drawing>
                      <wp:anchor distT="0" distB="0" distL="114300" distR="114300" simplePos="0" relativeHeight="251658240" behindDoc="0" locked="0" layoutInCell="1" allowOverlap="1" wp14:anchorId="2853346A" wp14:editId="1B0E982F">
                        <wp:simplePos x="0" y="0"/>
                        <wp:positionH relativeFrom="column">
                          <wp:posOffset>78816</wp:posOffset>
                        </wp:positionH>
                        <wp:positionV relativeFrom="paragraph">
                          <wp:posOffset>179603</wp:posOffset>
                        </wp:positionV>
                        <wp:extent cx="6671462" cy="5486400"/>
                        <wp:effectExtent l="0" t="0" r="0" b="0"/>
                        <wp:wrapNone/>
                        <wp:docPr id="3" name="Imagen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2 Image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71462" cy="54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43128B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 xml:space="preserve">Croquis del sendero:      </w:t>
                  </w:r>
                </w:p>
              </w:tc>
            </w:tr>
          </w:tbl>
          <w:p w:rsidR="0043128B" w:rsidRPr="0043128B" w:rsidRDefault="0043128B" w:rsidP="00431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43128B" w:rsidRDefault="0043128B">
      <w:pPr>
        <w:sectPr w:rsidR="0043128B" w:rsidSect="00217F8F">
          <w:pgSz w:w="11906" w:h="16838"/>
          <w:pgMar w:top="568" w:right="282" w:bottom="1417" w:left="709" w:header="708" w:footer="708" w:gutter="0"/>
          <w:cols w:space="708"/>
          <w:docGrid w:linePitch="360"/>
        </w:sectPr>
      </w:pPr>
    </w:p>
    <w:tbl>
      <w:tblPr>
        <w:tblW w:w="10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0"/>
      </w:tblGrid>
      <w:tr w:rsidR="0043128B" w:rsidRPr="0043128B" w:rsidTr="0043128B">
        <w:trPr>
          <w:trHeight w:val="2527"/>
        </w:trPr>
        <w:tc>
          <w:tcPr>
            <w:tcW w:w="10940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(11) DESCRIPCIÓN DEL PRODUCTO TURÍSTICO: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El sendero se desarrolla entre las áreas de duna, manglar y playa. Para esto se realiza un recorrido en circuito a pie  de 932 metros y en esta distancia se realizan nueve paradas interpretativas. Se interpretarán los uverales existentes, sus flores y frutos que son abundantes en estas formaciones y los hermosos ejemplares de almácigo (Busera simaruba) que llama mucho la atención por su tamaño y color, también las características de los termiteros que existen en la duna siendo algunos de ellos de gran tamaño. En este bosque latifolio perennifolio abundan árboles y arbustos de abundante vegetación, la cual no es  tupida, pero proporciona una sombra agradable; cuyas características estéticas hacen del lugar un paisaje agradable, con un estado de conservación que lo hace más atractivo. La distancia a los polos turísticos más cercano: Al poblado de Cocodrilo 12 km,  Hotel Colony 112 km. </w:t>
            </w:r>
          </w:p>
        </w:tc>
      </w:tr>
      <w:tr w:rsidR="0043128B" w:rsidRPr="0043128B" w:rsidTr="0043128B">
        <w:trPr>
          <w:trHeight w:val="975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(12) EXPERIENCIA INTERNACIONAL DEL PRODUCTO Y CONSULTA A LOS TURISTAS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: Según opiniones registradas, este es un excelente lugar para el disfrute del contacto directo con la naturaleza, conocer de leyendas de Corsarios y piratas presentes en el Carib</w:t>
            </w:r>
            <w:r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e donde les aporta conocimiento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socio cultural. </w:t>
            </w:r>
          </w:p>
        </w:tc>
      </w:tr>
      <w:tr w:rsidR="0043128B" w:rsidRPr="0043128B" w:rsidTr="0043128B">
        <w:trPr>
          <w:trHeight w:val="2659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(13) REGULACIONES ESPECÍFICAS: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1- El acceso al lugar en todos los casos será controlado y acompañado de los guías especializados.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2- En el sendero no se admitirán más de  2 grupos diarios de 12 personas en cada grupo y la capacidad de carga solo será hasta 24 clientes.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3- No arrojar basuras ni desperdicios de  ningún tipo.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4- Se  necesita de un permiso concedido por el MININT para el acceso al área.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5- No extraer ningún elemento del medio natural vivo o inanimado, excavaciones de tierra, escalamiento de árboles.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br/>
              <w:t>6- No dañar ni perturbar la flora y fauna silvestre del área.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(14) RESULTADOS ECONÓMICOS PREVISTOS: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$500 000.00  CUP           (Anual)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(15) POSIBLE PARTICIPACIÓN EXTRANJERA: 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COSTO DE INVERSIÓN: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$209 600.00  CUP </w:t>
            </w: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         COMPAÑÍA:                                     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INGRESOS: 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$23060.00  </w:t>
            </w: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 CUP </w:t>
            </w: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                        PAÍS: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Cuba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COSTOS DE OPERACIÓN: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 $41 630.00  CUP</w:t>
            </w: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APORTE PREVISTO: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$350 700.00 CUP</w:t>
            </w:r>
          </w:p>
        </w:tc>
      </w:tr>
      <w:tr w:rsidR="0043128B" w:rsidRPr="0043128B" w:rsidTr="0043128B">
        <w:trPr>
          <w:trHeight w:val="42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EXPERIENCIA EN EL TEMA: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UTILIDADES: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$95 000.00    CUP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TIEMPO DE RECUPERACION DE LA INVERSIÓN: 2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meses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FORMA DE PARTICIPACIÓN PREVISTA:</w:t>
            </w:r>
            <w:r w:rsidRPr="0043128B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s-ES"/>
              </w:rPr>
              <w:t xml:space="preserve"> 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En grupos guiados de menos de 12 clientes</w:t>
            </w:r>
            <w:r w:rsidRPr="0043128B"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43128B" w:rsidRPr="0043128B" w:rsidTr="0043128B">
        <w:trPr>
          <w:trHeight w:val="33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APORTA TURISTAS: </w:t>
            </w:r>
          </w:p>
        </w:tc>
      </w:tr>
      <w:tr w:rsidR="0043128B" w:rsidRPr="0043128B" w:rsidTr="0043128B">
        <w:trPr>
          <w:trHeight w:val="450"/>
        </w:trPr>
        <w:tc>
          <w:tcPr>
            <w:tcW w:w="10940" w:type="dxa"/>
            <w:tcBorders>
              <w:top w:val="nil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3128B" w:rsidRPr="0043128B" w:rsidRDefault="0043128B" w:rsidP="004312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431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(16) OBSERVACIONES: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Se encuentra en </w:t>
            </w:r>
            <w:r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p</w:t>
            </w:r>
            <w:r w:rsidRPr="0043128B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reparación para su comercialización.</w:t>
            </w:r>
          </w:p>
        </w:tc>
      </w:tr>
    </w:tbl>
    <w:p w:rsidR="00DC61E5" w:rsidRDefault="00DC61E5"/>
    <w:p w:rsidR="00217F8F" w:rsidRDefault="00217F8F"/>
    <w:p w:rsidR="00217F8F" w:rsidRDefault="00217F8F"/>
    <w:p w:rsidR="00035AFA" w:rsidRDefault="00035AFA"/>
    <w:p w:rsidR="00035AFA" w:rsidRDefault="00035AFA"/>
    <w:p w:rsidR="00035AFA" w:rsidRDefault="00035AFA"/>
    <w:p w:rsidR="00035AFA" w:rsidRDefault="00035AFA"/>
    <w:p w:rsidR="0043128B" w:rsidRDefault="0043128B">
      <w:pPr>
        <w:sectPr w:rsidR="0043128B" w:rsidSect="00217F8F">
          <w:pgSz w:w="11906" w:h="16838"/>
          <w:pgMar w:top="568" w:right="282" w:bottom="1417" w:left="709" w:header="708" w:footer="708" w:gutter="0"/>
          <w:cols w:space="708"/>
          <w:docGrid w:linePitch="360"/>
        </w:sectPr>
      </w:pPr>
    </w:p>
    <w:p w:rsidR="00035AFA" w:rsidRDefault="00035AFA"/>
    <w:tbl>
      <w:tblPr>
        <w:tblW w:w="10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0"/>
      </w:tblGrid>
      <w:tr w:rsidR="00035AFA" w:rsidRPr="00035AFA" w:rsidTr="00035AFA">
        <w:trPr>
          <w:trHeight w:val="300"/>
        </w:trPr>
        <w:tc>
          <w:tcPr>
            <w:tcW w:w="1090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(17) RESPONSABLES: 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NOMBRE:___________________________                NOMBRE:___________________________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4B7B" w:rsidRDefault="001C4B7B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bookmarkStart w:id="0" w:name="_GoBack"/>
            <w:bookmarkEnd w:id="0"/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CARGO:____________________________                 CARGO:_____________________________</w:t>
            </w:r>
          </w:p>
        </w:tc>
      </w:tr>
      <w:tr w:rsidR="00035AFA" w:rsidRPr="00035AFA" w:rsidTr="00035AFA">
        <w:trPr>
          <w:trHeight w:val="30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la Entidad que propone                                              Nombre de la Entidad Superior: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Empresa Municipal para la Protección de la Flora y la Fauna</w:t>
            </w: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</w:t>
            </w: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MINAGRI</w:t>
            </w:r>
          </w:p>
        </w:tc>
      </w:tr>
      <w:tr w:rsidR="00035AFA" w:rsidRPr="00035AFA" w:rsidTr="00035AFA">
        <w:trPr>
          <w:trHeight w:val="102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_________________________________                 _____________________________________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quien propone                                                          Nombre del Presidente de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                                                                                  la Entidad Superior: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35AFA" w:rsidRPr="00035AFA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35AFA" w:rsidRP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FECHA: </w:t>
            </w: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 xml:space="preserve"> </w:t>
            </w:r>
          </w:p>
        </w:tc>
      </w:tr>
      <w:tr w:rsidR="00035AFA" w:rsidRPr="00035AFA" w:rsidTr="00035AFA">
        <w:trPr>
          <w:trHeight w:val="548"/>
        </w:trPr>
        <w:tc>
          <w:tcPr>
            <w:tcW w:w="10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035AFA" w:rsidRDefault="00035AFA"/>
    <w:p w:rsidR="0043128B" w:rsidRDefault="0043128B"/>
    <w:p w:rsidR="0043128B" w:rsidRDefault="0043128B"/>
    <w:sectPr w:rsidR="0043128B" w:rsidSect="00217F8F">
      <w:pgSz w:w="11906" w:h="16838"/>
      <w:pgMar w:top="568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11"/>
    <w:rsid w:val="00035AFA"/>
    <w:rsid w:val="001C4B7B"/>
    <w:rsid w:val="00217F8F"/>
    <w:rsid w:val="0043128B"/>
    <w:rsid w:val="009B3011"/>
    <w:rsid w:val="00D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2021-10-03T05:57:00Z</dcterms:created>
  <dcterms:modified xsi:type="dcterms:W3CDTF">2021-10-11T20:16:00Z</dcterms:modified>
</cp:coreProperties>
</file>