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992"/>
      </w:tblGrid>
      <w:tr w:rsidR="009E4068" w:rsidRPr="009E4068" w:rsidTr="00492949">
        <w:trPr>
          <w:trHeight w:val="465"/>
        </w:trPr>
        <w:tc>
          <w:tcPr>
            <w:tcW w:w="1099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                      </w:t>
            </w:r>
            <w:r w:rsidRPr="009E40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>EXPEDIENTE DE PRODUCTO</w:t>
            </w:r>
            <w:r w:rsidRPr="009E40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CODIFICACIÓN:</w:t>
            </w:r>
          </w:p>
        </w:tc>
      </w:tr>
      <w:tr w:rsidR="009E4068" w:rsidRPr="009E4068" w:rsidTr="00492949">
        <w:trPr>
          <w:trHeight w:val="36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(2) FECHA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: 5/ Octubre /2021</w:t>
            </w:r>
            <w:r w:rsidRPr="009E406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  <w:t xml:space="preserve"> </w:t>
            </w: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</w:t>
            </w:r>
          </w:p>
        </w:tc>
      </w:tr>
      <w:tr w:rsidR="009E4068" w:rsidRPr="009E4068" w:rsidTr="00492949">
        <w:trPr>
          <w:trHeight w:val="36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E4068" w:rsidRPr="009E4068" w:rsidRDefault="009E4068" w:rsidP="00160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(3) NOMBRE DEL PRODUCTO: </w:t>
            </w:r>
            <w:r w:rsidR="00A91723" w:rsidRPr="00446BF3">
              <w:rPr>
                <w:rFonts w:ascii="Times New Roman" w:eastAsia="Times New Roman" w:hAnsi="Times New Roman" w:cs="Times New Roman"/>
                <w:b/>
                <w:bCs/>
                <w:color w:val="4F6228"/>
                <w:sz w:val="24"/>
                <w:szCs w:val="24"/>
                <w:lang w:eastAsia="es-ES"/>
              </w:rPr>
              <w:t>Excursión</w:t>
            </w:r>
            <w:r w:rsidR="00A91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A21A4C">
              <w:rPr>
                <w:rFonts w:ascii="Times New Roman" w:eastAsia="Times New Roman" w:hAnsi="Times New Roman" w:cs="Times New Roman"/>
                <w:b/>
                <w:color w:val="4F6228"/>
                <w:sz w:val="24"/>
                <w:szCs w:val="24"/>
                <w:lang w:eastAsia="es-ES"/>
              </w:rPr>
              <w:t>Entre Pinos y Manacas.</w:t>
            </w:r>
          </w:p>
        </w:tc>
      </w:tr>
      <w:tr w:rsidR="009E4068" w:rsidRPr="009E4068" w:rsidTr="00492949">
        <w:trPr>
          <w:trHeight w:val="36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(4) TERRITORIO DE PREFERENTE USO TURÍSTICO: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Área Protegida Sierra la Cañada. </w:t>
            </w:r>
          </w:p>
        </w:tc>
      </w:tr>
      <w:tr w:rsidR="009E4068" w:rsidRPr="009E4068" w:rsidTr="00492949">
        <w:trPr>
          <w:trHeight w:val="36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(5) ENTIDAD</w:t>
            </w:r>
            <w:proofErr w:type="gramStart"/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Empresa</w:t>
            </w:r>
            <w:proofErr w:type="gramEnd"/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municipal para la Protección de la Flora y Fauna. </w:t>
            </w:r>
          </w:p>
        </w:tc>
      </w:tr>
      <w:tr w:rsidR="009E4068" w:rsidRPr="009E4068" w:rsidTr="00492949">
        <w:trPr>
          <w:trHeight w:val="36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(6) DEPENDENCIA DE LA ENTIDAD: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Área Protegida de Recursos Manejados Sierra la Cañada.</w:t>
            </w:r>
          </w:p>
        </w:tc>
      </w:tr>
      <w:tr w:rsidR="009E4068" w:rsidRPr="009E4068" w:rsidTr="00492949">
        <w:trPr>
          <w:trHeight w:val="36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(7) DIRECCIÓN: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Calle 13 final, Sierra de Caballos, Nueva Gerona, Isla de la Juventud.</w:t>
            </w:r>
          </w:p>
        </w:tc>
      </w:tr>
      <w:tr w:rsidR="009E4068" w:rsidRPr="009E4068" w:rsidTr="00492949">
        <w:trPr>
          <w:trHeight w:val="42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(8) MODALIDAD: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Turismo de</w:t>
            </w:r>
            <w:r w:rsidR="00492949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Naturaleza.  (Recorrido</w:t>
            </w:r>
            <w:r w:rsidR="00A917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a paisajes naturales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)</w:t>
            </w:r>
          </w:p>
        </w:tc>
      </w:tr>
      <w:tr w:rsidR="009E4068" w:rsidRPr="009E4068" w:rsidTr="00492949">
        <w:trPr>
          <w:trHeight w:val="39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(9) LOCALIZACIÓN DEL PRODUCTO:  </w:t>
            </w:r>
          </w:p>
        </w:tc>
      </w:tr>
      <w:tr w:rsidR="009E4068" w:rsidRPr="009E4068" w:rsidTr="00492949">
        <w:trPr>
          <w:trHeight w:val="750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(10) MAPA DEL ÁREA:</w:t>
            </w:r>
            <w:r w:rsidRPr="009E40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 </w:t>
            </w:r>
            <w:r w:rsidRPr="009E4068">
              <w:rPr>
                <w:rFonts w:ascii="Times New Roman" w:eastAsia="Times New Roman" w:hAnsi="Times New Roman" w:cs="Times New Roman"/>
                <w:i/>
                <w:iCs/>
                <w:color w:val="4F6228"/>
                <w:sz w:val="24"/>
                <w:szCs w:val="24"/>
                <w:lang w:eastAsia="es-ES"/>
              </w:rPr>
              <w:t>Referencia: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Hoja cartográfica 3681-III- c, Escala 1: 25 000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Coordenadas al inicio (Norte- Este) 301 979   212 153 y final: 302 165   212 081</w:t>
            </w:r>
          </w:p>
        </w:tc>
      </w:tr>
      <w:tr w:rsidR="009E4068" w:rsidRPr="009E4068" w:rsidTr="00492949">
        <w:trPr>
          <w:trHeight w:val="9602"/>
        </w:trPr>
        <w:tc>
          <w:tcPr>
            <w:tcW w:w="109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9E4068" w:rsidRPr="009E4068" w:rsidRDefault="009E4068" w:rsidP="009E4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4068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 xml:space="preserve">                    </w:t>
            </w:r>
            <w:r w:rsidR="00492949">
              <w:rPr>
                <w:noProof/>
                <w:lang w:eastAsia="es-ES"/>
              </w:rPr>
              <w:drawing>
                <wp:inline distT="0" distB="0" distL="0" distR="0">
                  <wp:extent cx="6890919" cy="6247180"/>
                  <wp:effectExtent l="0" t="0" r="0" b="1270"/>
                  <wp:docPr id="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0919" cy="624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horzAnchor="margin" w:tblpY="68"/>
        <w:tblW w:w="10900" w:type="dxa"/>
        <w:tblCellMar>
          <w:left w:w="70" w:type="dxa"/>
          <w:right w:w="70" w:type="dxa"/>
        </w:tblCellMar>
        <w:tblLook w:val="04A0"/>
      </w:tblPr>
      <w:tblGrid>
        <w:gridCol w:w="10900"/>
      </w:tblGrid>
      <w:tr w:rsidR="00492949" w:rsidRPr="009E4068" w:rsidTr="001606F3">
        <w:trPr>
          <w:trHeight w:val="3798"/>
        </w:trPr>
        <w:tc>
          <w:tcPr>
            <w:tcW w:w="10900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92949" w:rsidRPr="009E4068" w:rsidRDefault="00492949" w:rsidP="00160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</w:pPr>
            <w:bookmarkStart w:id="0" w:name="_GoBack"/>
            <w:bookmarkEnd w:id="0"/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(11) DESCRIPCIÓN DEL PRODUCTO TURÍSTICO</w:t>
            </w:r>
            <w:r w:rsidRPr="009E40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 xml:space="preserve">: </w:t>
            </w:r>
            <w:r w:rsidR="001606F3"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:</w:t>
            </w:r>
            <w:r w:rsidR="001606F3"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  El recorrido se realizará en ómnibus o jeep, según la elección del cliente, el mismo comienza en la ciudad de Nueva Gerona, se continua el viaje hasta </w:t>
            </w:r>
            <w:r w:rsidR="001606F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el área Protegida Sierra de la Cañada, e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l tamaño aproximado del </w:t>
            </w:r>
            <w:r w:rsidR="001606F3"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sitio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a visitar es de 795 ha, con una distancia total del trayecto de 3 670 m y un tiempo aproximado de duración: 2 horas con 45 minutos, para un grado de dificultad abrupto y la litología predominante es esquistosa, El recorrido se realizará a pie, siendo de forma de lazo y cuenta con doce estaciones, durante los primeros 150 m (cada 40 m) a ambos lados, 2 250 metros por el pinar (150 m) por los dos lados, en los cerros (200 m) a la redonda, en el bosque de galería (50 m) por ambos lados los últimos 1 300 m), dentro de los principales atractivos del sitio encontramos visuales agradables de gran belleza paisajística vinculado a la naturaleza y a la avifauna, su vegetación muestra un nivel especial de conservación, así como presencia de plantas endémicas y raras, predominando Pinos, manacas,  palma barrigona, entre otras, presentando bosque de galería alto valor de conservación, su fauna tiene una representación amplia de especies endémicas (cotorras y grullas). Distancia a los polos turísticos más cercano: Al Hotel Colony 15 km, a  Los Indios 13 km y a Nueva Gerona 27 km.</w:t>
            </w:r>
          </w:p>
        </w:tc>
      </w:tr>
      <w:tr w:rsidR="00492949" w:rsidRPr="009E4068" w:rsidTr="00492949">
        <w:trPr>
          <w:trHeight w:val="102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(12) EXPERIENCIA INTERNACIONAL DEL PRODUCTO Y CONSULTA A LOS TURISTAS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: </w:t>
            </w:r>
            <w:r w:rsidRPr="009E4068">
              <w:rPr>
                <w:rFonts w:ascii="Times New Roman" w:eastAsia="Times New Roman" w:hAnsi="Times New Roman" w:cs="Times New Roman"/>
                <w:i/>
                <w:iCs/>
                <w:color w:val="4F6228"/>
                <w:sz w:val="24"/>
                <w:szCs w:val="24"/>
                <w:lang w:eastAsia="es-ES"/>
              </w:rPr>
              <w:t>Según opiniones registradas, este es un excelente lugar para el disfrute del contacto directo con la naturaleza, su conocimiento, el ocio y relajamiento.</w:t>
            </w:r>
            <w:r w:rsidRPr="009E406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492949" w:rsidRPr="009E4068" w:rsidTr="00492949">
        <w:trPr>
          <w:trHeight w:val="2327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(13) REGULACIONES ESPECÍFICAS: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1- El acceso al lugar en todos los casos será controlado y acompañado de los guías especializados.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2- En el sendero no se admitirán más de 2 grupos diarios de 12 personas en cada grupo, las cuales marcharán de uno en fondo, por la ruta que marca las señalizaciones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3- No arrojar basuras ni desperdicios de ningún tipo.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4- No fumar durante el recorrido.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5- No extraer ningún elemento del medio natural vivo, excavaciones de tierra, escalamiento de árboles.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6- No dañar ni perturbar la flora y fauna silvestre del área, No hacer ruidos.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(14) RESULTADOS ECONÓMICOS PREVISTOS: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$15 000.00  CUP           (Anual)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(15) POSIBLE PARTICIPACIÓN EXTRANJERA: 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COSTO DE INVERSIÓN: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$1000.00  CUP</w:t>
            </w: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COMPAÑÍA:                                     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INGRESOS: 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$20 000.00      CUP</w:t>
            </w: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           PAÍS: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Cuba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COSTOS DE OPERACIÓN: 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$950.00  CUP    </w:t>
            </w: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APORTE PREVISTO: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$12 500.00 CUP</w:t>
            </w:r>
          </w:p>
        </w:tc>
      </w:tr>
      <w:tr w:rsidR="00492949" w:rsidRPr="009E4068" w:rsidTr="00492949">
        <w:trPr>
          <w:trHeight w:val="42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EXPERIENCIA EN EL TEMA: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UTILIDADES: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$9 000.00    CUP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TIEMPO DE RECUPERACION DE LA INVERSIÓN: 2 meses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FORMA DE PARTICIPACIÓN PREVISTA: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En grupos guiados de menos de 12 clientes </w:t>
            </w:r>
          </w:p>
        </w:tc>
      </w:tr>
      <w:tr w:rsidR="00492949" w:rsidRPr="009E4068" w:rsidTr="00492949">
        <w:trPr>
          <w:trHeight w:val="330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APORTA TURISTAS: </w:t>
            </w:r>
          </w:p>
        </w:tc>
      </w:tr>
      <w:tr w:rsidR="00492949" w:rsidRPr="009E4068" w:rsidTr="00492949">
        <w:trPr>
          <w:trHeight w:val="643"/>
        </w:trPr>
        <w:tc>
          <w:tcPr>
            <w:tcW w:w="1090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92949" w:rsidRPr="009E4068" w:rsidRDefault="00492949" w:rsidP="00492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E406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(16) OBSERVACIONES: </w:t>
            </w:r>
            <w:r w:rsidRPr="009E4068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Se encuentra en reparación para su comercialización.</w:t>
            </w:r>
          </w:p>
        </w:tc>
      </w:tr>
    </w:tbl>
    <w:p w:rsidR="00DC61E5" w:rsidRDefault="00DC61E5"/>
    <w:p w:rsidR="00217F8F" w:rsidRDefault="00217F8F"/>
    <w:p w:rsidR="00217F8F" w:rsidRDefault="00217F8F"/>
    <w:p w:rsidR="00035AFA" w:rsidRDefault="00035AFA"/>
    <w:p w:rsidR="00035AFA" w:rsidRDefault="00035AFA"/>
    <w:p w:rsidR="00035AFA" w:rsidRDefault="00035AFA"/>
    <w:p w:rsidR="00035AFA" w:rsidRDefault="00035AFA"/>
    <w:tbl>
      <w:tblPr>
        <w:tblW w:w="109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900"/>
      </w:tblGrid>
      <w:tr w:rsidR="00035AFA" w:rsidRPr="00035AFA" w:rsidTr="00035AFA">
        <w:trPr>
          <w:trHeight w:val="300"/>
        </w:trPr>
        <w:tc>
          <w:tcPr>
            <w:tcW w:w="1090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(17) RESPONSABLES: 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NOMBRE:___________________________                NOMBRE:___________________________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92949" w:rsidRDefault="00492949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CARGO:____________________________                 CARGO:_____________________________</w:t>
            </w:r>
          </w:p>
        </w:tc>
      </w:tr>
      <w:tr w:rsidR="00035AFA" w:rsidRPr="00035AFA" w:rsidTr="00035AFA">
        <w:trPr>
          <w:trHeight w:val="300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492949" w:rsidRDefault="00492949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de la Entidad que propone                                              Nombre de la Entidad Superior: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Producto: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u w:val="single"/>
                <w:lang w:eastAsia="es-ES"/>
              </w:rPr>
              <w:t>Empresa Municipal para la Protección de la Flora y la Fauna</w:t>
            </w: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</w:t>
            </w:r>
            <w:r w:rsidRPr="00035AFA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u w:val="single"/>
                <w:lang w:eastAsia="es-ES"/>
              </w:rPr>
              <w:t>MINAGRI</w:t>
            </w:r>
          </w:p>
        </w:tc>
      </w:tr>
      <w:tr w:rsidR="00035AFA" w:rsidRPr="00035AFA" w:rsidTr="00035AFA">
        <w:trPr>
          <w:trHeight w:val="1020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_________________________________                 _____________________________________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de quien propone                                                          Nombre del Presidente de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Producto:                                                                                  la Entidad Superior: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FECHA: </w:t>
            </w:r>
            <w:r w:rsidRPr="00035A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 xml:space="preserve"> </w:t>
            </w:r>
          </w:p>
        </w:tc>
      </w:tr>
      <w:tr w:rsidR="00035AFA" w:rsidRPr="00035AFA" w:rsidTr="00035AFA">
        <w:trPr>
          <w:trHeight w:val="548"/>
        </w:trPr>
        <w:tc>
          <w:tcPr>
            <w:tcW w:w="10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9E4068" w:rsidRPr="009E4068" w:rsidRDefault="009E4068">
      <w:pPr>
        <w:rPr>
          <w:rFonts w:ascii="Times New Roman" w:hAnsi="Times New Roman" w:cs="Times New Roman"/>
          <w:sz w:val="24"/>
          <w:szCs w:val="24"/>
        </w:rPr>
      </w:pPr>
    </w:p>
    <w:p w:rsidR="009E4068" w:rsidRDefault="009E4068"/>
    <w:sectPr w:rsidR="009E4068" w:rsidSect="00217F8F">
      <w:pgSz w:w="11906" w:h="16838"/>
      <w:pgMar w:top="568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3011"/>
    <w:rsid w:val="00035AFA"/>
    <w:rsid w:val="001606F3"/>
    <w:rsid w:val="00217F8F"/>
    <w:rsid w:val="002B2BAC"/>
    <w:rsid w:val="00492949"/>
    <w:rsid w:val="00552DF8"/>
    <w:rsid w:val="009B3011"/>
    <w:rsid w:val="009E4068"/>
    <w:rsid w:val="00A21A4C"/>
    <w:rsid w:val="00A91723"/>
    <w:rsid w:val="00BE3034"/>
    <w:rsid w:val="00DC61E5"/>
    <w:rsid w:val="00E6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Luis Felipe</cp:lastModifiedBy>
  <cp:revision>9</cp:revision>
  <dcterms:created xsi:type="dcterms:W3CDTF">2021-10-03T05:57:00Z</dcterms:created>
  <dcterms:modified xsi:type="dcterms:W3CDTF">2009-01-01T04:46:00Z</dcterms:modified>
</cp:coreProperties>
</file>