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3F64D" w14:textId="77777777" w:rsidR="00E24EB2" w:rsidRDefault="00E24EB2" w:rsidP="00E24EB2">
      <w:pPr>
        <w:pStyle w:val="NormalWeb"/>
        <w:rPr>
          <w:color w:val="000000"/>
        </w:rPr>
      </w:pPr>
      <w:r>
        <w:rPr>
          <w:rFonts w:hint="cs"/>
          <w:rtl/>
        </w:rPr>
        <w:t xml:space="preserve"> </w:t>
      </w:r>
      <w:r>
        <w:rPr>
          <w:color w:val="000000"/>
        </w:rPr>
        <w:t>The following dataset concerns economic freedom across countries, reflecting individuals’ ability to own property, work, and invest without state interference. The columns include the country name, its region, and the degree of economic freedom within that country.</w:t>
      </w:r>
    </w:p>
    <w:p w14:paraId="6DBCA7E2" w14:textId="77777777" w:rsidR="00E24EB2" w:rsidRDefault="00E24EB2" w:rsidP="00E24EB2">
      <w:pPr>
        <w:pStyle w:val="NormalWeb"/>
        <w:rPr>
          <w:color w:val="000000"/>
        </w:rPr>
      </w:pPr>
      <w:r>
        <w:rPr>
          <w:color w:val="000000"/>
        </w:rPr>
        <w:t>The</w:t>
      </w:r>
      <w:r>
        <w:rPr>
          <w:rStyle w:val="apple-converted-space"/>
          <w:rFonts w:eastAsiaTheme="majorEastAsia"/>
          <w:color w:val="000000"/>
        </w:rPr>
        <w:t> </w:t>
      </w:r>
      <w:r>
        <w:rPr>
          <w:rStyle w:val="Strong"/>
          <w:rFonts w:eastAsiaTheme="majorEastAsia"/>
          <w:color w:val="000000"/>
        </w:rPr>
        <w:t>score 2019</w:t>
      </w:r>
      <w:r>
        <w:rPr>
          <w:rStyle w:val="apple-converted-space"/>
          <w:rFonts w:eastAsiaTheme="majorEastAsia"/>
          <w:color w:val="000000"/>
        </w:rPr>
        <w:t> </w:t>
      </w:r>
      <w:r>
        <w:rPr>
          <w:color w:val="000000"/>
        </w:rPr>
        <w:t>column is one of the most important, measuring each country’s economic freedom on a scale from 0 to 100. Economic freedom indicators include:</w:t>
      </w:r>
    </w:p>
    <w:p w14:paraId="798186FA" w14:textId="77777777" w:rsidR="00E24EB2" w:rsidRDefault="00E24EB2" w:rsidP="00E24EB2">
      <w:pPr>
        <w:pStyle w:val="NormalWeb"/>
        <w:rPr>
          <w:color w:val="000000"/>
        </w:rPr>
      </w:pPr>
      <w:r>
        <w:rPr>
          <w:rStyle w:val="Strong"/>
          <w:rFonts w:eastAsiaTheme="majorEastAsia"/>
          <w:color w:val="000000"/>
        </w:rPr>
        <w:t>Property Rights</w:t>
      </w:r>
    </w:p>
    <w:p w14:paraId="79242B04" w14:textId="77777777" w:rsidR="00E24EB2" w:rsidRDefault="00E24EB2" w:rsidP="00E24EB2">
      <w:pPr>
        <w:pStyle w:val="NormalWeb"/>
        <w:rPr>
          <w:color w:val="000000"/>
        </w:rPr>
      </w:pPr>
      <w:r>
        <w:rPr>
          <w:rStyle w:val="Strong"/>
          <w:rFonts w:eastAsiaTheme="majorEastAsia"/>
          <w:color w:val="000000"/>
        </w:rPr>
        <w:t>Judicial Effectiveness</w:t>
      </w:r>
    </w:p>
    <w:p w14:paraId="7B931E94" w14:textId="77777777" w:rsidR="00E24EB2" w:rsidRPr="0014552E" w:rsidRDefault="00E24EB2" w:rsidP="00E24EB2">
      <w:pPr>
        <w:pStyle w:val="NormalWeb"/>
        <w:rPr>
          <w:color w:val="000000"/>
          <w:lang w:val="en-US"/>
        </w:rPr>
      </w:pPr>
      <w:r>
        <w:rPr>
          <w:rStyle w:val="Strong"/>
          <w:rFonts w:eastAsiaTheme="majorEastAsia"/>
          <w:color w:val="000000"/>
        </w:rPr>
        <w:t>Government Integrity</w:t>
      </w:r>
    </w:p>
    <w:p w14:paraId="560903C8" w14:textId="77777777" w:rsidR="00E24EB2" w:rsidRDefault="00E24EB2" w:rsidP="00E24EB2">
      <w:pPr>
        <w:pStyle w:val="NormalWeb"/>
        <w:rPr>
          <w:color w:val="000000"/>
        </w:rPr>
      </w:pPr>
      <w:r>
        <w:rPr>
          <w:color w:val="000000"/>
        </w:rPr>
        <w:t>Additionally, other columns describe the country’s tax burden, government spending and fiscal condition, ease of starting a business, labor market flexibility, and currency stability, along with trade freedom, investment freedom, and financial system freedom.</w:t>
      </w:r>
    </w:p>
    <w:p w14:paraId="32E2FEC7" w14:textId="77777777" w:rsidR="00E24EB2" w:rsidRDefault="00E24EB2" w:rsidP="00E24EB2">
      <w:pPr>
        <w:pStyle w:val="NormalWeb"/>
        <w:rPr>
          <w:color w:val="000000"/>
        </w:rPr>
      </w:pPr>
      <w:r>
        <w:rPr>
          <w:color w:val="000000"/>
        </w:rPr>
        <w:t>The dataset also includes economic indicators such as population, GDP, annual growth rate, five-year average growth, individual income, unemployment rate, inflation rate, foreign direct investment, and public debt.</w:t>
      </w:r>
    </w:p>
    <w:p w14:paraId="4954DA14" w14:textId="77777777" w:rsidR="00E24EB2" w:rsidRDefault="00E24EB2" w:rsidP="00E24EB2">
      <w:pPr>
        <w:pStyle w:val="NormalWeb"/>
        <w:rPr>
          <w:color w:val="000000"/>
        </w:rPr>
      </w:pPr>
      <w:r>
        <w:rPr>
          <w:color w:val="000000"/>
        </w:rPr>
        <w:t>Initially, the data were cleaned to remove symbols that could interfere with machine learning models, and columns were renamed in both Arabic and English to facilitate analysis.</w:t>
      </w:r>
    </w:p>
    <w:p w14:paraId="573F1D89" w14:textId="77777777" w:rsidR="00E24EB2" w:rsidRDefault="00E24EB2" w:rsidP="00E24EB2">
      <w:pPr>
        <w:pStyle w:val="NormalWeb"/>
        <w:rPr>
          <w:color w:val="000000"/>
        </w:rPr>
      </w:pPr>
      <w:r>
        <w:rPr>
          <w:color w:val="000000"/>
        </w:rPr>
        <w:t>During the analysis, we examined the relationship between the highest-ranked countries in economic freedom and judicial effectiveness, finding that higher economic freedom correlates with stronger judicial integrity. We also studied the relationship between foreign investment and tax burden, revealing no direct link between lower taxes and higher large-scale investments; countries with significant tax exemptions often receive minimal investments.</w:t>
      </w:r>
    </w:p>
    <w:p w14:paraId="2B5CFCAB" w14:textId="77777777" w:rsidR="00E24EB2" w:rsidRDefault="00E24EB2" w:rsidP="00E24EB2">
      <w:pPr>
        <w:pStyle w:val="NormalWeb"/>
        <w:rPr>
          <w:color w:val="000000"/>
        </w:rPr>
      </w:pPr>
      <w:r>
        <w:rPr>
          <w:color w:val="000000"/>
        </w:rPr>
        <w:t>Comparing the top five countries in the economic freedom index showed that higher economic freedom often coincides with greater tax exemptions. However, some countries like China, Switzerland, and New Zealand maintain high tax burdens yet attract limited investment, indicating other factors influence foreign investment.</w:t>
      </w:r>
    </w:p>
    <w:p w14:paraId="2955F52E" w14:textId="77777777" w:rsidR="00E24EB2" w:rsidRDefault="00E24EB2" w:rsidP="00E24EB2">
      <w:pPr>
        <w:pStyle w:val="NormalWeb"/>
        <w:rPr>
          <w:color w:val="000000"/>
        </w:rPr>
      </w:pPr>
      <w:r>
        <w:rPr>
          <w:color w:val="000000"/>
        </w:rPr>
        <w:t>Analyzing the bottom five countries revealed that nations like Venezuela offer substantial tax exemptions but attract little to no investment, similar to Eritrea and the Congo. Therefore, a lower tax burden alone does not guarantee increased investment.</w:t>
      </w:r>
    </w:p>
    <w:p w14:paraId="61AB9D02" w14:textId="77777777" w:rsidR="00E24EB2" w:rsidRDefault="00E24EB2" w:rsidP="00E24EB2">
      <w:pPr>
        <w:pStyle w:val="NormalWeb"/>
        <w:rPr>
          <w:color w:val="000000"/>
        </w:rPr>
      </w:pPr>
      <w:r>
        <w:rPr>
          <w:color w:val="000000"/>
        </w:rPr>
        <w:t>This analysis aims to identify the direct causes of low economic indicators, focusing on the five lowest-ranked countries. Comparisons of the top and bottom five countries demonstrated that the lowest-performing nations suffer from significantly lower government integrity, property rights, financial system freedom, and tax conditions, despite stable currency and high trade freedom.</w:t>
      </w:r>
    </w:p>
    <w:p w14:paraId="0FB33184" w14:textId="77777777" w:rsidR="00E24EB2" w:rsidRDefault="00E24EB2" w:rsidP="00E24EB2">
      <w:pPr>
        <w:pStyle w:val="NormalWeb"/>
        <w:rPr>
          <w:color w:val="000000"/>
        </w:rPr>
      </w:pPr>
      <w:r>
        <w:rPr>
          <w:color w:val="000000"/>
        </w:rPr>
        <w:t xml:space="preserve">We also examined the relationship between population size and economic freedom, analyzing the top 10 and bottom 10 countries by population. Countries with smaller populations tend to </w:t>
      </w:r>
      <w:r>
        <w:rPr>
          <w:color w:val="000000"/>
        </w:rPr>
        <w:lastRenderedPageBreak/>
        <w:t>have higher economic freedom, while highly populous nations show moderate economic performance, with no strong correlation between population density and economic value, as seen in India, Brazil, and Bangladesh.</w:t>
      </w:r>
    </w:p>
    <w:p w14:paraId="687F5BFC" w14:textId="77777777" w:rsidR="00E24EB2" w:rsidRDefault="00E24EB2" w:rsidP="00E24EB2">
      <w:pPr>
        <w:pStyle w:val="NormalWeb"/>
        <w:rPr>
          <w:color w:val="000000"/>
        </w:rPr>
      </w:pPr>
      <w:r>
        <w:rPr>
          <w:color w:val="000000"/>
        </w:rPr>
        <w:t>Finally, a model was trained on influential columns including unemployment rate, public debt, inflation, tax burden, financial system freedom, government integrity, trade freedom, business and investment freedom, and judicial effectiveness. Initially,</w:t>
      </w:r>
      <w:r>
        <w:rPr>
          <w:rStyle w:val="apple-converted-space"/>
          <w:rFonts w:eastAsiaTheme="majorEastAsia"/>
          <w:color w:val="000000"/>
        </w:rPr>
        <w:t> </w:t>
      </w:r>
      <w:r>
        <w:rPr>
          <w:rStyle w:val="Strong"/>
          <w:rFonts w:eastAsiaTheme="majorEastAsia"/>
          <w:color w:val="000000"/>
        </w:rPr>
        <w:t>Linear Regression</w:t>
      </w:r>
      <w:r>
        <w:rPr>
          <w:rStyle w:val="apple-converted-space"/>
          <w:rFonts w:eastAsiaTheme="majorEastAsia"/>
          <w:color w:val="000000"/>
        </w:rPr>
        <w:t> </w:t>
      </w:r>
      <w:r>
        <w:rPr>
          <w:color w:val="000000"/>
        </w:rPr>
        <w:t>was used with an accuracy of approximately 90%, followed by testing and selection of</w:t>
      </w:r>
      <w:r>
        <w:rPr>
          <w:rStyle w:val="apple-converted-space"/>
          <w:rFonts w:eastAsiaTheme="majorEastAsia"/>
          <w:color w:val="000000"/>
        </w:rPr>
        <w:t> </w:t>
      </w:r>
      <w:r>
        <w:rPr>
          <w:rStyle w:val="Strong"/>
          <w:rFonts w:eastAsiaTheme="majorEastAsia"/>
          <w:color w:val="000000"/>
        </w:rPr>
        <w:t>Random Forest</w:t>
      </w:r>
      <w:r>
        <w:rPr>
          <w:rStyle w:val="apple-converted-space"/>
          <w:rFonts w:eastAsiaTheme="majorEastAsia"/>
          <w:color w:val="000000"/>
        </w:rPr>
        <w:t> </w:t>
      </w:r>
      <w:r>
        <w:rPr>
          <w:color w:val="000000"/>
        </w:rPr>
        <w:t>to enhance performance.</w:t>
      </w:r>
    </w:p>
    <w:p w14:paraId="64920AFD" w14:textId="78F8B3E0" w:rsidR="00492097" w:rsidRPr="00E24EB2" w:rsidRDefault="00492097" w:rsidP="00E24EB2">
      <w:pPr>
        <w:rPr>
          <w:rFonts w:hint="cs"/>
          <w:rtl/>
        </w:rPr>
      </w:pPr>
    </w:p>
    <w:p w14:paraId="460AEC3B" w14:textId="77777777" w:rsidR="00492097" w:rsidRDefault="00492097" w:rsidP="00E24EB2">
      <w:pPr>
        <w:bidi/>
        <w:rPr>
          <w:rFonts w:hint="cs"/>
          <w:rtl/>
          <w:lang w:val="en-US"/>
        </w:rPr>
      </w:pPr>
    </w:p>
    <w:p w14:paraId="6E00214C" w14:textId="77777777" w:rsidR="00492097" w:rsidRDefault="00492097" w:rsidP="00492097">
      <w:pPr>
        <w:bidi/>
        <w:rPr>
          <w:rtl/>
          <w:lang w:val="en-US"/>
        </w:rPr>
      </w:pPr>
    </w:p>
    <w:p w14:paraId="3B11B7BD" w14:textId="77777777" w:rsidR="00983FB8" w:rsidRDefault="00983FB8" w:rsidP="00983FB8">
      <w:pPr>
        <w:bidi/>
        <w:rPr>
          <w:rtl/>
          <w:lang w:val="en-US"/>
        </w:rPr>
      </w:pPr>
    </w:p>
    <w:p w14:paraId="119E2253" w14:textId="77777777" w:rsidR="00983FB8" w:rsidRPr="005651B4" w:rsidRDefault="00983FB8" w:rsidP="00983FB8">
      <w:pPr>
        <w:bidi/>
        <w:rPr>
          <w:rtl/>
          <w:lang w:val="en-US"/>
        </w:rPr>
      </w:pPr>
    </w:p>
    <w:p w14:paraId="44E75731" w14:textId="77777777" w:rsidR="001C42C8" w:rsidRDefault="001C42C8" w:rsidP="001C42C8">
      <w:pPr>
        <w:bidi/>
        <w:rPr>
          <w:rtl/>
          <w:lang w:val="en-US"/>
        </w:rPr>
      </w:pPr>
    </w:p>
    <w:p w14:paraId="3DF30903" w14:textId="77777777" w:rsidR="001C42C8" w:rsidRPr="00F0745F" w:rsidRDefault="001C42C8" w:rsidP="002A60F4">
      <w:pPr>
        <w:rPr>
          <w:lang w:val="en-US"/>
        </w:rPr>
      </w:pPr>
    </w:p>
    <w:sectPr w:rsidR="001C42C8" w:rsidRPr="00F074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25B1A"/>
    <w:multiLevelType w:val="hybridMultilevel"/>
    <w:tmpl w:val="BEB6E0B6"/>
    <w:lvl w:ilvl="0" w:tplc="70D4F66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3929AA"/>
    <w:multiLevelType w:val="multilevel"/>
    <w:tmpl w:val="4B42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934591">
    <w:abstractNumId w:val="0"/>
  </w:num>
  <w:num w:numId="2" w16cid:durableId="523009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45F"/>
    <w:rsid w:val="00025B34"/>
    <w:rsid w:val="000B23E2"/>
    <w:rsid w:val="001154B8"/>
    <w:rsid w:val="0014552E"/>
    <w:rsid w:val="00167DA8"/>
    <w:rsid w:val="00167DA9"/>
    <w:rsid w:val="00172A8B"/>
    <w:rsid w:val="001B698F"/>
    <w:rsid w:val="001C42C8"/>
    <w:rsid w:val="00243769"/>
    <w:rsid w:val="00244DA8"/>
    <w:rsid w:val="002936E2"/>
    <w:rsid w:val="002A29D1"/>
    <w:rsid w:val="002A60F4"/>
    <w:rsid w:val="002B48D3"/>
    <w:rsid w:val="003757D8"/>
    <w:rsid w:val="00422478"/>
    <w:rsid w:val="00492097"/>
    <w:rsid w:val="00512977"/>
    <w:rsid w:val="005651B4"/>
    <w:rsid w:val="006E27D1"/>
    <w:rsid w:val="006F5554"/>
    <w:rsid w:val="007D5585"/>
    <w:rsid w:val="007E4B92"/>
    <w:rsid w:val="0084333B"/>
    <w:rsid w:val="008A2893"/>
    <w:rsid w:val="00983FB8"/>
    <w:rsid w:val="00A66E3A"/>
    <w:rsid w:val="00B4602E"/>
    <w:rsid w:val="00B778DC"/>
    <w:rsid w:val="00C252C2"/>
    <w:rsid w:val="00CC0C50"/>
    <w:rsid w:val="00D85543"/>
    <w:rsid w:val="00E24EB2"/>
    <w:rsid w:val="00F0745F"/>
    <w:rsid w:val="00F74723"/>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5EF5E227"/>
  <w15:chartTrackingRefBased/>
  <w15:docId w15:val="{F241EAC2-0746-864A-BA18-3C38F1772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45F"/>
    <w:rPr>
      <w:rFonts w:eastAsiaTheme="majorEastAsia" w:cstheme="majorBidi"/>
      <w:color w:val="272727" w:themeColor="text1" w:themeTint="D8"/>
    </w:rPr>
  </w:style>
  <w:style w:type="paragraph" w:styleId="Title">
    <w:name w:val="Title"/>
    <w:basedOn w:val="Normal"/>
    <w:next w:val="Normal"/>
    <w:link w:val="TitleChar"/>
    <w:uiPriority w:val="10"/>
    <w:qFormat/>
    <w:rsid w:val="00F07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45F"/>
    <w:pPr>
      <w:spacing w:before="160"/>
      <w:jc w:val="center"/>
    </w:pPr>
    <w:rPr>
      <w:i/>
      <w:iCs/>
      <w:color w:val="404040" w:themeColor="text1" w:themeTint="BF"/>
    </w:rPr>
  </w:style>
  <w:style w:type="character" w:customStyle="1" w:styleId="QuoteChar">
    <w:name w:val="Quote Char"/>
    <w:basedOn w:val="DefaultParagraphFont"/>
    <w:link w:val="Quote"/>
    <w:uiPriority w:val="29"/>
    <w:rsid w:val="00F0745F"/>
    <w:rPr>
      <w:i/>
      <w:iCs/>
      <w:color w:val="404040" w:themeColor="text1" w:themeTint="BF"/>
    </w:rPr>
  </w:style>
  <w:style w:type="paragraph" w:styleId="ListParagraph">
    <w:name w:val="List Paragraph"/>
    <w:basedOn w:val="Normal"/>
    <w:uiPriority w:val="34"/>
    <w:qFormat/>
    <w:rsid w:val="00F0745F"/>
    <w:pPr>
      <w:ind w:left="720"/>
      <w:contextualSpacing/>
    </w:pPr>
  </w:style>
  <w:style w:type="character" w:styleId="IntenseEmphasis">
    <w:name w:val="Intense Emphasis"/>
    <w:basedOn w:val="DefaultParagraphFont"/>
    <w:uiPriority w:val="21"/>
    <w:qFormat/>
    <w:rsid w:val="00F0745F"/>
    <w:rPr>
      <w:i/>
      <w:iCs/>
      <w:color w:val="0F4761" w:themeColor="accent1" w:themeShade="BF"/>
    </w:rPr>
  </w:style>
  <w:style w:type="paragraph" w:styleId="IntenseQuote">
    <w:name w:val="Intense Quote"/>
    <w:basedOn w:val="Normal"/>
    <w:next w:val="Normal"/>
    <w:link w:val="IntenseQuoteChar"/>
    <w:uiPriority w:val="30"/>
    <w:qFormat/>
    <w:rsid w:val="00F07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45F"/>
    <w:rPr>
      <w:i/>
      <w:iCs/>
      <w:color w:val="0F4761" w:themeColor="accent1" w:themeShade="BF"/>
    </w:rPr>
  </w:style>
  <w:style w:type="character" w:styleId="IntenseReference">
    <w:name w:val="Intense Reference"/>
    <w:basedOn w:val="DefaultParagraphFont"/>
    <w:uiPriority w:val="32"/>
    <w:qFormat/>
    <w:rsid w:val="00F0745F"/>
    <w:rPr>
      <w:b/>
      <w:bCs/>
      <w:smallCaps/>
      <w:color w:val="0F4761" w:themeColor="accent1" w:themeShade="BF"/>
      <w:spacing w:val="5"/>
    </w:rPr>
  </w:style>
  <w:style w:type="paragraph" w:styleId="NormalWeb">
    <w:name w:val="Normal (Web)"/>
    <w:basedOn w:val="Normal"/>
    <w:uiPriority w:val="99"/>
    <w:semiHidden/>
    <w:unhideWhenUsed/>
    <w:rsid w:val="00E24E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24EB2"/>
  </w:style>
  <w:style w:type="character" w:styleId="Strong">
    <w:name w:val="Strong"/>
    <w:basedOn w:val="DefaultParagraphFont"/>
    <w:uiPriority w:val="22"/>
    <w:qFormat/>
    <w:rsid w:val="00E24E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2026-01-03T22:32:00Z</dcterms:created>
  <dcterms:modified xsi:type="dcterms:W3CDTF">2026-01-03T22:32:00Z</dcterms:modified>
</cp:coreProperties>
</file>