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E707D3" w:rsidRDefault="00E707D3" w:rsidP="009B623F"/>
                          <w:p w14:paraId="72A15557" w14:textId="77777777" w:rsidR="00E707D3" w:rsidRDefault="00E707D3"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E707D3" w:rsidRDefault="00E707D3" w:rsidP="009B623F"/>
                    <w:p w14:paraId="72A15557" w14:textId="77777777" w:rsidR="00E707D3" w:rsidRDefault="00E707D3"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E707D3" w:rsidRDefault="00E707D3" w:rsidP="001A7C58"/>
                          <w:p w14:paraId="6CDF8AE9" w14:textId="77777777" w:rsidR="00E707D3" w:rsidRDefault="00E707D3" w:rsidP="001A7C58"/>
                          <w:p w14:paraId="4AE647B3" w14:textId="77777777" w:rsidR="00E707D3" w:rsidRDefault="00E707D3"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E707D3" w:rsidRDefault="00E707D3" w:rsidP="001A7C58"/>
                    <w:p w14:paraId="6CDF8AE9" w14:textId="77777777" w:rsidR="00E707D3" w:rsidRDefault="00E707D3" w:rsidP="001A7C58"/>
                    <w:p w14:paraId="4AE647B3" w14:textId="77777777" w:rsidR="00E707D3" w:rsidRDefault="00E707D3"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E707D3"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E707D3"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E707D3"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E707D3" w:rsidRDefault="00E707D3" w:rsidP="00937494"/>
                          <w:p w14:paraId="700AB19C" w14:textId="77777777" w:rsidR="00E707D3" w:rsidRDefault="00E707D3" w:rsidP="00937494"/>
                          <w:p w14:paraId="654CA94D" w14:textId="77777777" w:rsidR="00E707D3" w:rsidRDefault="00E707D3"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E707D3" w:rsidRDefault="00E707D3" w:rsidP="00937494"/>
                    <w:p w14:paraId="700AB19C" w14:textId="77777777" w:rsidR="00E707D3" w:rsidRDefault="00E707D3" w:rsidP="00937494"/>
                    <w:p w14:paraId="654CA94D" w14:textId="77777777" w:rsidR="00E707D3" w:rsidRDefault="00E707D3"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413E0859"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Revieing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63C01708"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Interviews could also be used to collect information and insights about challenges and opportunities. The </w:t>
            </w:r>
            <w:r>
              <w:rPr>
                <w:rFonts w:ascii="Calibri" w:hAnsi="Calibri" w:cs="Calibri"/>
                <w:color w:val="386021" w:themeColor="accent1" w:themeShade="80"/>
                <w:lang w:val="en-US"/>
              </w:rPr>
              <w:lastRenderedPageBreak/>
              <w:t xml:space="preserve">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69A04A82" w:rsidR="000D2FB7" w:rsidRDefault="000D2FB7"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criticalthinking.org, n.d.</w:t>
            </w:r>
            <w:r>
              <w:rPr>
                <w:rFonts w:ascii="Calibri" w:hAnsi="Calibri" w:cs="Calibri"/>
                <w:color w:val="386021" w:themeColor="accent1" w:themeShade="80"/>
              </w:rPr>
              <w:t>)</w:t>
            </w:r>
            <w:r w:rsidR="00EB2701">
              <w:rPr>
                <w:rFonts w:ascii="Calibri" w:hAnsi="Calibri" w:cs="Calibri"/>
                <w:color w:val="386021" w:themeColor="accent1" w:themeShade="80"/>
              </w:rPr>
              <w:t>. One must one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2DA8557A"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helps individuals to construct ideas and arguments in a meeting building a sound business case. Meeting attendees strayed away from the conversation about unrelated topics to the business case.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the team suggested to implement attendance policy that she used to work with in her previous </w:t>
            </w:r>
            <w:r>
              <w:rPr>
                <w:rFonts w:ascii="Calibri" w:hAnsi="Calibri" w:cs="Calibri"/>
                <w:color w:val="386021" w:themeColor="accent1" w:themeShade="80"/>
              </w:rPr>
              <w:lastRenderedPageBreak/>
              <w:t>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7E16F8CB" w:rsidR="000D2FB7" w:rsidRPr="00AF4F8F" w:rsidRDefault="00AF4F8F" w:rsidP="000D2FB7">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r w:rsidRPr="00AF4F8F">
              <w:rPr>
                <w:rFonts w:ascii="Calibri" w:hAnsi="Calibri" w:cs="Calibri"/>
                <w:color w:val="386021" w:themeColor="accent1" w:themeShade="80"/>
              </w:rPr>
              <w:t>cambridgeassessment</w:t>
            </w:r>
            <w:r>
              <w:rPr>
                <w:rFonts w:ascii="Calibri" w:hAnsi="Calibri" w:cs="Calibri"/>
                <w:color w:val="386021" w:themeColor="accent1" w:themeShade="80"/>
              </w:rPr>
              <w:t>, n.d.)</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Kepner Tregoe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Kepner Tregoe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213F58CF"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for example,</w:t>
            </w:r>
            <w:r w:rsidRPr="0029726C">
              <w:rPr>
                <w:rFonts w:ascii="Calibri" w:hAnsi="Calibri" w:cs="Calibri"/>
                <w:color w:val="386021" w:themeColor="accent1" w:themeShade="80"/>
              </w:rPr>
              <w:t xml:space="preserve">this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(CIToolkit,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136731DC" w14:textId="77777777" w:rsidR="00E735E4" w:rsidRDefault="00E735E4" w:rsidP="00547AAA">
            <w:pPr>
              <w:jc w:val="both"/>
              <w:rPr>
                <w:rFonts w:ascii="Calibri" w:hAnsi="Calibri" w:cs="Calibri"/>
                <w:b/>
                <w:bCs/>
                <w:sz w:val="20"/>
                <w:szCs w:val="20"/>
              </w:rPr>
            </w:pP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5ECE8825" w:rsidR="00E735E4" w:rsidRDefault="007F59F7" w:rsidP="00547AAA">
            <w:pPr>
              <w:jc w:val="both"/>
              <w:rPr>
                <w:rFonts w:ascii="Calibri" w:hAnsi="Calibri" w:cs="Calibri"/>
                <w:color w:val="386021" w:themeColor="accent1" w:themeShade="80"/>
              </w:rPr>
            </w:pPr>
            <w:r>
              <w:rPr>
                <w:rFonts w:ascii="Calibri" w:hAnsi="Calibri" w:cs="Calibri"/>
                <w:color w:val="386021" w:themeColor="accent1" w:themeShade="80"/>
              </w:rPr>
              <w:t>Measuring performance is a key aspect of success; organizations need to measure its performance health regularly using predefined milestones to be able to achieve its short and long term objectives. The measures that help organizations measure its performance can be financial and non-financial measures. Organizations need to keep balance between those.</w:t>
            </w:r>
          </w:p>
          <w:p w14:paraId="3449DB11" w14:textId="192B6F19" w:rsidR="007F59F7" w:rsidRDefault="007F59F7" w:rsidP="00547AAA">
            <w:pPr>
              <w:jc w:val="both"/>
              <w:rPr>
                <w:rFonts w:ascii="Calibri" w:hAnsi="Calibri" w:cs="Calibri"/>
                <w:color w:val="386021" w:themeColor="accent1" w:themeShade="80"/>
              </w:rPr>
            </w:pPr>
          </w:p>
          <w:p w14:paraId="3251BED1" w14:textId="75CD78D7" w:rsidR="007F59F7" w:rsidRDefault="007F59F7" w:rsidP="00547AAA">
            <w:pPr>
              <w:jc w:val="both"/>
              <w:rPr>
                <w:rFonts w:ascii="Calibri" w:hAnsi="Calibri" w:cs="Calibri"/>
                <w:color w:val="386021" w:themeColor="accent1" w:themeShade="80"/>
                <w:u w:val="single"/>
              </w:rPr>
            </w:pPr>
            <w:r w:rsidRPr="007F59F7">
              <w:rPr>
                <w:rFonts w:ascii="Calibri" w:hAnsi="Calibri" w:cs="Calibri"/>
                <w:color w:val="386021" w:themeColor="accent1" w:themeShade="80"/>
                <w:u w:val="single"/>
              </w:rPr>
              <w:t>Return on investment (ROI) – Financial measure</w:t>
            </w:r>
            <w:r>
              <w:rPr>
                <w:rFonts w:ascii="Calibri" w:hAnsi="Calibri" w:cs="Calibri"/>
                <w:color w:val="386021" w:themeColor="accent1" w:themeShade="80"/>
                <w:u w:val="single"/>
              </w:rPr>
              <w:t>:</w:t>
            </w:r>
          </w:p>
          <w:p w14:paraId="66A1D27B" w14:textId="65BAC25E" w:rsidR="007F59F7" w:rsidRDefault="007F59F7" w:rsidP="009543D2">
            <w:pPr>
              <w:jc w:val="both"/>
              <w:rPr>
                <w:rFonts w:ascii="Calibri" w:hAnsi="Calibri" w:cs="Calibri"/>
                <w:color w:val="386021" w:themeColor="accent1" w:themeShade="80"/>
              </w:rPr>
            </w:pPr>
            <w:r>
              <w:rPr>
                <w:rFonts w:ascii="Calibri" w:hAnsi="Calibri" w:cs="Calibri"/>
                <w:color w:val="386021" w:themeColor="accent1" w:themeShade="80"/>
              </w:rPr>
              <w:t xml:space="preserve">Return on investment is a financial performance indicator used to measure how successful a project or the organization as whole is. ROI can be worked out by dividing the net profit of a project by the cost of the </w:t>
            </w:r>
            <w:r w:rsidR="009543D2">
              <w:rPr>
                <w:rFonts w:ascii="Calibri" w:hAnsi="Calibri" w:cs="Calibri"/>
                <w:color w:val="386021" w:themeColor="accent1" w:themeShade="80"/>
              </w:rPr>
              <w:t xml:space="preserve">project </w:t>
            </w:r>
            <w:r>
              <w:rPr>
                <w:rFonts w:ascii="Calibri" w:hAnsi="Calibri" w:cs="Calibri"/>
                <w:color w:val="386021" w:themeColor="accent1" w:themeShade="80"/>
              </w:rPr>
              <w:t>(</w:t>
            </w:r>
            <w:r w:rsidR="009543D2" w:rsidRPr="009543D2">
              <w:rPr>
                <w:rFonts w:ascii="Calibri" w:hAnsi="Calibri" w:cs="Calibri"/>
                <w:color w:val="386021" w:themeColor="accent1" w:themeShade="80"/>
              </w:rPr>
              <w:t>Birken, 2022</w:t>
            </w:r>
            <w:r>
              <w:rPr>
                <w:rFonts w:ascii="Calibri" w:hAnsi="Calibri" w:cs="Calibri"/>
                <w:color w:val="386021" w:themeColor="accent1" w:themeShade="80"/>
              </w:rPr>
              <w:t>)</w:t>
            </w:r>
            <w:r w:rsidR="009543D2">
              <w:rPr>
                <w:rFonts w:ascii="Calibri" w:hAnsi="Calibri" w:cs="Calibri"/>
                <w:color w:val="386021" w:themeColor="accent1" w:themeShade="80"/>
              </w:rPr>
              <w:t>.</w:t>
            </w:r>
          </w:p>
          <w:p w14:paraId="59201330" w14:textId="69413666" w:rsidR="009543D2" w:rsidRDefault="009543D2" w:rsidP="00547AAA">
            <w:pPr>
              <w:jc w:val="both"/>
              <w:rPr>
                <w:rFonts w:ascii="Calibri" w:hAnsi="Calibri" w:cs="Calibri"/>
                <w:color w:val="386021" w:themeColor="accent1" w:themeShade="80"/>
              </w:rPr>
            </w:pPr>
          </w:p>
          <w:p w14:paraId="05D0E5C3" w14:textId="25AC80F6" w:rsidR="009543D2" w:rsidRDefault="009543D2" w:rsidP="00547AAA">
            <w:pPr>
              <w:jc w:val="both"/>
              <w:rPr>
                <w:rFonts w:ascii="Calibri" w:hAnsi="Calibri" w:cs="Calibri"/>
                <w:color w:val="386021" w:themeColor="accent1" w:themeShade="80"/>
              </w:rPr>
            </w:pPr>
            <w:r>
              <w:rPr>
                <w:rFonts w:ascii="Calibri" w:hAnsi="Calibri" w:cs="Calibri"/>
                <w:color w:val="386021" w:themeColor="accent1" w:themeShade="80"/>
              </w:rPr>
              <w:t xml:space="preserve">ROI </w:t>
            </w:r>
            <w:r>
              <w:rPr>
                <w:rFonts w:ascii="Calibri" w:hAnsi="Calibri" w:cs="Calibri"/>
                <w:color w:val="386021" w:themeColor="accent1" w:themeShade="80"/>
              </w:rPr>
              <w:t>is a percentage that shows the viability of the project or the organization success</w:t>
            </w:r>
            <w:r>
              <w:rPr>
                <w:rFonts w:ascii="Calibri" w:hAnsi="Calibri" w:cs="Calibri"/>
                <w:color w:val="386021" w:themeColor="accent1" w:themeShade="80"/>
              </w:rPr>
              <w:t>. In other words, ROI used to assess activities that is done in the past. However, it could be also used to project the feasibility of certain activity or project (</w:t>
            </w:r>
            <w:r w:rsidRPr="009543D2">
              <w:rPr>
                <w:rFonts w:ascii="Calibri" w:hAnsi="Calibri" w:cs="Calibri"/>
                <w:color w:val="386021" w:themeColor="accent1" w:themeShade="80"/>
              </w:rPr>
              <w:t>Stobierski</w:t>
            </w:r>
            <w:r>
              <w:rPr>
                <w:rFonts w:ascii="Calibri" w:hAnsi="Calibri" w:cs="Calibri"/>
                <w:color w:val="386021" w:themeColor="accent1" w:themeShade="80"/>
              </w:rPr>
              <w:t>, 2020).</w:t>
            </w:r>
            <w:r w:rsidR="009B6B8A">
              <w:rPr>
                <w:rFonts w:ascii="Calibri" w:hAnsi="Calibri" w:cs="Calibri"/>
                <w:color w:val="386021" w:themeColor="accent1" w:themeShade="80"/>
              </w:rPr>
              <w:t xml:space="preserve"> </w:t>
            </w:r>
          </w:p>
          <w:p w14:paraId="65DC33C2" w14:textId="39C15AE1" w:rsidR="009B6B8A" w:rsidRDefault="009B6B8A" w:rsidP="00547AAA">
            <w:pPr>
              <w:jc w:val="both"/>
              <w:rPr>
                <w:rFonts w:ascii="Calibri" w:hAnsi="Calibri" w:cs="Calibri"/>
                <w:color w:val="386021" w:themeColor="accent1" w:themeShade="80"/>
              </w:rPr>
            </w:pPr>
          </w:p>
          <w:p w14:paraId="1B69DF05" w14:textId="77777777" w:rsidR="000E53E4" w:rsidRDefault="009B6B8A" w:rsidP="009B6B8A">
            <w:pPr>
              <w:jc w:val="both"/>
              <w:rPr>
                <w:rFonts w:ascii="Calibri" w:hAnsi="Calibri" w:cs="Calibri"/>
                <w:color w:val="386021" w:themeColor="accent1" w:themeShade="80"/>
              </w:rPr>
            </w:pPr>
            <w:r>
              <w:rPr>
                <w:rFonts w:ascii="Calibri" w:hAnsi="Calibri" w:cs="Calibri"/>
                <w:color w:val="386021" w:themeColor="accent1" w:themeShade="80"/>
              </w:rPr>
              <w:t>On the other hand, ROI has nothing to do with growth rate of the project or the organization (</w:t>
            </w:r>
            <w:r w:rsidRPr="009B6B8A">
              <w:rPr>
                <w:rFonts w:ascii="Calibri" w:hAnsi="Calibri" w:cs="Calibri"/>
                <w:color w:val="386021" w:themeColor="accent1" w:themeShade="80"/>
              </w:rPr>
              <w:t>Brock, 2021</w:t>
            </w:r>
            <w:r>
              <w:rPr>
                <w:rFonts w:ascii="Calibri" w:hAnsi="Calibri" w:cs="Calibri"/>
                <w:color w:val="386021" w:themeColor="accent1" w:themeShade="80"/>
              </w:rPr>
              <w:t xml:space="preserve">); it only shows the viability of the investment at it end, or an estimate projection about an investment before its commencement. </w:t>
            </w:r>
            <w:r w:rsidR="000E53E4">
              <w:rPr>
                <w:rFonts w:ascii="Calibri" w:hAnsi="Calibri" w:cs="Calibri"/>
                <w:color w:val="386021" w:themeColor="accent1" w:themeShade="80"/>
              </w:rPr>
              <w:t>The time is not a factor in calculating ROI which is a vital asset in the organization or the project.  Moreover, ROI does not provide information about measures like employee engagement and well-being or customer retention and satisfaction.</w:t>
            </w:r>
          </w:p>
          <w:p w14:paraId="75D73B14" w14:textId="0FBF0847" w:rsidR="000E53E4" w:rsidRDefault="000E53E4" w:rsidP="009B6B8A">
            <w:pPr>
              <w:jc w:val="both"/>
              <w:rPr>
                <w:rFonts w:ascii="Calibri" w:hAnsi="Calibri" w:cs="Calibri"/>
                <w:color w:val="386021" w:themeColor="accent1" w:themeShade="80"/>
              </w:rPr>
            </w:pPr>
          </w:p>
          <w:p w14:paraId="2EAD3262" w14:textId="2209FCF6" w:rsidR="000E53E4" w:rsidRDefault="003F46CD" w:rsidP="003F46CD">
            <w:pPr>
              <w:jc w:val="both"/>
              <w:rPr>
                <w:rFonts w:ascii="Calibri" w:hAnsi="Calibri" w:cs="Calibri"/>
                <w:color w:val="386021" w:themeColor="accent1" w:themeShade="80"/>
              </w:rPr>
            </w:pPr>
            <w:r>
              <w:rPr>
                <w:rFonts w:ascii="Calibri" w:hAnsi="Calibri" w:cs="Calibri"/>
                <w:color w:val="386021" w:themeColor="accent1" w:themeShade="80"/>
              </w:rPr>
              <w:t>People professionals can use ROI when assessing new initiative L&amp;D intervention, for example, and want to check its viability, or it can be used to evaluate a project at its end.</w:t>
            </w:r>
          </w:p>
          <w:p w14:paraId="743A3F3B" w14:textId="6B55F137" w:rsidR="003F46CD" w:rsidRDefault="003F46CD" w:rsidP="003F46CD">
            <w:pPr>
              <w:jc w:val="both"/>
              <w:rPr>
                <w:rFonts w:ascii="Calibri" w:hAnsi="Calibri" w:cs="Calibri"/>
                <w:color w:val="386021" w:themeColor="accent1" w:themeShade="80"/>
              </w:rPr>
            </w:pPr>
          </w:p>
          <w:p w14:paraId="5B13BBBF" w14:textId="7DE1494D" w:rsidR="003F46CD" w:rsidRPr="00984299" w:rsidRDefault="003F46CD" w:rsidP="003F46CD">
            <w:pPr>
              <w:jc w:val="both"/>
              <w:rPr>
                <w:rFonts w:ascii="Calibri" w:hAnsi="Calibri" w:cs="Calibri"/>
                <w:color w:val="386021" w:themeColor="accent1" w:themeShade="80"/>
                <w:u w:val="single"/>
              </w:rPr>
            </w:pPr>
            <w:r w:rsidRPr="00984299">
              <w:rPr>
                <w:rFonts w:ascii="Calibri" w:hAnsi="Calibri" w:cs="Calibri"/>
                <w:color w:val="386021" w:themeColor="accent1" w:themeShade="80"/>
                <w:u w:val="single"/>
              </w:rPr>
              <w:t>Customer Satisfaction – non-financial measure</w:t>
            </w:r>
          </w:p>
          <w:p w14:paraId="5DF3E08A" w14:textId="77777777" w:rsidR="00940406" w:rsidRDefault="00B01916" w:rsidP="00940406">
            <w:pPr>
              <w:jc w:val="both"/>
              <w:rPr>
                <w:rFonts w:ascii="Calibri" w:hAnsi="Calibri" w:cs="Calibri"/>
                <w:color w:val="386021" w:themeColor="accent1" w:themeShade="80"/>
              </w:rPr>
            </w:pPr>
            <w:r>
              <w:rPr>
                <w:rFonts w:ascii="Calibri" w:hAnsi="Calibri" w:cs="Calibri"/>
                <w:color w:val="386021" w:themeColor="accent1" w:themeShade="80"/>
              </w:rPr>
              <w:t xml:space="preserve">Some organizations might rely on financial measures only </w:t>
            </w:r>
            <w:r w:rsidR="00940406">
              <w:rPr>
                <w:rFonts w:ascii="Calibri" w:hAnsi="Calibri" w:cs="Calibri"/>
                <w:color w:val="386021" w:themeColor="accent1" w:themeShade="80"/>
              </w:rPr>
              <w:t xml:space="preserve">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organisations might have stumbling financial situation but backed up with customer retention. </w:t>
            </w:r>
          </w:p>
          <w:p w14:paraId="06F2A42A" w14:textId="77777777" w:rsidR="00940406" w:rsidRDefault="00940406" w:rsidP="00940406">
            <w:pPr>
              <w:jc w:val="both"/>
              <w:rPr>
                <w:rFonts w:ascii="Calibri" w:hAnsi="Calibri" w:cs="Calibri"/>
                <w:color w:val="386021" w:themeColor="accent1" w:themeShade="80"/>
              </w:rPr>
            </w:pPr>
          </w:p>
          <w:p w14:paraId="683C928F"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For example, an organization had a bad financial situation but customer experience is great and employees were engaged. That organization will shortly be out of that situation due to employee engagement and customer satisfaction which will repeat buying company’s products.</w:t>
            </w:r>
          </w:p>
          <w:p w14:paraId="28F58AA6" w14:textId="77777777" w:rsidR="00940406" w:rsidRDefault="00940406" w:rsidP="00940406">
            <w:pPr>
              <w:jc w:val="both"/>
              <w:rPr>
                <w:rFonts w:ascii="Calibri" w:hAnsi="Calibri" w:cs="Calibri"/>
                <w:color w:val="386021" w:themeColor="accent1" w:themeShade="80"/>
              </w:rPr>
            </w:pPr>
          </w:p>
          <w:p w14:paraId="16A17F81"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 xml:space="preserve">However, organizations cannot survive only by stakeholder satisfactions; it needs to be backed up with </w:t>
            </w:r>
            <w:r w:rsidR="00194E63">
              <w:rPr>
                <w:rFonts w:ascii="Calibri" w:hAnsi="Calibri" w:cs="Calibri"/>
                <w:color w:val="386021" w:themeColor="accent1" w:themeShade="80"/>
              </w:rPr>
              <w:t>outstanding financial performance. Non-financial measures may give incomplete picture about organization health.</w:t>
            </w:r>
          </w:p>
          <w:p w14:paraId="2D22640A" w14:textId="77777777" w:rsidR="00194E63" w:rsidRDefault="00194E63" w:rsidP="00940406">
            <w:pPr>
              <w:jc w:val="both"/>
              <w:rPr>
                <w:rFonts w:ascii="Calibri" w:hAnsi="Calibri" w:cs="Calibri"/>
                <w:color w:val="386021" w:themeColor="accent1" w:themeShade="80"/>
              </w:rPr>
            </w:pPr>
          </w:p>
          <w:p w14:paraId="71736A27" w14:textId="77777777" w:rsidR="00194E63" w:rsidRDefault="00194E63" w:rsidP="00940406">
            <w:pPr>
              <w:jc w:val="both"/>
              <w:rPr>
                <w:rFonts w:ascii="Calibri" w:hAnsi="Calibri" w:cs="Calibri"/>
                <w:color w:val="386021" w:themeColor="accent1" w:themeShade="80"/>
              </w:rPr>
            </w:pPr>
            <w:r>
              <w:rPr>
                <w:rFonts w:ascii="Calibri" w:hAnsi="Calibri" w:cs="Calibri"/>
                <w:color w:val="386021" w:themeColor="accent1" w:themeShade="80"/>
              </w:rPr>
              <w:t xml:space="preserve">The best approach to measure performance is to balance financial and non-financial measures. </w:t>
            </w:r>
            <w:r w:rsidRPr="00194E63">
              <w:rPr>
                <w:rFonts w:ascii="Calibri" w:hAnsi="Calibri" w:cs="Calibri"/>
                <w:color w:val="386021" w:themeColor="accent1" w:themeShade="80"/>
              </w:rPr>
              <w:t>Kaplan</w:t>
            </w:r>
            <w:r>
              <w:rPr>
                <w:rFonts w:ascii="Calibri" w:hAnsi="Calibri" w:cs="Calibri"/>
                <w:color w:val="386021" w:themeColor="accent1" w:themeShade="80"/>
              </w:rPr>
              <w:t xml:space="preserve"> and </w:t>
            </w:r>
            <w:r w:rsidRPr="00194E63">
              <w:rPr>
                <w:rFonts w:ascii="Calibri" w:hAnsi="Calibri" w:cs="Calibri"/>
                <w:color w:val="386021" w:themeColor="accent1" w:themeShade="80"/>
              </w:rPr>
              <w:t>Norton</w:t>
            </w:r>
            <w:r>
              <w:rPr>
                <w:rFonts w:ascii="Calibri" w:hAnsi="Calibri" w:cs="Calibri"/>
                <w:color w:val="386021" w:themeColor="accent1" w:themeShade="80"/>
              </w:rPr>
              <w:t xml:space="preserve"> (1992) introduced balanced score card which maintains the balance between financial and non-</w:t>
            </w:r>
            <w:r>
              <w:rPr>
                <w:rFonts w:ascii="Calibri" w:hAnsi="Calibri" w:cs="Calibri"/>
                <w:color w:val="386021" w:themeColor="accent1" w:themeShade="80"/>
              </w:rPr>
              <w:lastRenderedPageBreak/>
              <w:t>financial measures.</w:t>
            </w:r>
          </w:p>
          <w:p w14:paraId="57D14534" w14:textId="77777777" w:rsidR="006335FC" w:rsidRDefault="006335FC" w:rsidP="00940406">
            <w:pPr>
              <w:jc w:val="both"/>
              <w:rPr>
                <w:rFonts w:ascii="Calibri" w:hAnsi="Calibri" w:cs="Calibri"/>
                <w:color w:val="386021" w:themeColor="accent1" w:themeShade="80"/>
              </w:rPr>
            </w:pPr>
          </w:p>
          <w:p w14:paraId="4F557384" w14:textId="45F79019" w:rsidR="006335FC" w:rsidRPr="00940406" w:rsidRDefault="006335FC" w:rsidP="00940406">
            <w:pPr>
              <w:jc w:val="both"/>
              <w:rPr>
                <w:rFonts w:ascii="Calibri" w:hAnsi="Calibri" w:cs="Calibri"/>
                <w:color w:val="386021" w:themeColor="accent1" w:themeShade="80"/>
              </w:rPr>
            </w:pPr>
            <w:r>
              <w:rPr>
                <w:rFonts w:ascii="Calibri" w:hAnsi="Calibri" w:cs="Calibri"/>
                <w:color w:val="386021" w:themeColor="accent1" w:themeShade="80"/>
              </w:rPr>
              <w:t>People professional might use non-financial measures if they wish to measure employee satisfaction.</w:t>
            </w: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2DEB462D" w14:textId="6B014FCA" w:rsidR="00E735E4" w:rsidRDefault="00FF0FBB" w:rsidP="00DF31B0">
            <w:pPr>
              <w:jc w:val="both"/>
              <w:rPr>
                <w:rFonts w:ascii="Calibri" w:hAnsi="Calibri" w:cs="Calibri"/>
                <w:color w:val="386021" w:themeColor="accent1" w:themeShade="80"/>
              </w:rPr>
            </w:pPr>
            <w:r>
              <w:rPr>
                <w:rFonts w:ascii="Calibri" w:hAnsi="Calibri" w:cs="Calibri"/>
                <w:color w:val="386021" w:themeColor="accent1" w:themeShade="80"/>
              </w:rPr>
              <w:t xml:space="preserve">People professionals </w:t>
            </w:r>
            <w:r w:rsidRPr="00FF0FBB">
              <w:rPr>
                <w:rFonts w:ascii="Calibri" w:hAnsi="Calibri" w:cs="Calibri"/>
                <w:color w:val="386021" w:themeColor="accent1" w:themeShade="80"/>
              </w:rPr>
              <w:t xml:space="preserve">play a </w:t>
            </w:r>
            <w:r>
              <w:rPr>
                <w:rFonts w:ascii="Calibri" w:hAnsi="Calibri" w:cs="Calibri"/>
                <w:color w:val="386021" w:themeColor="accent1" w:themeShade="80"/>
              </w:rPr>
              <w:t>fundamental</w:t>
            </w:r>
            <w:r w:rsidRPr="00FF0FBB">
              <w:rPr>
                <w:rFonts w:ascii="Calibri" w:hAnsi="Calibri" w:cs="Calibri"/>
                <w:color w:val="386021" w:themeColor="accent1" w:themeShade="80"/>
              </w:rPr>
              <w:t xml:space="preserve"> </w:t>
            </w:r>
            <w:r>
              <w:rPr>
                <w:rFonts w:ascii="Calibri" w:hAnsi="Calibri" w:cs="Calibri"/>
                <w:color w:val="386021" w:themeColor="accent1" w:themeShade="80"/>
              </w:rPr>
              <w:t>role</w:t>
            </w:r>
            <w:r w:rsidRPr="00FF0FBB">
              <w:rPr>
                <w:rFonts w:ascii="Calibri" w:hAnsi="Calibri" w:cs="Calibri"/>
                <w:color w:val="386021" w:themeColor="accent1" w:themeShade="80"/>
              </w:rPr>
              <w:t xml:space="preserve"> within a company due to the </w:t>
            </w:r>
            <w:r w:rsidR="00C15E5F">
              <w:rPr>
                <w:rFonts w:ascii="Calibri" w:hAnsi="Calibri" w:cs="Calibri"/>
                <w:color w:val="386021" w:themeColor="accent1" w:themeShade="80"/>
              </w:rPr>
              <w:t>impact</w:t>
            </w:r>
            <w:r w:rsidRPr="00FF0FBB">
              <w:rPr>
                <w:rFonts w:ascii="Calibri" w:hAnsi="Calibri" w:cs="Calibri"/>
                <w:color w:val="386021" w:themeColor="accent1" w:themeShade="80"/>
              </w:rPr>
              <w:t xml:space="preserve"> they </w:t>
            </w:r>
            <w:r w:rsidR="00C15E5F">
              <w:rPr>
                <w:rFonts w:ascii="Calibri" w:hAnsi="Calibri" w:cs="Calibri"/>
                <w:color w:val="386021" w:themeColor="accent1" w:themeShade="80"/>
              </w:rPr>
              <w:t>have</w:t>
            </w:r>
            <w:r w:rsidRPr="00FF0FBB">
              <w:rPr>
                <w:rFonts w:ascii="Calibri" w:hAnsi="Calibri" w:cs="Calibri"/>
                <w:color w:val="386021" w:themeColor="accent1" w:themeShade="80"/>
              </w:rPr>
              <w:t xml:space="preserve"> and the </w:t>
            </w:r>
            <w:r w:rsidR="00C15E5F">
              <w:rPr>
                <w:rFonts w:ascii="Calibri" w:hAnsi="Calibri" w:cs="Calibri"/>
                <w:color w:val="386021" w:themeColor="accent1" w:themeShade="80"/>
              </w:rPr>
              <w:t>value they add to</w:t>
            </w:r>
            <w:r w:rsidRPr="00FF0FBB">
              <w:rPr>
                <w:rFonts w:ascii="Calibri" w:hAnsi="Calibri" w:cs="Calibri"/>
                <w:color w:val="386021" w:themeColor="accent1" w:themeShade="80"/>
              </w:rPr>
              <w:t xml:space="preserve"> the organization's overall strategy. </w:t>
            </w:r>
            <w:r w:rsidR="00C15E5F">
              <w:rPr>
                <w:rFonts w:ascii="Calibri" w:hAnsi="Calibri" w:cs="Calibri"/>
                <w:color w:val="386021" w:themeColor="accent1" w:themeShade="80"/>
              </w:rPr>
              <w:t>Value is what a service, product, or knowledge means to someone who have availed those (Totre, 2014). In the context of people practic</w:t>
            </w:r>
            <w:r w:rsidR="00832339">
              <w:rPr>
                <w:rFonts w:ascii="Calibri" w:hAnsi="Calibri" w:cs="Calibri"/>
                <w:color w:val="386021" w:themeColor="accent1" w:themeShade="80"/>
              </w:rPr>
              <w:t>e, the value added to the organization as a result of people practice can be tangible or intangible benefit. On the other hand, impact is an entity that can be measured as a result of people professional’s activity.</w:t>
            </w:r>
          </w:p>
          <w:p w14:paraId="3FC7D7D1" w14:textId="77777777" w:rsidR="00DF31B0" w:rsidRDefault="00DF31B0" w:rsidP="00DF31B0">
            <w:pPr>
              <w:jc w:val="both"/>
              <w:rPr>
                <w:rFonts w:ascii="Calibri" w:hAnsi="Calibri" w:cs="Calibri"/>
                <w:color w:val="386021" w:themeColor="accent1" w:themeShade="80"/>
              </w:rPr>
            </w:pPr>
          </w:p>
          <w:p w14:paraId="2C5EE302" w14:textId="5736FBF8" w:rsidR="00DF31B0" w:rsidRDefault="00DF31B0" w:rsidP="00DF31B0">
            <w:pPr>
              <w:jc w:val="both"/>
              <w:rPr>
                <w:rFonts w:ascii="Calibri" w:hAnsi="Calibri" w:cs="Calibri"/>
                <w:color w:val="386021" w:themeColor="accent1" w:themeShade="80"/>
                <w:u w:val="single"/>
              </w:rPr>
            </w:pPr>
            <w:r w:rsidRPr="00DF31B0">
              <w:rPr>
                <w:rFonts w:ascii="Calibri" w:hAnsi="Calibri" w:cs="Calibri"/>
                <w:color w:val="386021" w:themeColor="accent1" w:themeShade="80"/>
                <w:u w:val="single"/>
              </w:rPr>
              <w:t>Learning and Development Activities</w:t>
            </w:r>
          </w:p>
          <w:p w14:paraId="736D3494" w14:textId="1F5D6496" w:rsidR="00DF31B0" w:rsidRDefault="00DF31B0" w:rsidP="00263B14">
            <w:pPr>
              <w:jc w:val="both"/>
              <w:rPr>
                <w:rFonts w:ascii="Calibri" w:hAnsi="Calibri" w:cs="Calibri"/>
                <w:color w:val="386021" w:themeColor="accent1" w:themeShade="80"/>
              </w:rPr>
            </w:pPr>
            <w:r>
              <w:rPr>
                <w:rFonts w:ascii="Calibri" w:hAnsi="Calibri" w:cs="Calibri"/>
                <w:color w:val="386021" w:themeColor="accent1" w:themeShade="80"/>
              </w:rPr>
              <w:t xml:space="preserve">One example that shows the value added to the organization as a result of people practice is learning and development activities. </w:t>
            </w:r>
            <w:r w:rsidR="00057418">
              <w:rPr>
                <w:rFonts w:ascii="Calibri" w:hAnsi="Calibri" w:cs="Calibri"/>
                <w:color w:val="386021" w:themeColor="accent1" w:themeShade="80"/>
              </w:rPr>
              <w:t>Learning and development is a specialist knowledge area in the CIPD profession map (CIPD, n.d.)</w:t>
            </w:r>
            <w:r w:rsidR="00263B14">
              <w:rPr>
                <w:rFonts w:ascii="Calibri" w:hAnsi="Calibri" w:cs="Calibri"/>
                <w:color w:val="386021" w:themeColor="accent1" w:themeShade="80"/>
              </w:rPr>
              <w:t>. People professionals ar</w:t>
            </w:r>
            <w:bookmarkStart w:id="1" w:name="_GoBack"/>
            <w:bookmarkEnd w:id="1"/>
            <w:r w:rsidR="00263B14">
              <w:rPr>
                <w:rFonts w:ascii="Calibri" w:hAnsi="Calibri" w:cs="Calibri"/>
                <w:color w:val="386021" w:themeColor="accent1" w:themeShade="80"/>
              </w:rPr>
              <w:t xml:space="preserve">e measuring performance of employees against the desired skills and performance needs to achieve organizational objectives. L&amp;D interventions fill the skills gap of employees and improve their performance and hence organizational performance. The value added due to L&amp;D include but not limited to </w:t>
            </w:r>
            <w:r w:rsidR="0013602B">
              <w:rPr>
                <w:rFonts w:ascii="Calibri" w:hAnsi="Calibri" w:cs="Calibri"/>
                <w:color w:val="386021" w:themeColor="accent1" w:themeShade="80"/>
              </w:rPr>
              <w:t xml:space="preserve">higher performance, </w:t>
            </w:r>
            <w:r w:rsidR="00263B14">
              <w:rPr>
                <w:rFonts w:ascii="Calibri" w:hAnsi="Calibri" w:cs="Calibri"/>
                <w:color w:val="386021" w:themeColor="accent1" w:themeShade="80"/>
              </w:rPr>
              <w:t xml:space="preserve">employee </w:t>
            </w:r>
            <w:r w:rsidR="0013602B">
              <w:rPr>
                <w:rFonts w:ascii="Calibri" w:hAnsi="Calibri" w:cs="Calibri"/>
                <w:color w:val="386021" w:themeColor="accent1" w:themeShade="80"/>
              </w:rPr>
              <w:t xml:space="preserve">motivation and </w:t>
            </w:r>
            <w:r w:rsidR="00263B14">
              <w:rPr>
                <w:rFonts w:ascii="Calibri" w:hAnsi="Calibri" w:cs="Calibri"/>
                <w:color w:val="386021" w:themeColor="accent1" w:themeShade="80"/>
              </w:rPr>
              <w:t>retention (</w:t>
            </w:r>
            <w:r w:rsidR="0013602B" w:rsidRPr="0013602B">
              <w:rPr>
                <w:rFonts w:ascii="Calibri" w:hAnsi="Calibri" w:cs="Calibri"/>
                <w:color w:val="386021" w:themeColor="accent1" w:themeShade="80"/>
              </w:rPr>
              <w:t>Brassey</w:t>
            </w:r>
            <w:r w:rsidR="0013602B">
              <w:rPr>
                <w:rFonts w:ascii="Calibri" w:hAnsi="Calibri" w:cs="Calibri"/>
                <w:color w:val="386021" w:themeColor="accent1" w:themeShade="80"/>
              </w:rPr>
              <w:t xml:space="preserve">, </w:t>
            </w:r>
            <w:r w:rsidR="0013602B" w:rsidRPr="0013602B">
              <w:rPr>
                <w:rFonts w:ascii="Calibri" w:hAnsi="Calibri" w:cs="Calibri"/>
                <w:color w:val="386021" w:themeColor="accent1" w:themeShade="80"/>
              </w:rPr>
              <w:t>Christensen</w:t>
            </w:r>
            <w:r w:rsidR="0013602B">
              <w:rPr>
                <w:rFonts w:ascii="Calibri" w:hAnsi="Calibri" w:cs="Calibri"/>
                <w:color w:val="386021" w:themeColor="accent1" w:themeShade="80"/>
              </w:rPr>
              <w:t xml:space="preserve"> and </w:t>
            </w:r>
            <w:r w:rsidR="0013602B" w:rsidRPr="0013602B">
              <w:rPr>
                <w:rFonts w:ascii="Calibri" w:hAnsi="Calibri" w:cs="Calibri"/>
                <w:color w:val="386021" w:themeColor="accent1" w:themeShade="80"/>
              </w:rPr>
              <w:t>Dam</w:t>
            </w:r>
            <w:r w:rsidR="0013602B">
              <w:rPr>
                <w:rFonts w:ascii="Calibri" w:hAnsi="Calibri" w:cs="Calibri"/>
                <w:color w:val="386021" w:themeColor="accent1" w:themeShade="80"/>
              </w:rPr>
              <w:t>, 2019</w:t>
            </w:r>
            <w:r w:rsidR="00263B14">
              <w:rPr>
                <w:rFonts w:ascii="Calibri" w:hAnsi="Calibri" w:cs="Calibri"/>
                <w:color w:val="386021" w:themeColor="accent1" w:themeShade="80"/>
              </w:rPr>
              <w:t>)</w:t>
            </w:r>
            <w:r w:rsidR="0044738E">
              <w:rPr>
                <w:rFonts w:ascii="Calibri" w:hAnsi="Calibri" w:cs="Calibri"/>
                <w:color w:val="386021" w:themeColor="accent1" w:themeShade="80"/>
              </w:rPr>
              <w:t>. Moreover, the organization would be able to achieve its strategic objectives.</w:t>
            </w:r>
          </w:p>
          <w:p w14:paraId="39C295CB" w14:textId="7BE62E58" w:rsidR="0044738E" w:rsidRDefault="0044738E" w:rsidP="00263B14">
            <w:pPr>
              <w:jc w:val="both"/>
              <w:rPr>
                <w:rFonts w:ascii="Calibri" w:hAnsi="Calibri" w:cs="Calibri"/>
                <w:color w:val="386021" w:themeColor="accent1" w:themeShade="80"/>
              </w:rPr>
            </w:pPr>
          </w:p>
          <w:p w14:paraId="488CEE90" w14:textId="240F3226" w:rsidR="0044738E" w:rsidRDefault="0044738E" w:rsidP="00263B14">
            <w:pPr>
              <w:jc w:val="both"/>
              <w:rPr>
                <w:rFonts w:ascii="Calibri" w:hAnsi="Calibri" w:cs="Calibri"/>
                <w:color w:val="386021" w:themeColor="accent1" w:themeShade="80"/>
              </w:rPr>
            </w:pPr>
            <w:r>
              <w:rPr>
                <w:rFonts w:ascii="Calibri" w:hAnsi="Calibri" w:cs="Calibri"/>
                <w:color w:val="386021" w:themeColor="accent1" w:themeShade="80"/>
              </w:rPr>
              <w:t>There are two examples by which the values added by people professional can be measured.</w:t>
            </w:r>
          </w:p>
          <w:p w14:paraId="76039678" w14:textId="77777777" w:rsidR="0044738E" w:rsidRDefault="0044738E" w:rsidP="00263B14">
            <w:pPr>
              <w:jc w:val="both"/>
              <w:rPr>
                <w:rFonts w:ascii="Calibri" w:hAnsi="Calibri" w:cs="Calibri"/>
                <w:color w:val="386021" w:themeColor="accent1" w:themeShade="80"/>
              </w:rPr>
            </w:pPr>
          </w:p>
          <w:p w14:paraId="1D0EAAB1" w14:textId="536A48A3" w:rsidR="0044738E" w:rsidRDefault="0044738E" w:rsidP="00263B14">
            <w:pPr>
              <w:jc w:val="both"/>
              <w:rPr>
                <w:rFonts w:ascii="Calibri" w:hAnsi="Calibri" w:cs="Calibri"/>
                <w:color w:val="386021" w:themeColor="accent1" w:themeShade="80"/>
                <w:u w:val="single"/>
              </w:rPr>
            </w:pPr>
            <w:r w:rsidRPr="0044738E">
              <w:rPr>
                <w:rFonts w:ascii="Calibri" w:hAnsi="Calibri" w:cs="Calibri"/>
                <w:color w:val="386021" w:themeColor="accent1" w:themeShade="80"/>
                <w:u w:val="single"/>
              </w:rPr>
              <w:t>Cost-Benefit Analysis</w:t>
            </w:r>
            <w:r>
              <w:rPr>
                <w:rFonts w:ascii="Calibri" w:hAnsi="Calibri" w:cs="Calibri"/>
                <w:color w:val="386021" w:themeColor="accent1" w:themeShade="80"/>
                <w:u w:val="single"/>
              </w:rPr>
              <w:t>:</w:t>
            </w:r>
          </w:p>
          <w:p w14:paraId="2F7164A4" w14:textId="64F52840" w:rsidR="0044738E" w:rsidRPr="00530F72" w:rsidRDefault="00530F72" w:rsidP="00530F72">
            <w:pPr>
              <w:jc w:val="both"/>
              <w:rPr>
                <w:rFonts w:ascii="Calibri" w:hAnsi="Calibri" w:cs="Calibri"/>
                <w:color w:val="386021" w:themeColor="accent1" w:themeShade="80"/>
              </w:rPr>
            </w:pPr>
            <w:r>
              <w:rPr>
                <w:rFonts w:ascii="Calibri" w:hAnsi="Calibri" w:cs="Calibri"/>
                <w:color w:val="386021" w:themeColor="accent1" w:themeShade="80"/>
              </w:rPr>
              <w:t>Cost-benefit analysis is a process compares the estimated cost of an activity or a project against the benefits or opportunities it would bring (</w:t>
            </w:r>
            <w:r w:rsidRPr="00530F72">
              <w:rPr>
                <w:rFonts w:ascii="Calibri" w:hAnsi="Calibri" w:cs="Calibri"/>
                <w:color w:val="386021" w:themeColor="accent1" w:themeShade="80"/>
              </w:rPr>
              <w:t>Stobierski</w:t>
            </w:r>
            <w:r>
              <w:rPr>
                <w:rFonts w:ascii="Calibri" w:hAnsi="Calibri" w:cs="Calibri"/>
                <w:color w:val="386021" w:themeColor="accent1" w:themeShade="80"/>
              </w:rPr>
              <w:t>, 2019)</w:t>
            </w:r>
            <w:r w:rsidR="005D2947">
              <w:rPr>
                <w:rFonts w:ascii="Calibri" w:hAnsi="Calibri" w:cs="Calibri"/>
                <w:color w:val="386021" w:themeColor="accent1" w:themeShade="80"/>
              </w:rPr>
              <w:t xml:space="preserve">. </w:t>
            </w:r>
            <w:r w:rsidR="00031CFC">
              <w:rPr>
                <w:rFonts w:ascii="Calibri" w:hAnsi="Calibri" w:cs="Calibri"/>
                <w:color w:val="386021" w:themeColor="accent1" w:themeShade="80"/>
              </w:rPr>
              <w:t>The decision on whether to go with an activity or not is based on that analysis. For example, when deciding about an L&amp;D initiative, the cost versus benefit is measured to make a decision. Cost-benefit analysis helps the business to build a business case and make the right decision for the organization. If benefits outweigh its costs, it a good investment decision.</w:t>
            </w:r>
          </w:p>
          <w:p w14:paraId="0F228F1C" w14:textId="247585B9" w:rsidR="0044738E" w:rsidRPr="0044738E" w:rsidRDefault="0044738E" w:rsidP="00263B14">
            <w:pPr>
              <w:jc w:val="both"/>
              <w:rPr>
                <w:rFonts w:ascii="Calibri" w:hAnsi="Calibri" w:cs="Calibri"/>
                <w:color w:val="386021" w:themeColor="accent1" w:themeShade="80"/>
                <w:u w:val="single"/>
              </w:rPr>
            </w:pPr>
            <w:r>
              <w:rPr>
                <w:rFonts w:ascii="Calibri" w:hAnsi="Calibri" w:cs="Calibri"/>
                <w:color w:val="386021" w:themeColor="accent1" w:themeShade="80"/>
                <w:u w:val="single"/>
              </w:rPr>
              <w:t>Return on Investment (RIO):</w:t>
            </w:r>
          </w:p>
          <w:p w14:paraId="4C1F2D27" w14:textId="40E81994" w:rsidR="00DF31B0" w:rsidRPr="00FF0FBB" w:rsidRDefault="00031CFC" w:rsidP="00031CFC">
            <w:pPr>
              <w:jc w:val="both"/>
              <w:rPr>
                <w:rFonts w:ascii="Calibri" w:hAnsi="Calibri" w:cs="Calibri"/>
                <w:b/>
                <w:bCs/>
                <w:sz w:val="20"/>
                <w:szCs w:val="20"/>
              </w:rPr>
            </w:pPr>
            <w:r w:rsidRPr="00031CFC">
              <w:rPr>
                <w:rFonts w:ascii="Calibri" w:hAnsi="Calibri" w:cs="Calibri"/>
                <w:color w:val="386021" w:themeColor="accent1" w:themeShade="80"/>
              </w:rPr>
              <w:t xml:space="preserve">ROI (Return on Investment) is a business metric used to evaluate the return of an investment in relation to the cost incurred (Kumbhat, 2020). It can also be used in </w:t>
            </w:r>
            <w:r>
              <w:rPr>
                <w:rFonts w:ascii="Calibri" w:hAnsi="Calibri" w:cs="Calibri"/>
                <w:color w:val="386021" w:themeColor="accent1" w:themeShade="80"/>
              </w:rPr>
              <w:t>people practice</w:t>
            </w:r>
            <w:r w:rsidRPr="00031CFC">
              <w:rPr>
                <w:rFonts w:ascii="Calibri" w:hAnsi="Calibri" w:cs="Calibri"/>
                <w:color w:val="386021" w:themeColor="accent1" w:themeShade="80"/>
              </w:rPr>
              <w:t xml:space="preserve"> to measure the value or impact of certain people-related initiatives. For example, after implementing an L&amp;D program, the ROI of the investment in the program can be calculated to determine its effectiveness. </w:t>
            </w:r>
            <w:r>
              <w:rPr>
                <w:rFonts w:ascii="Calibri" w:hAnsi="Calibri" w:cs="Calibri"/>
                <w:color w:val="386021" w:themeColor="accent1" w:themeShade="80"/>
              </w:rPr>
              <w:t xml:space="preserve">Working out the costs related to L&amp;D activates against the benefits and the added value determine the return in that investment. </w:t>
            </w:r>
            <w:r w:rsidRPr="00031CFC">
              <w:rPr>
                <w:rFonts w:ascii="Calibri" w:hAnsi="Calibri" w:cs="Calibri"/>
                <w:color w:val="386021" w:themeColor="accent1" w:themeShade="80"/>
              </w:rPr>
              <w:t>However, there are certain intangible benefits</w:t>
            </w:r>
            <w:r>
              <w:rPr>
                <w:rFonts w:ascii="Calibri" w:hAnsi="Calibri" w:cs="Calibri"/>
                <w:color w:val="386021" w:themeColor="accent1" w:themeShade="80"/>
              </w:rPr>
              <w:t xml:space="preserve"> for the intervention</w:t>
            </w:r>
            <w:r w:rsidRPr="00031CFC">
              <w:rPr>
                <w:rFonts w:ascii="Calibri" w:hAnsi="Calibri" w:cs="Calibri"/>
                <w:color w:val="386021" w:themeColor="accent1" w:themeShade="80"/>
              </w:rPr>
              <w:t>, such as employee satisfaction and motivation, that cannot be measured using ROI.</w:t>
            </w: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530F72"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B4EC400" w14:textId="4FAA6BD7" w:rsidR="00FC085B" w:rsidRDefault="00FC085B" w:rsidP="00FC085B">
            <w:pPr>
              <w:rPr>
                <w:lang w:val="en-US"/>
              </w:rPr>
            </w:pPr>
            <w:r w:rsidRPr="006202AE">
              <w:rPr>
                <w:lang w:val="en-US"/>
              </w:rPr>
              <w:lastRenderedPageBreak/>
              <w:t xml:space="preserve">CIPD. (2020) Evidence-based practice for effective decision-making [online]. Factsheet. London: CIPD. Available from: </w:t>
            </w:r>
            <w:hyperlink r:id="rId19"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2285BF5D" w14:textId="37C1E3E1" w:rsidR="00A856E2" w:rsidRPr="00FC085B" w:rsidRDefault="00A856E2" w:rsidP="00547AAA">
            <w:pPr>
              <w:textAlignment w:val="baseline"/>
              <w:rPr>
                <w:rFonts w:ascii="Calibri" w:eastAsia="Times New Roman" w:hAnsi="Calibri" w:cs="Calibri"/>
                <w:sz w:val="24"/>
                <w:lang w:val="en-US" w:eastAsia="en-GB"/>
              </w:rPr>
            </w:pPr>
          </w:p>
          <w:p w14:paraId="3A385577" w14:textId="0F2A2571" w:rsidR="006745B5" w:rsidRDefault="006745B5" w:rsidP="006745B5">
            <w:r w:rsidRPr="006B3392">
              <w:t xml:space="preserve">Briner, R. (2019) The Basics of Evidence-Based Practice. People + Strategy. 42 (1), 16-21. Available from: </w:t>
            </w:r>
            <w:hyperlink r:id="rId20"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452154A" w14:textId="77777777" w:rsidR="00825816" w:rsidRDefault="00825816" w:rsidP="006745B5"/>
          <w:p w14:paraId="353B7C97" w14:textId="77777777" w:rsidR="00A856E2" w:rsidRDefault="00825816" w:rsidP="00825816">
            <w:r w:rsidRPr="00825816">
              <w:t>CEBMA</w:t>
            </w:r>
            <w:r>
              <w:t xml:space="preserve"> (n.d.) Centre of Evidence Based Management. </w:t>
            </w:r>
            <w:r w:rsidRPr="00825816">
              <w:rPr>
                <w:i/>
                <w:iCs/>
              </w:rPr>
              <w:t>What are the limitations</w:t>
            </w:r>
            <w:r>
              <w:rPr>
                <w:i/>
                <w:iCs/>
              </w:rPr>
              <w:t xml:space="preserve"> </w:t>
            </w:r>
            <w:r w:rsidRPr="00825816">
              <w:rPr>
                <w:i/>
                <w:iCs/>
              </w:rPr>
              <w:t>of evidence-based practice?</w:t>
            </w:r>
            <w:r>
              <w:rPr>
                <w:i/>
                <w:iCs/>
              </w:rPr>
              <w:t xml:space="preserve"> </w:t>
            </w:r>
            <w:r>
              <w:t xml:space="preserve">Available at </w:t>
            </w:r>
            <w:hyperlink r:id="rId21"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236D110" w14:textId="77777777" w:rsidR="002A5BC7" w:rsidRDefault="002A5BC7" w:rsidP="00825816"/>
          <w:p w14:paraId="598BFDA0" w14:textId="77777777" w:rsidR="002A5BC7" w:rsidRDefault="002A5BC7" w:rsidP="002A5BC7">
            <w:r w:rsidRPr="002A5BC7">
              <w:t>Kaplan</w:t>
            </w:r>
            <w:r>
              <w:t xml:space="preserve"> R., </w:t>
            </w:r>
            <w:r w:rsidRPr="002A5BC7">
              <w:t>and Norton</w:t>
            </w:r>
            <w:r>
              <w:t xml:space="preserve"> D., (1992) </w:t>
            </w:r>
            <w:r w:rsidRPr="002A5BC7">
              <w:rPr>
                <w:i/>
                <w:iCs/>
              </w:rPr>
              <w:t>The Balanced Scorecard—Measures that Drive Performance</w:t>
            </w:r>
            <w:r>
              <w:rPr>
                <w:i/>
                <w:iCs/>
              </w:rPr>
              <w:t xml:space="preserve"> </w:t>
            </w:r>
            <w:r>
              <w:t xml:space="preserve">Available at </w:t>
            </w:r>
            <w:hyperlink r:id="rId22"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8FFE452" w14:textId="77777777" w:rsidR="00D57733" w:rsidRDefault="00D57733" w:rsidP="002A5BC7"/>
          <w:p w14:paraId="3B11FB0F" w14:textId="71C206F9" w:rsidR="00D57733" w:rsidRDefault="00D57733" w:rsidP="002A5BC7">
            <w:r>
              <w:t>CIPD (2021) PESTLE</w:t>
            </w:r>
            <w:r w:rsidRPr="00D57733">
              <w:rPr>
                <w:i/>
                <w:iCs/>
              </w:rPr>
              <w:t xml:space="preserve"> Analysis </w:t>
            </w:r>
            <w:r>
              <w:t xml:space="preserve">Available at </w:t>
            </w:r>
            <w:hyperlink r:id="rId23"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EBD5500" w14:textId="77777777" w:rsidR="00BA00BD" w:rsidRDefault="00BA00BD" w:rsidP="002A5BC7"/>
          <w:p w14:paraId="126FD70E" w14:textId="6CB70052" w:rsidR="00BA00BD" w:rsidRDefault="00BA00BD" w:rsidP="002A5BC7">
            <w:r w:rsidRPr="0044738E">
              <w:t>Dictionary.com (n.d.) Interview. Available at</w:t>
            </w:r>
            <w:r>
              <w:rPr>
                <w:rFonts w:ascii="Calibri" w:hAnsi="Calibri" w:cs="Calibri"/>
                <w:color w:val="386021" w:themeColor="accent1" w:themeShade="80"/>
                <w:lang w:val="en-US"/>
              </w:rPr>
              <w:t xml:space="preserve"> </w:t>
            </w:r>
            <w:hyperlink r:id="rId24"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AEC7675" w14:textId="77777777" w:rsidR="00C231BF" w:rsidRDefault="00C231BF" w:rsidP="002A5BC7"/>
          <w:p w14:paraId="79C69282" w14:textId="4608F9A5" w:rsidR="00C231BF" w:rsidRDefault="00C231BF" w:rsidP="002A5BC7">
            <w:r w:rsidRPr="00C231BF">
              <w:t xml:space="preserve">Mulder, P. (2012). </w:t>
            </w:r>
            <w:r w:rsidRPr="00C231BF">
              <w:rPr>
                <w:i/>
                <w:iCs/>
              </w:rPr>
              <w:t>Kepner Tregoe Method of Problem Solving explained</w:t>
            </w:r>
            <w:r w:rsidRPr="00C231BF">
              <w:t xml:space="preserve">. </w:t>
            </w:r>
            <w:r>
              <w:t>Available at</w:t>
            </w:r>
            <w:r w:rsidRPr="00C231BF">
              <w:t xml:space="preserve">: </w:t>
            </w:r>
            <w:hyperlink r:id="rId25"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1C78A6D2" w14:textId="77777777" w:rsidR="004E0FC9" w:rsidRDefault="004E0FC9" w:rsidP="002A5BC7"/>
          <w:p w14:paraId="5B3A1020" w14:textId="7015499A" w:rsidR="004E0FC9" w:rsidRDefault="004E0FC9"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26"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00B43EF" w14:textId="77777777" w:rsidR="004E0FC9" w:rsidRDefault="004E0FC9" w:rsidP="002A5BC7"/>
          <w:p w14:paraId="690E5FE0" w14:textId="4DD0CF2B" w:rsidR="00201DAB" w:rsidRDefault="00201DAB" w:rsidP="00153980">
            <w:pPr>
              <w:rPr>
                <w:lang w:val="en-US"/>
              </w:rPr>
            </w:pPr>
            <w:r w:rsidRPr="00201DAB">
              <w:rPr>
                <w:lang w:val="en-US"/>
              </w:rPr>
              <w:t xml:space="preserve">Continuous Improvement Toolkit (CIToolkit). (2020) </w:t>
            </w:r>
            <w:r w:rsidRPr="00153980">
              <w:rPr>
                <w:i/>
                <w:iCs/>
                <w:lang w:val="en-US"/>
              </w:rPr>
              <w:t>PDCA Cycle</w:t>
            </w:r>
            <w:r w:rsidRPr="00201DAB">
              <w:rPr>
                <w:lang w:val="en-US"/>
              </w:rPr>
              <w:t xml:space="preserve">. Available </w:t>
            </w:r>
            <w:r w:rsidR="00153980">
              <w:rPr>
                <w:lang w:val="en-US"/>
              </w:rPr>
              <w:t>at</w:t>
            </w:r>
            <w:r w:rsidRPr="00201DAB">
              <w:rPr>
                <w:lang w:val="en-US"/>
              </w:rPr>
              <w:t xml:space="preserve">: </w:t>
            </w:r>
            <w:hyperlink r:id="rId27" w:history="1">
              <w:r w:rsidR="00153980" w:rsidRPr="00D3476E">
                <w:rPr>
                  <w:rStyle w:val="Hyperlink"/>
                  <w:lang w:val="en-US"/>
                </w:rPr>
                <w:t>https://citoolkit.com/articles/pdca-cycle/</w:t>
              </w:r>
            </w:hyperlink>
            <w:r w:rsidR="00153980">
              <w:rPr>
                <w:lang w:val="en-US"/>
              </w:rPr>
              <w:t xml:space="preserve"> </w:t>
            </w:r>
            <w:r w:rsidRPr="00201DAB">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127E3ED0" w14:textId="1ECB84FB" w:rsidR="000D2FB7" w:rsidRDefault="000D2FB7" w:rsidP="002A5BC7">
            <w:pPr>
              <w:rPr>
                <w:lang w:val="en-US"/>
              </w:rPr>
            </w:pPr>
          </w:p>
          <w:p w14:paraId="5672C7D1" w14:textId="0D4DF0B7" w:rsidR="002A5BC7" w:rsidRDefault="000D2FB7" w:rsidP="00EC7FED">
            <w:pPr>
              <w:rPr>
                <w:rFonts w:ascii="Calibri" w:eastAsia="Times New Roman" w:hAnsi="Calibri" w:cs="Calibri"/>
                <w:lang w:val="en-US"/>
              </w:rPr>
            </w:pPr>
            <w:r>
              <w:rPr>
                <w:rFonts w:ascii="Calibri" w:eastAsia="Times New Roman" w:hAnsi="Calibri" w:cs="Calibri"/>
                <w:lang w:val="en-US"/>
              </w:rPr>
              <w:t>C</w:t>
            </w:r>
            <w:r w:rsidRPr="000D2FB7">
              <w:rPr>
                <w:rFonts w:ascii="Calibri" w:eastAsia="Times New Roman" w:hAnsi="Calibri" w:cs="Calibri"/>
                <w:lang w:val="en-US"/>
              </w:rPr>
              <w:t xml:space="preserve">riticalthinking.org (n.d.) </w:t>
            </w:r>
            <w:r w:rsidRPr="00153980">
              <w:rPr>
                <w:rFonts w:ascii="Calibri" w:eastAsia="Times New Roman" w:hAnsi="Calibri" w:cs="Calibri"/>
                <w:i/>
                <w:iCs/>
                <w:lang w:val="en-US"/>
              </w:rPr>
              <w:t>Defining Critical Thinking</w:t>
            </w:r>
            <w:r w:rsidRPr="000D2FB7">
              <w:rPr>
                <w:rFonts w:ascii="Calibri" w:eastAsia="Times New Roman" w:hAnsi="Calibri" w:cs="Calibri"/>
                <w:lang w:val="en-US"/>
              </w:rPr>
              <w:t xml:space="preserve"> </w:t>
            </w:r>
            <w:r w:rsidR="00153980">
              <w:rPr>
                <w:rFonts w:ascii="Calibri" w:eastAsia="Times New Roman" w:hAnsi="Calibri" w:cs="Calibri"/>
                <w:lang w:val="en-US"/>
              </w:rPr>
              <w:t>A</w:t>
            </w:r>
            <w:r w:rsidRPr="000D2FB7">
              <w:rPr>
                <w:rFonts w:ascii="Calibri" w:eastAsia="Times New Roman" w:hAnsi="Calibri" w:cs="Calibri"/>
                <w:lang w:val="en-US"/>
              </w:rPr>
              <w:t xml:space="preserve">vailable at </w:t>
            </w:r>
            <w:hyperlink r:id="rId28" w:history="1">
              <w:r w:rsidR="00153980" w:rsidRPr="00D3476E">
                <w:rPr>
                  <w:rStyle w:val="Hyperlink"/>
                  <w:rFonts w:ascii="Calibri" w:eastAsia="Times New Roman" w:hAnsi="Calibri" w:cs="Calibri"/>
                  <w:lang w:val="en-US"/>
                </w:rPr>
                <w:t>https://www.criticalthinking.org/pages/defining-critical-thinking/766</w:t>
              </w:r>
            </w:hyperlink>
            <w:r w:rsidR="00153980">
              <w:rPr>
                <w:rFonts w:ascii="Calibri" w:eastAsia="Times New Roman" w:hAnsi="Calibri" w:cs="Calibri"/>
                <w:lang w:val="en-US"/>
              </w:rPr>
              <w:t xml:space="preserve"> </w:t>
            </w:r>
            <w:r w:rsidRPr="000D2FB7">
              <w:rPr>
                <w:rFonts w:ascii="Calibri" w:eastAsia="Times New Roman" w:hAnsi="Calibri" w:cs="Calibri"/>
                <w:lang w:val="en-US"/>
              </w:rPr>
              <w:t xml:space="preserve"> [</w:t>
            </w:r>
            <w:r w:rsidR="00153980" w:rsidRPr="006B3392">
              <w:t xml:space="preserve">Accessed </w:t>
            </w:r>
            <w:r w:rsidR="00153980">
              <w:rPr>
                <w:lang w:val="en-US"/>
              </w:rPr>
              <w:t>3</w:t>
            </w:r>
            <w:r w:rsidR="00EC7FED">
              <w:rPr>
                <w:lang w:val="en-US"/>
              </w:rPr>
              <w:t>1</w:t>
            </w:r>
            <w:r w:rsidR="00153980" w:rsidRPr="006202AE">
              <w:rPr>
                <w:lang w:val="en-US"/>
              </w:rPr>
              <w:t xml:space="preserve"> </w:t>
            </w:r>
            <w:r w:rsidR="00153980">
              <w:rPr>
                <w:lang w:val="en-US"/>
              </w:rPr>
              <w:t>July</w:t>
            </w:r>
            <w:r w:rsidR="00153980" w:rsidRPr="006202AE">
              <w:rPr>
                <w:lang w:val="en-US"/>
              </w:rPr>
              <w:t xml:space="preserve"> </w:t>
            </w:r>
            <w:r w:rsidR="00153980">
              <w:rPr>
                <w:lang w:val="en-US"/>
              </w:rPr>
              <w:t>2023</w:t>
            </w:r>
            <w:r w:rsidRPr="000D2FB7">
              <w:rPr>
                <w:rFonts w:ascii="Calibri" w:eastAsia="Times New Roman" w:hAnsi="Calibri" w:cs="Calibri"/>
                <w:lang w:val="en-US"/>
              </w:rPr>
              <w:t>].</w:t>
            </w:r>
          </w:p>
          <w:p w14:paraId="21E4B507" w14:textId="77777777" w:rsidR="00EC7FED" w:rsidRDefault="00EC7FED" w:rsidP="00153980">
            <w:pPr>
              <w:rPr>
                <w:rFonts w:ascii="Calibri" w:eastAsia="Times New Roman" w:hAnsi="Calibri" w:cs="Calibri"/>
                <w:lang w:val="en-US"/>
              </w:rPr>
            </w:pPr>
          </w:p>
          <w:p w14:paraId="2C2D2EF2" w14:textId="77777777" w:rsidR="00EC7FED" w:rsidRDefault="00EC7FED" w:rsidP="00EC7FED">
            <w:pPr>
              <w:rPr>
                <w:rFonts w:ascii="Calibri" w:eastAsia="Times New Roman" w:hAnsi="Calibri" w:cs="Calibri"/>
                <w:lang w:val="en-US"/>
              </w:rPr>
            </w:pPr>
            <w:r>
              <w:rPr>
                <w:rFonts w:ascii="Calibri" w:eastAsia="Times New Roman" w:hAnsi="Calibri" w:cs="Calibri"/>
                <w:lang w:val="en-US"/>
              </w:rPr>
              <w:t xml:space="preserve">CIPD (2019) </w:t>
            </w:r>
            <w:r w:rsidRPr="00EC7FED">
              <w:rPr>
                <w:rFonts w:ascii="Calibri" w:eastAsia="Times New Roman" w:hAnsi="Calibri" w:cs="Calibri"/>
                <w:i/>
                <w:iCs/>
                <w:lang w:val="en-US"/>
              </w:rPr>
              <w:t>Critical Thinking</w:t>
            </w:r>
            <w:r>
              <w:rPr>
                <w:rFonts w:ascii="Calibri" w:eastAsia="Times New Roman" w:hAnsi="Calibri" w:cs="Calibri"/>
                <w:lang w:val="en-US"/>
              </w:rPr>
              <w:t xml:space="preserve"> (Podcast) Available at </w:t>
            </w:r>
            <w:hyperlink r:id="rId29" w:history="1">
              <w:r w:rsidRPr="00D3476E">
                <w:rPr>
                  <w:rStyle w:val="Hyperlink"/>
                  <w:rFonts w:ascii="Calibri" w:eastAsia="Times New Roman" w:hAnsi="Calibri" w:cs="Calibri"/>
                  <w:lang w:val="en-US"/>
                </w:rPr>
                <w:t>https://www.cipd.org/en/knowledge/podcasts/critical-thinking</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3E9FAE99" w14:textId="77777777" w:rsidR="00AF4F8F" w:rsidRDefault="00AF4F8F" w:rsidP="00EC7FED">
            <w:pPr>
              <w:rPr>
                <w:rFonts w:ascii="Calibri" w:eastAsia="Times New Roman" w:hAnsi="Calibri" w:cs="Calibri"/>
                <w:lang w:val="en-US"/>
              </w:rPr>
            </w:pPr>
          </w:p>
          <w:p w14:paraId="0A5F9F56" w14:textId="77777777" w:rsidR="007F59F7" w:rsidRDefault="00AF4F8F" w:rsidP="00EC7FED">
            <w:pPr>
              <w:rPr>
                <w:rFonts w:ascii="Calibri" w:eastAsia="Times New Roman" w:hAnsi="Calibri" w:cs="Calibri"/>
                <w:lang w:val="en-US"/>
              </w:rPr>
            </w:pPr>
            <w:r>
              <w:rPr>
                <w:rFonts w:ascii="Calibri" w:eastAsia="Times New Roman" w:hAnsi="Calibri" w:cs="Calibri"/>
                <w:lang w:val="en-US"/>
              </w:rPr>
              <w:t xml:space="preserve">Cambridge Assessment (n.d.) </w:t>
            </w:r>
            <w:r w:rsidRPr="00AF4F8F">
              <w:rPr>
                <w:rFonts w:ascii="Calibri" w:eastAsia="Times New Roman" w:hAnsi="Calibri" w:cs="Calibri"/>
                <w:i/>
                <w:iCs/>
                <w:lang w:val="en-US"/>
              </w:rPr>
              <w:t>Critical Thinking Deriving the definition</w:t>
            </w:r>
            <w:r>
              <w:rPr>
                <w:rFonts w:ascii="Calibri" w:eastAsia="Times New Roman" w:hAnsi="Calibri" w:cs="Calibri"/>
                <w:lang w:val="en-US"/>
              </w:rPr>
              <w:t xml:space="preserve"> Available at </w:t>
            </w:r>
            <w:hyperlink r:id="rId30" w:history="1">
              <w:r w:rsidRPr="00D3476E">
                <w:rPr>
                  <w:rStyle w:val="Hyperlink"/>
                  <w:rFonts w:ascii="Calibri" w:eastAsia="Times New Roman" w:hAnsi="Calibri" w:cs="Calibri"/>
                  <w:lang w:val="en-US"/>
                </w:rPr>
                <w:t>https://www.cambridgeassessment.org.uk/Images/109971-critical-thinking-factsheet-1.pdf</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258800E1" w14:textId="77777777" w:rsidR="007F59F7" w:rsidRDefault="007F59F7" w:rsidP="00EC7FED">
            <w:pPr>
              <w:rPr>
                <w:rFonts w:ascii="Calibri" w:eastAsia="Times New Roman" w:hAnsi="Calibri" w:cs="Calibri"/>
                <w:lang w:val="en-US"/>
              </w:rPr>
            </w:pPr>
          </w:p>
          <w:p w14:paraId="2B5C97FB" w14:textId="5268B62A" w:rsidR="007F59F7" w:rsidRDefault="007F59F7" w:rsidP="007F59F7">
            <w:pPr>
              <w:rPr>
                <w:lang w:val="en-US"/>
              </w:rPr>
            </w:pPr>
            <w:r w:rsidRPr="00957A18">
              <w:rPr>
                <w:lang w:val="en-US"/>
              </w:rPr>
              <w:t>Birken</w:t>
            </w:r>
            <w:r>
              <w:rPr>
                <w:lang w:val="en-US"/>
              </w:rPr>
              <w:t xml:space="preserve"> E., (2022</w:t>
            </w:r>
            <w:r w:rsidRPr="00957A18">
              <w:rPr>
                <w:i/>
                <w:iCs/>
                <w:lang w:val="en-US"/>
              </w:rPr>
              <w:t xml:space="preserve">) Return </w:t>
            </w:r>
            <w:r>
              <w:rPr>
                <w:i/>
                <w:iCs/>
                <w:lang w:val="en-US"/>
              </w:rPr>
              <w:t>o</w:t>
            </w:r>
            <w:r w:rsidRPr="00957A18">
              <w:rPr>
                <w:i/>
                <w:iCs/>
                <w:lang w:val="en-US"/>
              </w:rPr>
              <w:t>n Investment (ROI)</w:t>
            </w:r>
            <w:r>
              <w:rPr>
                <w:i/>
                <w:iCs/>
                <w:lang w:val="en-US"/>
              </w:rPr>
              <w:t xml:space="preserve"> </w:t>
            </w:r>
            <w:r>
              <w:rPr>
                <w:lang w:val="en-US"/>
              </w:rPr>
              <w:t xml:space="preserve">Available at </w:t>
            </w:r>
            <w:hyperlink r:id="rId31" w:history="1">
              <w:r w:rsidRPr="00670694">
                <w:rPr>
                  <w:rStyle w:val="Hyperlink"/>
                  <w:lang w:val="en-US"/>
                </w:rPr>
                <w:t>https://www.forbes.com/advisor/investing/roi-return-on-investment/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16213982" w14:textId="7EEF160A" w:rsidR="009543D2" w:rsidRDefault="009543D2" w:rsidP="007F59F7">
            <w:pPr>
              <w:rPr>
                <w:lang w:val="en-US"/>
              </w:rPr>
            </w:pPr>
          </w:p>
          <w:p w14:paraId="352D73B9" w14:textId="5ACC28EF" w:rsidR="009543D2" w:rsidRDefault="009543D2" w:rsidP="009543D2">
            <w:pPr>
              <w:rPr>
                <w:lang w:val="en-US"/>
              </w:rPr>
            </w:pPr>
            <w:r w:rsidRPr="009543D2">
              <w:t>Stobierski</w:t>
            </w:r>
            <w:r>
              <w:t xml:space="preserve"> T., (2020) </w:t>
            </w:r>
            <w:r>
              <w:rPr>
                <w:i/>
                <w:iCs/>
              </w:rPr>
              <w:t>How t</w:t>
            </w:r>
            <w:r w:rsidRPr="009543D2">
              <w:rPr>
                <w:i/>
                <w:iCs/>
              </w:rPr>
              <w:t>o Calculate R</w:t>
            </w:r>
            <w:r>
              <w:rPr>
                <w:i/>
                <w:iCs/>
              </w:rPr>
              <w:t>OI t</w:t>
            </w:r>
            <w:r w:rsidRPr="009543D2">
              <w:rPr>
                <w:i/>
                <w:iCs/>
              </w:rPr>
              <w:t>o Justify A Project</w:t>
            </w:r>
            <w:r>
              <w:rPr>
                <w:i/>
                <w:iCs/>
              </w:rPr>
              <w:t xml:space="preserve"> </w:t>
            </w:r>
            <w:r>
              <w:t xml:space="preserve">Available at </w:t>
            </w:r>
            <w:hyperlink r:id="rId32" w:history="1">
              <w:r w:rsidRPr="00EB59BA">
                <w:rPr>
                  <w:rStyle w:val="Hyperlink"/>
                </w:rPr>
                <w:t>https://online.hbs.edu/blog/post/how-to-calculate-roi-for-a-project</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54B435F" w14:textId="695B1A7A" w:rsidR="009B6B8A" w:rsidRDefault="009B6B8A" w:rsidP="009543D2">
            <w:pPr>
              <w:rPr>
                <w:lang w:val="en-US"/>
              </w:rPr>
            </w:pPr>
          </w:p>
          <w:p w14:paraId="09BEE545" w14:textId="2075366D" w:rsidR="009B6B8A" w:rsidRDefault="009B6B8A" w:rsidP="009B6B8A">
            <w:r w:rsidRPr="003A3561">
              <w:t>Brock</w:t>
            </w:r>
            <w:r>
              <w:tab/>
            </w:r>
            <w:r>
              <w:rPr>
                <w:lang w:val="en-US"/>
              </w:rPr>
              <w:t xml:space="preserve">M., (2021) </w:t>
            </w:r>
            <w:r w:rsidRPr="007323CB">
              <w:rPr>
                <w:i/>
                <w:iCs/>
                <w:lang w:val="en-US"/>
              </w:rPr>
              <w:t>What Should You Aim for in ROI? And Mistakes to Avoid</w:t>
            </w:r>
            <w:r>
              <w:rPr>
                <w:i/>
                <w:iCs/>
                <w:lang w:val="en-US"/>
              </w:rPr>
              <w:t xml:space="preserve"> </w:t>
            </w:r>
            <w:r>
              <w:rPr>
                <w:lang w:val="en-US"/>
              </w:rPr>
              <w:t xml:space="preserve">Available at  </w:t>
            </w:r>
            <w:hyperlink r:id="rId33" w:history="1">
              <w:r w:rsidRPr="00670694">
                <w:rPr>
                  <w:rStyle w:val="Hyperlink"/>
                  <w:lang w:val="en-US"/>
                </w:rPr>
                <w:t>https://www.entrepreneur.com/business-news/what-should-you-aim-for-in-roi-and-mistakes-to-avoid/376636</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1466D2A4" w14:textId="77777777" w:rsidR="00AF4F8F" w:rsidRDefault="00AF4F8F" w:rsidP="00EC7FED"/>
          <w:p w14:paraId="0BF0CB9F" w14:textId="77777777" w:rsidR="00194E63" w:rsidRDefault="00194E63" w:rsidP="00EC7FED">
            <w:pPr>
              <w:rPr>
                <w:lang w:val="en-US"/>
              </w:rPr>
            </w:pPr>
            <w:r>
              <w:t xml:space="preserve">Kaplan R., and Norton D., (1992) </w:t>
            </w:r>
            <w:r w:rsidRPr="00194E63">
              <w:rPr>
                <w:i/>
                <w:iCs/>
              </w:rPr>
              <w:t>The Balanced Scorecard—Measures that Drive Performance</w:t>
            </w:r>
            <w:r>
              <w:rPr>
                <w:i/>
                <w:iCs/>
              </w:rPr>
              <w:t xml:space="preserve">. </w:t>
            </w:r>
            <w:r>
              <w:lastRenderedPageBreak/>
              <w:t xml:space="preserve">Available at </w:t>
            </w:r>
            <w:hyperlink r:id="rId34" w:history="1">
              <w:r w:rsidRPr="00EB59BA">
                <w:rPr>
                  <w:rStyle w:val="Hyperlink"/>
                </w:rPr>
                <w:t>https://hbr.org/1992/01/the-balanced-scorecard-measures-that-drive-performance-2</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13CEFAFF" w14:textId="77777777" w:rsidR="00C15E5F" w:rsidRDefault="00C15E5F" w:rsidP="00EC7FED">
            <w:pPr>
              <w:rPr>
                <w:lang w:val="en-US"/>
              </w:rPr>
            </w:pPr>
          </w:p>
          <w:p w14:paraId="054EF787" w14:textId="1796FA44" w:rsidR="00C15E5F" w:rsidRDefault="00C15E5F" w:rsidP="00C15E5F">
            <w:r w:rsidRPr="00AA28F1">
              <w:rPr>
                <w:lang w:val="en-US"/>
              </w:rPr>
              <w:t>Totre</w:t>
            </w:r>
            <w:r>
              <w:rPr>
                <w:lang w:val="en-US"/>
              </w:rPr>
              <w:t xml:space="preserve"> A., (2014) </w:t>
            </w:r>
            <w:r w:rsidRPr="00C856BE">
              <w:rPr>
                <w:i/>
                <w:iCs/>
                <w:lang w:val="en-US"/>
              </w:rPr>
              <w:t>What matters the most? Value or Impact?</w:t>
            </w:r>
            <w:r>
              <w:rPr>
                <w:i/>
                <w:iCs/>
                <w:lang w:val="en-US"/>
              </w:rPr>
              <w:t xml:space="preserve"> </w:t>
            </w:r>
            <w:r>
              <w:rPr>
                <w:lang w:val="en-US"/>
              </w:rPr>
              <w:t xml:space="preserve">Available at </w:t>
            </w:r>
            <w:hyperlink r:id="rId35" w:history="1">
              <w:r w:rsidRPr="008A4E46">
                <w:rPr>
                  <w:rStyle w:val="Hyperlink"/>
                  <w:lang w:val="en-US"/>
                </w:rPr>
                <w:t>https://www.linkedin.com/pulse/2014</w:t>
              </w:r>
              <w:r w:rsidRPr="008A4E46">
                <w:rPr>
                  <w:rStyle w:val="Hyperlink"/>
                  <w:lang w:val="en-US"/>
                </w:rPr>
                <w:t>0</w:t>
              </w:r>
              <w:r w:rsidRPr="008A4E46">
                <w:rPr>
                  <w:rStyle w:val="Hyperlink"/>
                  <w:lang w:val="en-US"/>
                </w:rPr>
                <w:t>703181118-450057-what-matters-the-most-value-or-impact/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443A821E" w14:textId="77777777" w:rsidR="00C15E5F" w:rsidRDefault="00C15E5F" w:rsidP="00EC7FED"/>
          <w:p w14:paraId="26440832" w14:textId="77777777" w:rsidR="00057418" w:rsidRDefault="00057418" w:rsidP="00EC7FED">
            <w:pPr>
              <w:rPr>
                <w:lang w:val="en-US"/>
              </w:rPr>
            </w:pPr>
            <w:r>
              <w:t xml:space="preserve">CIPD (n.d.) </w:t>
            </w:r>
            <w:r w:rsidRPr="00057418">
              <w:rPr>
                <w:i/>
                <w:iCs/>
              </w:rPr>
              <w:t>The Profession Map</w:t>
            </w:r>
            <w:r>
              <w:rPr>
                <w:i/>
                <w:iCs/>
              </w:rPr>
              <w:t xml:space="preserve"> </w:t>
            </w:r>
            <w:r>
              <w:t xml:space="preserve">Available at </w:t>
            </w:r>
            <w:hyperlink r:id="rId36" w:history="1">
              <w:r w:rsidRPr="00EB59BA">
                <w:rPr>
                  <w:rStyle w:val="Hyperlink"/>
                </w:rPr>
                <w:t>https://www.cipd.org/en/the-people-profession/the-profession-map/</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7C9FC934" w14:textId="77777777" w:rsidR="0013602B" w:rsidRDefault="0013602B" w:rsidP="00EC7FED">
            <w:pPr>
              <w:rPr>
                <w:lang w:val="en-US"/>
              </w:rPr>
            </w:pPr>
          </w:p>
          <w:p w14:paraId="7293FFDC" w14:textId="77777777" w:rsidR="0013602B" w:rsidRDefault="0013602B" w:rsidP="00EC7FED">
            <w:pPr>
              <w:rPr>
                <w:lang w:val="en-US"/>
              </w:rPr>
            </w:pPr>
            <w:r w:rsidRPr="0013602B">
              <w:t>Brassey</w:t>
            </w:r>
            <w:r w:rsidRPr="0013602B">
              <w:t xml:space="preserve"> J., </w:t>
            </w:r>
            <w:r w:rsidRPr="0013602B">
              <w:t>Christensen</w:t>
            </w:r>
            <w:r w:rsidRPr="0013602B">
              <w:t xml:space="preserve"> L., </w:t>
            </w:r>
            <w:r w:rsidRPr="0013602B">
              <w:t>and Dam</w:t>
            </w:r>
            <w:r w:rsidRPr="0013602B">
              <w:t xml:space="preserve"> N.</w:t>
            </w:r>
            <w:r w:rsidRPr="0013602B">
              <w:t xml:space="preserve">, </w:t>
            </w:r>
            <w:r w:rsidRPr="0013602B">
              <w:t>(</w:t>
            </w:r>
            <w:r w:rsidRPr="0013602B">
              <w:t>2019</w:t>
            </w:r>
            <w:r w:rsidRPr="0013602B">
              <w:t>)</w:t>
            </w:r>
            <w:r>
              <w:rPr>
                <w:rFonts w:ascii="Calibri" w:hAnsi="Calibri" w:cs="Calibri"/>
                <w:color w:val="386021" w:themeColor="accent1" w:themeShade="80"/>
              </w:rPr>
              <w:t xml:space="preserve"> </w:t>
            </w:r>
            <w:r w:rsidRPr="0013602B">
              <w:rPr>
                <w:i/>
                <w:iCs/>
              </w:rPr>
              <w:t>The essential components of a successful L&amp;D strategy</w:t>
            </w:r>
            <w:r>
              <w:rPr>
                <w:i/>
                <w:iCs/>
              </w:rPr>
              <w:t xml:space="preserve">. </w:t>
            </w:r>
            <w:r>
              <w:t xml:space="preserve">Available at </w:t>
            </w:r>
            <w:hyperlink r:id="rId37" w:history="1">
              <w:r w:rsidRPr="00EB59BA">
                <w:rPr>
                  <w:rStyle w:val="Hyperlink"/>
                </w:rPr>
                <w:t>https://www.mckinsey.com/capabilities/people-and-organizational-performance/our-insights/the-essential-components-of-a-successful-l-and-d-strategy</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7E0A81E6" w14:textId="77777777" w:rsidR="00530F72" w:rsidRDefault="00530F72" w:rsidP="00EC7FED">
            <w:pPr>
              <w:rPr>
                <w:lang w:val="en-US"/>
              </w:rPr>
            </w:pPr>
          </w:p>
          <w:p w14:paraId="000B0571" w14:textId="3651BDD8" w:rsidR="00530F72" w:rsidRPr="00530F72" w:rsidRDefault="00530F72" w:rsidP="00EC7FED">
            <w:pPr>
              <w:rPr>
                <w:lang w:val="en-US"/>
              </w:rPr>
            </w:pPr>
            <w:r w:rsidRPr="00530F72">
              <w:rPr>
                <w:lang w:val="en-US"/>
              </w:rPr>
              <w:t>Stobierski</w:t>
            </w:r>
            <w:r>
              <w:rPr>
                <w:lang w:val="en-US"/>
              </w:rPr>
              <w:t xml:space="preserve"> T., (2019) </w:t>
            </w:r>
            <w:r w:rsidRPr="00530F72">
              <w:rPr>
                <w:i/>
                <w:iCs/>
                <w:lang w:val="en-US"/>
              </w:rPr>
              <w:t>How to do a Cost-Benefit Analysis &amp; Why It’s Important.</w:t>
            </w:r>
            <w:r>
              <w:rPr>
                <w:i/>
                <w:iCs/>
                <w:lang w:val="en-US"/>
              </w:rPr>
              <w:t xml:space="preserve"> </w:t>
            </w:r>
            <w:r>
              <w:rPr>
                <w:lang w:val="en-US"/>
              </w:rPr>
              <w:t xml:space="preserve">Available at </w:t>
            </w:r>
            <w:hyperlink r:id="rId38" w:history="1">
              <w:r w:rsidRPr="00EB59BA">
                <w:rPr>
                  <w:rStyle w:val="Hyperlink"/>
                  <w:lang w:val="en-US"/>
                </w:rPr>
                <w:t>https://online.hbs.edu/blog/post/cost-benefit-analysis</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tc>
      </w:tr>
    </w:tbl>
    <w:p w14:paraId="401261AF" w14:textId="77777777" w:rsidR="00A856E2" w:rsidRDefault="00A856E2" w:rsidP="00A856E2">
      <w:pPr>
        <w:pStyle w:val="Listparag"/>
        <w:numPr>
          <w:ilvl w:val="0"/>
          <w:numId w:val="0"/>
        </w:numPr>
        <w:spacing w:after="0" w:line="240" w:lineRule="auto"/>
        <w:rPr>
          <w:rFonts w:ascii="Calibri" w:eastAsia="Arial" w:hAnsi="Calibri" w:cs="Calibri"/>
          <w:color w:val="004146"/>
          <w:sz w:val="32"/>
          <w:lang w:eastAsia="en-US"/>
        </w:rPr>
      </w:pPr>
    </w:p>
    <w:p w14:paraId="44A110FC" w14:textId="77777777" w:rsidR="005D0E75" w:rsidRDefault="005D0E75" w:rsidP="00A83E4C">
      <w:pPr>
        <w:rPr>
          <w:rFonts w:ascii="Calibri" w:hAnsi="Calibri" w:cs="Calibri"/>
        </w:rPr>
      </w:pPr>
    </w:p>
    <w:p w14:paraId="3AB364E8" w14:textId="77777777" w:rsidR="005D0E75" w:rsidRDefault="005D0E75" w:rsidP="00A83E4C">
      <w:pPr>
        <w:rPr>
          <w:rFonts w:ascii="Calibri" w:hAnsi="Calibri" w:cs="Calibri"/>
        </w:rPr>
      </w:pPr>
    </w:p>
    <w:p w14:paraId="2DD33FB7" w14:textId="77777777" w:rsidR="005D0E75" w:rsidRDefault="005D0E75" w:rsidP="00A83E4C">
      <w:pPr>
        <w:rPr>
          <w:rFonts w:ascii="Calibri" w:hAnsi="Calibri" w:cs="Calibri"/>
        </w:rPr>
      </w:pPr>
    </w:p>
    <w:p w14:paraId="61EE9DF2" w14:textId="77777777" w:rsidR="005D0E75" w:rsidRDefault="005D0E75" w:rsidP="00A83E4C">
      <w:pPr>
        <w:rPr>
          <w:rFonts w:ascii="Calibri" w:hAnsi="Calibri" w:cs="Calibri"/>
        </w:rPr>
      </w:pPr>
    </w:p>
    <w:p w14:paraId="7A54ABF8" w14:textId="77777777" w:rsidR="005D0E75" w:rsidRDefault="005D0E75" w:rsidP="00A83E4C">
      <w:pPr>
        <w:rPr>
          <w:rFonts w:ascii="Calibri" w:hAnsi="Calibri" w:cs="Calibri"/>
        </w:rPr>
      </w:pPr>
    </w:p>
    <w:p w14:paraId="0FC2D754" w14:textId="77777777" w:rsidR="005D0E75" w:rsidRDefault="005D0E75" w:rsidP="00A83E4C">
      <w:pPr>
        <w:rPr>
          <w:rFonts w:ascii="Calibri" w:hAnsi="Calibri" w:cs="Calibri"/>
        </w:rPr>
      </w:pPr>
    </w:p>
    <w:p w14:paraId="5744468E" w14:textId="77777777" w:rsidR="005D0E75" w:rsidRDefault="005D0E75" w:rsidP="00A83E4C">
      <w:pPr>
        <w:rPr>
          <w:rFonts w:ascii="Calibri" w:hAnsi="Calibri" w:cs="Calibri"/>
        </w:rPr>
      </w:pPr>
    </w:p>
    <w:p w14:paraId="2EDFECB1" w14:textId="77777777" w:rsidR="005D0E75" w:rsidRDefault="005D0E75" w:rsidP="00A83E4C">
      <w:pPr>
        <w:rPr>
          <w:rFonts w:ascii="Calibri" w:hAnsi="Calibri" w:cs="Calibri"/>
        </w:rPr>
      </w:pPr>
    </w:p>
    <w:p w14:paraId="0202F5E5" w14:textId="77777777" w:rsidR="005D0E75" w:rsidRDefault="005D0E75" w:rsidP="00A83E4C">
      <w:pPr>
        <w:rPr>
          <w:rFonts w:ascii="Calibri" w:hAnsi="Calibri" w:cs="Calibri"/>
        </w:rPr>
      </w:pPr>
    </w:p>
    <w:p w14:paraId="035F8A4D" w14:textId="77777777" w:rsidR="005D0E75" w:rsidRDefault="005D0E75" w:rsidP="00A83E4C">
      <w:pPr>
        <w:rPr>
          <w:rFonts w:ascii="Calibri" w:hAnsi="Calibri" w:cs="Calibri"/>
        </w:rPr>
      </w:pPr>
    </w:p>
    <w:p w14:paraId="2FD43C7A" w14:textId="77777777" w:rsidR="005D0E75" w:rsidRDefault="005D0E75" w:rsidP="00A83E4C">
      <w:pPr>
        <w:rPr>
          <w:rFonts w:ascii="Calibri" w:hAnsi="Calibri" w:cs="Calibri"/>
        </w:rPr>
      </w:pPr>
    </w:p>
    <w:p w14:paraId="163DE4FF" w14:textId="77777777" w:rsidR="005D0E75" w:rsidRDefault="005D0E75" w:rsidP="00A83E4C">
      <w:pPr>
        <w:rPr>
          <w:rFonts w:ascii="Calibri" w:hAnsi="Calibri" w:cs="Calibri"/>
        </w:rPr>
      </w:pPr>
    </w:p>
    <w:p w14:paraId="4EDC3458" w14:textId="77777777" w:rsidR="005D0E75" w:rsidRDefault="005D0E75" w:rsidP="00A83E4C">
      <w:pPr>
        <w:rPr>
          <w:rFonts w:ascii="Calibri" w:hAnsi="Calibri" w:cs="Calibri"/>
        </w:rPr>
      </w:pPr>
    </w:p>
    <w:p w14:paraId="1CB293AE" w14:textId="77777777" w:rsidR="005D0E75" w:rsidRDefault="005D0E75" w:rsidP="00A83E4C">
      <w:pPr>
        <w:rPr>
          <w:rFonts w:ascii="Calibri" w:hAnsi="Calibri" w:cs="Calibri"/>
        </w:rPr>
      </w:pPr>
    </w:p>
    <w:p w14:paraId="48A4E4D9" w14:textId="77777777" w:rsidR="005D0E75" w:rsidRDefault="005D0E75" w:rsidP="00A83E4C">
      <w:pPr>
        <w:rPr>
          <w:rFonts w:ascii="Calibri" w:hAnsi="Calibri" w:cs="Calibri"/>
        </w:rPr>
      </w:pPr>
    </w:p>
    <w:p w14:paraId="16331B40" w14:textId="77777777" w:rsidR="005D0E75" w:rsidRDefault="005D0E75" w:rsidP="00A83E4C">
      <w:pPr>
        <w:rPr>
          <w:rFonts w:ascii="Calibri" w:hAnsi="Calibri" w:cs="Calibri"/>
        </w:rPr>
      </w:pPr>
    </w:p>
    <w:p w14:paraId="0E4FD1A0" w14:textId="77777777" w:rsidR="005D0E75" w:rsidRDefault="005D0E75" w:rsidP="00A83E4C">
      <w:pPr>
        <w:rPr>
          <w:rFonts w:ascii="Calibri" w:hAnsi="Calibri" w:cs="Calibri"/>
        </w:rPr>
      </w:pPr>
    </w:p>
    <w:p w14:paraId="04A67A65" w14:textId="77777777" w:rsidR="005D0E75" w:rsidRDefault="005D0E75" w:rsidP="00A83E4C">
      <w:pPr>
        <w:rPr>
          <w:rFonts w:ascii="Calibri" w:hAnsi="Calibri" w:cs="Calibri"/>
        </w:rPr>
      </w:pPr>
    </w:p>
    <w:p w14:paraId="0E977C5E"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w:t>
      </w:r>
      <w:r w:rsidRPr="00FA2438">
        <w:rPr>
          <w:rFonts w:ascii="Calibri" w:hAnsi="Calibri" w:cs="Calibri"/>
        </w:rPr>
        <w:lastRenderedPageBreak/>
        <w:t xml:space="preserve">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2" w:name="_MON_1747122594"/>
    <w:bookmarkEnd w:id="2"/>
    <w:p w14:paraId="6CB761ED" w14:textId="70EBE42C" w:rsidR="00200A9B" w:rsidRPr="00FA2438" w:rsidRDefault="00917636" w:rsidP="00200A9B">
      <w:pPr>
        <w:keepNext/>
        <w:rPr>
          <w:rFonts w:ascii="Calibri" w:hAnsi="Calibri" w:cs="Calibri"/>
        </w:rPr>
      </w:pPr>
      <w:r w:rsidRPr="00FA2438">
        <w:rPr>
          <w:rFonts w:ascii="Calibri" w:hAnsi="Calibri" w:cs="Calibri"/>
          <w:noProof/>
        </w:rPr>
        <w:object w:dxaOrig="1380" w:dyaOrig="900"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65pt;height:45.35pt;mso-width-percent:0;mso-height-percent:0;mso-width-percent:0;mso-height-percent:0" o:ole="">
            <v:imagedata r:id="rId39" o:title=""/>
          </v:shape>
          <o:OLEObject Type="Embed" ProgID="Excel.Sheet.12" ShapeID="_x0000_i1025" DrawAspect="Icon" ObjectID="_1752404075" r:id="rId40"/>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p w14:paraId="00CB6A1A" w14:textId="6A991FC0" w:rsidR="00CF7632" w:rsidRPr="00FA2438" w:rsidRDefault="00917636" w:rsidP="00CF7632">
      <w:pPr>
        <w:rPr>
          <w:rFonts w:ascii="Calibri" w:hAnsi="Calibri" w:cs="Calibri"/>
        </w:rPr>
      </w:pPr>
      <w:r w:rsidRPr="00FA2438">
        <w:rPr>
          <w:rFonts w:ascii="Calibri" w:hAnsi="Calibri" w:cs="Calibri"/>
          <w:noProof/>
        </w:rPr>
        <w:object w:dxaOrig="1376" w:dyaOrig="899" w14:anchorId="5DE6572E">
          <v:shape id="_x0000_i1026" type="#_x0000_t75" alt="" style="width:69.65pt;height:43.95pt;mso-width-percent:0;mso-height-percent:0;mso-width-percent:0;mso-height-percent:0" o:ole="">
            <v:imagedata r:id="rId41" o:title=""/>
          </v:shape>
          <o:OLEObject Type="Embed" ProgID="Excel.Sheet.12" ShapeID="_x0000_i1026" DrawAspect="Icon" ObjectID="_1752404076" r:id="rId42"/>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10825840" w14:textId="3E0679E8" w:rsidR="00F84B0C" w:rsidRPr="009848E8" w:rsidRDefault="009848E8" w:rsidP="00A83E4C">
      <w:pPr>
        <w:rPr>
          <w:i/>
          <w:iCs/>
        </w:rPr>
      </w:pPr>
      <w:r w:rsidRPr="009848E8">
        <w:rPr>
          <w:rFonts w:ascii="Calibri" w:hAnsi="Calibri" w:cs="Calibri"/>
          <w:i/>
          <w:iCs/>
          <w:color w:val="386021" w:themeColor="accent1" w:themeShade="80"/>
          <w:sz w:val="40"/>
          <w:szCs w:val="40"/>
        </w:rPr>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lastRenderedPageBreak/>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2D401AE4"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0F5479D1" w14:textId="77777777" w:rsidR="00994E5C" w:rsidRDefault="00994E5C" w:rsidP="00547AAA">
            <w:pPr>
              <w:jc w:val="both"/>
              <w:rPr>
                <w:rFonts w:ascii="Calibri" w:hAnsi="Calibri" w:cs="Calibri"/>
                <w:b/>
                <w:bCs/>
                <w:sz w:val="20"/>
                <w:szCs w:val="20"/>
              </w:rPr>
            </w:pPr>
          </w:p>
        </w:tc>
      </w:tr>
    </w:tbl>
    <w:p w14:paraId="4D762115"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547AAA">
        <w:tc>
          <w:tcPr>
            <w:tcW w:w="9623" w:type="dxa"/>
          </w:tcPr>
          <w:p w14:paraId="768B247A"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53034332" w14:textId="77777777" w:rsidR="00994E5C" w:rsidRDefault="00994E5C" w:rsidP="00547AAA">
            <w:pPr>
              <w:jc w:val="both"/>
              <w:rPr>
                <w:rFonts w:ascii="Calibri" w:hAnsi="Calibri" w:cs="Calibri"/>
                <w:b/>
                <w:bCs/>
                <w:sz w:val="20"/>
                <w:szCs w:val="20"/>
              </w:rPr>
            </w:pPr>
          </w:p>
        </w:tc>
      </w:tr>
    </w:tbl>
    <w:p w14:paraId="698FBF60"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8BD4B66"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3102517C" w14:textId="77777777" w:rsidR="00994E5C" w:rsidRDefault="00994E5C" w:rsidP="00547AAA">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3"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3"/>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4E3EA210"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53DC2EDB"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4"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5"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E707D3" w:rsidRDefault="00E707D3"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29"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REuW0TwIAAKsEAAAOAAAAAAAAAAAAAAAAAC4CAABkcnMvZTJvRG9jLnhtbFBLAQItABQABgAI&#10;AAAAIQDkLHrJ3gAAAAoBAAAPAAAAAAAAAAAAAAAAAKkEAABkcnMvZG93bnJldi54bWxQSwUGAAAA&#10;AAQABADzAAAAtAUAAAAA&#10;" fillcolor="white [3201]" strokeweight=".5pt">
                <v:textbox>
                  <w:txbxContent>
                    <w:p w14:paraId="3D0CE5C3" w14:textId="77777777" w:rsidR="00E707D3" w:rsidRDefault="00E707D3" w:rsidP="00927F23"/>
                  </w:txbxContent>
                </v:textbox>
              </v:shape>
            </w:pict>
          </mc:Fallback>
        </mc:AlternateContent>
      </w:r>
      <w:bookmarkStart w:id="6"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4"/>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5"/>
    <w:bookmarkEnd w:id="6"/>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666D7D">
      <w:headerReference w:type="default" r:id="rId44"/>
      <w:footerReference w:type="default" r:id="rId45"/>
      <w:type w:val="nextColumn"/>
      <w:pgSz w:w="11901" w:h="16850"/>
      <w:pgMar w:top="1134" w:right="1134" w:bottom="1077"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63B13" w14:textId="77777777" w:rsidR="00D642D8" w:rsidRDefault="00D642D8">
      <w:r>
        <w:separator/>
      </w:r>
    </w:p>
    <w:p w14:paraId="0F4525A4" w14:textId="77777777" w:rsidR="00D642D8" w:rsidRDefault="00D642D8"/>
  </w:endnote>
  <w:endnote w:type="continuationSeparator" w:id="0">
    <w:p w14:paraId="2614D35F" w14:textId="77777777" w:rsidR="00D642D8" w:rsidRDefault="00D642D8">
      <w:r>
        <w:continuationSeparator/>
      </w:r>
    </w:p>
    <w:p w14:paraId="07FD9EDC" w14:textId="77777777" w:rsidR="00D642D8" w:rsidRDefault="00D642D8"/>
  </w:endnote>
  <w:endnote w:type="continuationNotice" w:id="1">
    <w:p w14:paraId="270D510A" w14:textId="77777777" w:rsidR="00D642D8" w:rsidRDefault="00D64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E707D3" w:rsidRDefault="00E707D3"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E707D3" w:rsidRPr="005F41BD" w:rsidRDefault="00E707D3"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4118035C" w:rsidR="00E707D3" w:rsidRDefault="00E707D3"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31CFC">
          <w:rPr>
            <w:noProof/>
          </w:rPr>
          <w:t>12</w:t>
        </w:r>
        <w:r>
          <w:rPr>
            <w:noProof/>
          </w:rPr>
          <w:fldChar w:fldCharType="end"/>
        </w:r>
      </w:sdtContent>
    </w:sdt>
  </w:p>
  <w:p w14:paraId="5F2D378C" w14:textId="791E175C" w:rsidR="00E707D3" w:rsidRDefault="00E707D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DF76F" w14:textId="77777777" w:rsidR="00D642D8" w:rsidRDefault="00D642D8">
      <w:r>
        <w:separator/>
      </w:r>
    </w:p>
    <w:p w14:paraId="3ADA227C" w14:textId="77777777" w:rsidR="00D642D8" w:rsidRDefault="00D642D8"/>
  </w:footnote>
  <w:footnote w:type="continuationSeparator" w:id="0">
    <w:p w14:paraId="3C4FB507" w14:textId="77777777" w:rsidR="00D642D8" w:rsidRDefault="00D642D8">
      <w:r>
        <w:continuationSeparator/>
      </w:r>
    </w:p>
    <w:p w14:paraId="58E0A775" w14:textId="77777777" w:rsidR="00D642D8" w:rsidRDefault="00D642D8"/>
  </w:footnote>
  <w:footnote w:type="continuationNotice" w:id="1">
    <w:p w14:paraId="342FBCB6" w14:textId="77777777" w:rsidR="00D642D8" w:rsidRDefault="00D642D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E707D3" w:rsidRDefault="00E707D3">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E707D3" w:rsidRDefault="00E707D3">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0"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E707D3" w:rsidRDefault="00E707D3">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1"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6"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3"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4"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7"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8"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26"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0"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1"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29"/>
  </w:num>
  <w:num w:numId="5">
    <w:abstractNumId w:val="5"/>
  </w:num>
  <w:num w:numId="6">
    <w:abstractNumId w:val="17"/>
  </w:num>
  <w:num w:numId="7">
    <w:abstractNumId w:val="30"/>
  </w:num>
  <w:num w:numId="8">
    <w:abstractNumId w:val="38"/>
  </w:num>
  <w:num w:numId="9">
    <w:abstractNumId w:val="14"/>
  </w:num>
  <w:num w:numId="10">
    <w:abstractNumId w:val="32"/>
  </w:num>
  <w:num w:numId="11">
    <w:abstractNumId w:val="10"/>
  </w:num>
  <w:num w:numId="12">
    <w:abstractNumId w:val="28"/>
  </w:num>
  <w:num w:numId="13">
    <w:abstractNumId w:val="9"/>
  </w:num>
  <w:num w:numId="14">
    <w:abstractNumId w:val="22"/>
  </w:num>
  <w:num w:numId="15">
    <w:abstractNumId w:val="27"/>
  </w:num>
  <w:num w:numId="16">
    <w:abstractNumId w:val="15"/>
  </w:num>
  <w:num w:numId="17">
    <w:abstractNumId w:val="25"/>
  </w:num>
  <w:num w:numId="18">
    <w:abstractNumId w:val="6"/>
  </w:num>
  <w:num w:numId="19">
    <w:abstractNumId w:val="2"/>
  </w:num>
  <w:num w:numId="20">
    <w:abstractNumId w:val="18"/>
  </w:num>
  <w:num w:numId="21">
    <w:abstractNumId w:val="35"/>
  </w:num>
  <w:num w:numId="22">
    <w:abstractNumId w:val="23"/>
  </w:num>
  <w:num w:numId="23">
    <w:abstractNumId w:val="24"/>
  </w:num>
  <w:num w:numId="24">
    <w:abstractNumId w:val="8"/>
  </w:num>
  <w:num w:numId="25">
    <w:abstractNumId w:val="36"/>
  </w:num>
  <w:num w:numId="26">
    <w:abstractNumId w:val="37"/>
  </w:num>
  <w:num w:numId="27">
    <w:abstractNumId w:val="11"/>
  </w:num>
  <w:num w:numId="28">
    <w:abstractNumId w:val="31"/>
  </w:num>
  <w:num w:numId="29">
    <w:abstractNumId w:val="33"/>
  </w:num>
  <w:num w:numId="30">
    <w:abstractNumId w:val="1"/>
  </w:num>
  <w:num w:numId="31">
    <w:abstractNumId w:val="7"/>
  </w:num>
  <w:num w:numId="32">
    <w:abstractNumId w:val="21"/>
  </w:num>
  <w:num w:numId="33">
    <w:abstractNumId w:val="4"/>
  </w:num>
  <w:num w:numId="34">
    <w:abstractNumId w:val="34"/>
  </w:num>
  <w:num w:numId="35">
    <w:abstractNumId w:val="19"/>
  </w:num>
  <w:num w:numId="36">
    <w:abstractNumId w:val="3"/>
  </w:num>
  <w:num w:numId="37">
    <w:abstractNumId w:val="12"/>
  </w:num>
  <w:num w:numId="38">
    <w:abstractNumId w:val="2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1CFC"/>
    <w:rsid w:val="00032F5C"/>
    <w:rsid w:val="00034354"/>
    <w:rsid w:val="000405EE"/>
    <w:rsid w:val="0004133D"/>
    <w:rsid w:val="000436CC"/>
    <w:rsid w:val="00045636"/>
    <w:rsid w:val="00045A4C"/>
    <w:rsid w:val="00052066"/>
    <w:rsid w:val="00052817"/>
    <w:rsid w:val="00052A2B"/>
    <w:rsid w:val="0005725B"/>
    <w:rsid w:val="00057418"/>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2FB7"/>
    <w:rsid w:val="000D3D54"/>
    <w:rsid w:val="000D533E"/>
    <w:rsid w:val="000D5CD7"/>
    <w:rsid w:val="000D7566"/>
    <w:rsid w:val="000D7643"/>
    <w:rsid w:val="000E04C0"/>
    <w:rsid w:val="000E286F"/>
    <w:rsid w:val="000E47A4"/>
    <w:rsid w:val="000E53E4"/>
    <w:rsid w:val="000E701D"/>
    <w:rsid w:val="000F028C"/>
    <w:rsid w:val="000F6FD7"/>
    <w:rsid w:val="001029F3"/>
    <w:rsid w:val="00120225"/>
    <w:rsid w:val="00124F03"/>
    <w:rsid w:val="00131FE0"/>
    <w:rsid w:val="001333F0"/>
    <w:rsid w:val="0013602B"/>
    <w:rsid w:val="00137785"/>
    <w:rsid w:val="00137A98"/>
    <w:rsid w:val="00143814"/>
    <w:rsid w:val="00144646"/>
    <w:rsid w:val="00144890"/>
    <w:rsid w:val="0014638B"/>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4E63"/>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041"/>
    <w:rsid w:val="001D3760"/>
    <w:rsid w:val="001E0968"/>
    <w:rsid w:val="001E0E63"/>
    <w:rsid w:val="001E3C44"/>
    <w:rsid w:val="001F061E"/>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5092"/>
    <w:rsid w:val="00246814"/>
    <w:rsid w:val="002508D2"/>
    <w:rsid w:val="00251C7B"/>
    <w:rsid w:val="00251EAB"/>
    <w:rsid w:val="00253103"/>
    <w:rsid w:val="0025680A"/>
    <w:rsid w:val="00257D0C"/>
    <w:rsid w:val="00262727"/>
    <w:rsid w:val="00263B14"/>
    <w:rsid w:val="002651EB"/>
    <w:rsid w:val="00265CF6"/>
    <w:rsid w:val="00267C1D"/>
    <w:rsid w:val="00271770"/>
    <w:rsid w:val="002965C8"/>
    <w:rsid w:val="0029726C"/>
    <w:rsid w:val="002A21E9"/>
    <w:rsid w:val="002A2983"/>
    <w:rsid w:val="002A5A8F"/>
    <w:rsid w:val="002A5BC7"/>
    <w:rsid w:val="002A7BA5"/>
    <w:rsid w:val="002B0056"/>
    <w:rsid w:val="002B5C53"/>
    <w:rsid w:val="002C458F"/>
    <w:rsid w:val="002C623D"/>
    <w:rsid w:val="002D1059"/>
    <w:rsid w:val="002E0390"/>
    <w:rsid w:val="002E0527"/>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46CD"/>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320A3"/>
    <w:rsid w:val="00435D73"/>
    <w:rsid w:val="00437191"/>
    <w:rsid w:val="00446C2E"/>
    <w:rsid w:val="0044738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6C92"/>
    <w:rsid w:val="004E032F"/>
    <w:rsid w:val="004E0FC9"/>
    <w:rsid w:val="004E1A91"/>
    <w:rsid w:val="004F0AB5"/>
    <w:rsid w:val="004F1F02"/>
    <w:rsid w:val="004F6E96"/>
    <w:rsid w:val="0050050F"/>
    <w:rsid w:val="00500A88"/>
    <w:rsid w:val="00500BF1"/>
    <w:rsid w:val="00502276"/>
    <w:rsid w:val="005025D2"/>
    <w:rsid w:val="005026F4"/>
    <w:rsid w:val="005119A3"/>
    <w:rsid w:val="00513BC8"/>
    <w:rsid w:val="00514E05"/>
    <w:rsid w:val="0051580F"/>
    <w:rsid w:val="00515EE1"/>
    <w:rsid w:val="00516F0B"/>
    <w:rsid w:val="005246C8"/>
    <w:rsid w:val="0052552E"/>
    <w:rsid w:val="005262F7"/>
    <w:rsid w:val="00530F72"/>
    <w:rsid w:val="00536BE2"/>
    <w:rsid w:val="005405CB"/>
    <w:rsid w:val="00545158"/>
    <w:rsid w:val="00547AAA"/>
    <w:rsid w:val="00550C8E"/>
    <w:rsid w:val="00553FD1"/>
    <w:rsid w:val="00554E10"/>
    <w:rsid w:val="00556389"/>
    <w:rsid w:val="00557FEE"/>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E75"/>
    <w:rsid w:val="005D19C2"/>
    <w:rsid w:val="005D2947"/>
    <w:rsid w:val="005D3A37"/>
    <w:rsid w:val="005D3E4B"/>
    <w:rsid w:val="005D56B3"/>
    <w:rsid w:val="005E3425"/>
    <w:rsid w:val="005F0B65"/>
    <w:rsid w:val="005F1F8A"/>
    <w:rsid w:val="005F41BD"/>
    <w:rsid w:val="005F48C3"/>
    <w:rsid w:val="005F7D38"/>
    <w:rsid w:val="00600642"/>
    <w:rsid w:val="006034FD"/>
    <w:rsid w:val="00610D4C"/>
    <w:rsid w:val="00611D35"/>
    <w:rsid w:val="00617EBB"/>
    <w:rsid w:val="006212E3"/>
    <w:rsid w:val="00621AB5"/>
    <w:rsid w:val="006226C6"/>
    <w:rsid w:val="00624DB0"/>
    <w:rsid w:val="00625544"/>
    <w:rsid w:val="006264B4"/>
    <w:rsid w:val="00631B3C"/>
    <w:rsid w:val="00631FD0"/>
    <w:rsid w:val="00632992"/>
    <w:rsid w:val="006329C7"/>
    <w:rsid w:val="006335FC"/>
    <w:rsid w:val="00634BD2"/>
    <w:rsid w:val="0064381A"/>
    <w:rsid w:val="0064506E"/>
    <w:rsid w:val="0064608C"/>
    <w:rsid w:val="00650837"/>
    <w:rsid w:val="0065278B"/>
    <w:rsid w:val="00653498"/>
    <w:rsid w:val="006601CC"/>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449A"/>
    <w:rsid w:val="006F1196"/>
    <w:rsid w:val="006F134B"/>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47AE"/>
    <w:rsid w:val="00750D7A"/>
    <w:rsid w:val="007534C5"/>
    <w:rsid w:val="007538D7"/>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56E7"/>
    <w:rsid w:val="007B6CC8"/>
    <w:rsid w:val="007D26DA"/>
    <w:rsid w:val="007D3153"/>
    <w:rsid w:val="007D408C"/>
    <w:rsid w:val="007D69BD"/>
    <w:rsid w:val="007E0775"/>
    <w:rsid w:val="007E158B"/>
    <w:rsid w:val="007F0397"/>
    <w:rsid w:val="007F185C"/>
    <w:rsid w:val="007F2A3E"/>
    <w:rsid w:val="007F59F7"/>
    <w:rsid w:val="008013D3"/>
    <w:rsid w:val="008059CD"/>
    <w:rsid w:val="00805FC2"/>
    <w:rsid w:val="008115D2"/>
    <w:rsid w:val="00825816"/>
    <w:rsid w:val="00825E51"/>
    <w:rsid w:val="00826CF0"/>
    <w:rsid w:val="00830751"/>
    <w:rsid w:val="00832339"/>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95F33"/>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595D"/>
    <w:rsid w:val="008F6E44"/>
    <w:rsid w:val="008F7888"/>
    <w:rsid w:val="00903EE2"/>
    <w:rsid w:val="00910BC6"/>
    <w:rsid w:val="00913859"/>
    <w:rsid w:val="00917636"/>
    <w:rsid w:val="0092000C"/>
    <w:rsid w:val="0092146C"/>
    <w:rsid w:val="00921E98"/>
    <w:rsid w:val="009257A6"/>
    <w:rsid w:val="00927F23"/>
    <w:rsid w:val="00935A13"/>
    <w:rsid w:val="009362CC"/>
    <w:rsid w:val="009366B0"/>
    <w:rsid w:val="0093687A"/>
    <w:rsid w:val="009373D4"/>
    <w:rsid w:val="00937494"/>
    <w:rsid w:val="00940406"/>
    <w:rsid w:val="00941C90"/>
    <w:rsid w:val="00945852"/>
    <w:rsid w:val="00951458"/>
    <w:rsid w:val="009516F4"/>
    <w:rsid w:val="00951D3B"/>
    <w:rsid w:val="009543D2"/>
    <w:rsid w:val="00960991"/>
    <w:rsid w:val="00962F43"/>
    <w:rsid w:val="009652C3"/>
    <w:rsid w:val="00967FFD"/>
    <w:rsid w:val="00971A29"/>
    <w:rsid w:val="00974B69"/>
    <w:rsid w:val="0098228E"/>
    <w:rsid w:val="00982EF9"/>
    <w:rsid w:val="0098429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B8A"/>
    <w:rsid w:val="009B6D2F"/>
    <w:rsid w:val="009C0C75"/>
    <w:rsid w:val="009C10E6"/>
    <w:rsid w:val="009C2860"/>
    <w:rsid w:val="009C2C44"/>
    <w:rsid w:val="009C5C25"/>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B6965"/>
    <w:rsid w:val="00AC4063"/>
    <w:rsid w:val="00AC65FA"/>
    <w:rsid w:val="00AD471C"/>
    <w:rsid w:val="00AD514E"/>
    <w:rsid w:val="00AD554B"/>
    <w:rsid w:val="00AD6E0D"/>
    <w:rsid w:val="00AD7F40"/>
    <w:rsid w:val="00AE52E7"/>
    <w:rsid w:val="00AE5FC0"/>
    <w:rsid w:val="00AF314E"/>
    <w:rsid w:val="00AF4F8F"/>
    <w:rsid w:val="00AF55AF"/>
    <w:rsid w:val="00AF7596"/>
    <w:rsid w:val="00B01916"/>
    <w:rsid w:val="00B04EA8"/>
    <w:rsid w:val="00B07F5E"/>
    <w:rsid w:val="00B105F2"/>
    <w:rsid w:val="00B1093B"/>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7311"/>
    <w:rsid w:val="00BE7365"/>
    <w:rsid w:val="00BE740D"/>
    <w:rsid w:val="00BF068F"/>
    <w:rsid w:val="00BF308F"/>
    <w:rsid w:val="00C00BBD"/>
    <w:rsid w:val="00C01E14"/>
    <w:rsid w:val="00C07AC1"/>
    <w:rsid w:val="00C10553"/>
    <w:rsid w:val="00C15E5F"/>
    <w:rsid w:val="00C178F1"/>
    <w:rsid w:val="00C213A2"/>
    <w:rsid w:val="00C22F5D"/>
    <w:rsid w:val="00C231BF"/>
    <w:rsid w:val="00C270A2"/>
    <w:rsid w:val="00C346F1"/>
    <w:rsid w:val="00C34CF3"/>
    <w:rsid w:val="00C366E2"/>
    <w:rsid w:val="00C37932"/>
    <w:rsid w:val="00C42308"/>
    <w:rsid w:val="00C42B8A"/>
    <w:rsid w:val="00C510A9"/>
    <w:rsid w:val="00C529CD"/>
    <w:rsid w:val="00C540BE"/>
    <w:rsid w:val="00C54E83"/>
    <w:rsid w:val="00C570EB"/>
    <w:rsid w:val="00C62D37"/>
    <w:rsid w:val="00C644F8"/>
    <w:rsid w:val="00C64E2B"/>
    <w:rsid w:val="00C66D9E"/>
    <w:rsid w:val="00C73780"/>
    <w:rsid w:val="00C73D50"/>
    <w:rsid w:val="00C83BFD"/>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9F4"/>
    <w:rsid w:val="00D029DA"/>
    <w:rsid w:val="00D06759"/>
    <w:rsid w:val="00D06F58"/>
    <w:rsid w:val="00D0739D"/>
    <w:rsid w:val="00D110D7"/>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2D8"/>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F1D8B"/>
    <w:rsid w:val="00DF31B0"/>
    <w:rsid w:val="00E010C7"/>
    <w:rsid w:val="00E03729"/>
    <w:rsid w:val="00E10F5F"/>
    <w:rsid w:val="00E2021C"/>
    <w:rsid w:val="00E242E0"/>
    <w:rsid w:val="00E25C16"/>
    <w:rsid w:val="00E269E4"/>
    <w:rsid w:val="00E347D5"/>
    <w:rsid w:val="00E40C3E"/>
    <w:rsid w:val="00E42677"/>
    <w:rsid w:val="00E551C8"/>
    <w:rsid w:val="00E55EE0"/>
    <w:rsid w:val="00E56521"/>
    <w:rsid w:val="00E5703F"/>
    <w:rsid w:val="00E60954"/>
    <w:rsid w:val="00E60E5B"/>
    <w:rsid w:val="00E65789"/>
    <w:rsid w:val="00E707D3"/>
    <w:rsid w:val="00E735E4"/>
    <w:rsid w:val="00E77F81"/>
    <w:rsid w:val="00E8073E"/>
    <w:rsid w:val="00E80872"/>
    <w:rsid w:val="00E80D3E"/>
    <w:rsid w:val="00E844E9"/>
    <w:rsid w:val="00E85070"/>
    <w:rsid w:val="00E86F72"/>
    <w:rsid w:val="00E91F09"/>
    <w:rsid w:val="00E92658"/>
    <w:rsid w:val="00E9659A"/>
    <w:rsid w:val="00E97801"/>
    <w:rsid w:val="00EA2710"/>
    <w:rsid w:val="00EB1B76"/>
    <w:rsid w:val="00EB2701"/>
    <w:rsid w:val="00EB4D0B"/>
    <w:rsid w:val="00EB4F3F"/>
    <w:rsid w:val="00EC630E"/>
    <w:rsid w:val="00EC7C47"/>
    <w:rsid w:val="00EC7FED"/>
    <w:rsid w:val="00ED06B2"/>
    <w:rsid w:val="00ED4D26"/>
    <w:rsid w:val="00EE06C8"/>
    <w:rsid w:val="00EE1B9A"/>
    <w:rsid w:val="00EE2F0A"/>
    <w:rsid w:val="00EE5BA4"/>
    <w:rsid w:val="00EE5C93"/>
    <w:rsid w:val="00EF020E"/>
    <w:rsid w:val="00EF1B9F"/>
    <w:rsid w:val="00EF28DD"/>
    <w:rsid w:val="00F00275"/>
    <w:rsid w:val="00F030FA"/>
    <w:rsid w:val="00F0330D"/>
    <w:rsid w:val="00F04606"/>
    <w:rsid w:val="00F04B9A"/>
    <w:rsid w:val="00F0537B"/>
    <w:rsid w:val="00F12351"/>
    <w:rsid w:val="00F13F0D"/>
    <w:rsid w:val="00F142DA"/>
    <w:rsid w:val="00F1698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84B0C"/>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445A"/>
    <w:rsid w:val="00FE5232"/>
    <w:rsid w:val="00FE6351"/>
    <w:rsid w:val="00FE6355"/>
    <w:rsid w:val="00FE7E69"/>
    <w:rsid w:val="00FF0FBB"/>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386562802">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 w:id="174452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medium.com/sales-copywriting-content-marketing-with-jim/future-pacing-and-why-you-want-to-use-it-a5fc1078513" TargetMode="External"/><Relationship Id="rId39" Type="http://schemas.openxmlformats.org/officeDocument/2006/relationships/image" Target="media/image5.emf"/><Relationship Id="rId21" Type="http://schemas.openxmlformats.org/officeDocument/2006/relationships/hyperlink" Target="https://cebma.org/faq/limitations-evidence-based-practice/" TargetMode="External"/><Relationship Id="rId34" Type="http://schemas.openxmlformats.org/officeDocument/2006/relationships/hyperlink" Target="https://hbr.org/1992/01/the-balanced-scorecard-measures-that-drive-performance-2" TargetMode="External"/><Relationship Id="rId42" Type="http://schemas.openxmlformats.org/officeDocument/2006/relationships/package" Target="embeddings/Microsoft_Excel_Worksheet1.xlsx"/><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9" Type="http://schemas.openxmlformats.org/officeDocument/2006/relationships/hyperlink" Target="https://www.cipd.org/en/knowledge/podcasts/critical-thin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ctionary.com/browse/interview" TargetMode="External"/><Relationship Id="rId32" Type="http://schemas.openxmlformats.org/officeDocument/2006/relationships/hyperlink" Target="https://online.hbs.edu/blog/post/how-to-calculate-roi-for-a-project" TargetMode="External"/><Relationship Id="rId37" Type="http://schemas.openxmlformats.org/officeDocument/2006/relationships/hyperlink" Target="https://www.mckinsey.com/capabilities/people-and-organizational-performance/our-insights/the-essential-components-of-a-successful-l-and-d-strategy" TargetMode="External"/><Relationship Id="rId40" Type="http://schemas.openxmlformats.org/officeDocument/2006/relationships/package" Target="embeddings/Microsoft_Excel_Worksheet.xlsx"/><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ipd.org/globalassets/media/knowledge/knowledge-hub/factsheets/pestle-analysis-factsheet_20221230T092611.pdf" TargetMode="External"/><Relationship Id="rId28" Type="http://schemas.openxmlformats.org/officeDocument/2006/relationships/hyperlink" Target="https://www.criticalthinking.org/pages/defining-critical-thinking/766" TargetMode="External"/><Relationship Id="rId36" Type="http://schemas.openxmlformats.org/officeDocument/2006/relationships/hyperlink" Target="https://www.cipd.org/en/the-people-profession/the-profession-map/" TargetMode="External"/><Relationship Id="rId10" Type="http://schemas.openxmlformats.org/officeDocument/2006/relationships/endnotes" Target="endnotes.xml"/><Relationship Id="rId19" Type="http://schemas.openxmlformats.org/officeDocument/2006/relationships/hyperlink" Target="https://www.cipd.co.uk/knowledge/strategy/analytics/evidence-based-practice-factsheet" TargetMode="External"/><Relationship Id="rId31" Type="http://schemas.openxmlformats.org/officeDocument/2006/relationships/hyperlink" Target="https://www.forbes.com/advisor/investing/roi-return-on-investment/"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hbr.org/1992/01/the-balanced-scorecard-measures-that-drive-performance-2" TargetMode="External"/><Relationship Id="rId27" Type="http://schemas.openxmlformats.org/officeDocument/2006/relationships/hyperlink" Target="https://citoolkit.com/articles/pdca-cycle/" TargetMode="External"/><Relationship Id="rId30" Type="http://schemas.openxmlformats.org/officeDocument/2006/relationships/hyperlink" Target="https://www.cambridgeassessment.org.uk/Images/109971-critical-thinking-factsheet-1.pdf" TargetMode="External"/><Relationship Id="rId35" Type="http://schemas.openxmlformats.org/officeDocument/2006/relationships/hyperlink" Target="https://www.linkedin.com/pulse/20140703181118-450057-what-matters-the-most-value-or-impact/" TargetMode="External"/><Relationship Id="rId43"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toolshero.com/problem-solving/kepner-tregoe-method/" TargetMode="External"/><Relationship Id="rId33" Type="http://schemas.openxmlformats.org/officeDocument/2006/relationships/hyperlink" Target="https://www.entrepreneur.com/business-news/what-should-you-aim-for-in-roi-and-mistakes-to-avoid/376636" TargetMode="External"/><Relationship Id="rId38" Type="http://schemas.openxmlformats.org/officeDocument/2006/relationships/hyperlink" Target="https://online.hbs.edu/blog/post/cost-benefit-analysis" TargetMode="External"/><Relationship Id="rId46" Type="http://schemas.openxmlformats.org/officeDocument/2006/relationships/fontTable" Target="fontTable.xml"/><Relationship Id="rId20" Type="http://schemas.openxmlformats.org/officeDocument/2006/relationships/hyperlink" Target="https://cebma.org/wp-content/uploads/Briner-The-Basics-of-Evidence-Based-Practice.pdf" TargetMode="External"/><Relationship Id="rId41"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4.xml><?xml version="1.0" encoding="utf-8"?>
<ds:datastoreItem xmlns:ds="http://schemas.openxmlformats.org/officeDocument/2006/customXml" ds:itemID="{232A18F6-4A41-454B-B92D-014A64DC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20</Pages>
  <Words>6520</Words>
  <Characters>37821</Characters>
  <Application>Microsoft Office Word</Application>
  <DocSecurity>0</DocSecurity>
  <Lines>840</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48</cp:revision>
  <cp:lastPrinted>2023-06-01T10:46:00Z</cp:lastPrinted>
  <dcterms:created xsi:type="dcterms:W3CDTF">2023-07-27T10:28:00Z</dcterms:created>
  <dcterms:modified xsi:type="dcterms:W3CDTF">2023-08-01T11:08:00Z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