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(Soole,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2B91091B" w14:textId="77777777" w:rsidR="00795C16" w:rsidRDefault="00795C16" w:rsidP="002770C0">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4D7F0A7" w14:textId="38FE12CC" w:rsidR="00795C16" w:rsidRPr="00795C16" w:rsidRDefault="00795C16" w:rsidP="002770C0">
            <w:pPr>
              <w:jc w:val="both"/>
              <w:rPr>
                <w:rFonts w:ascii="Calibri" w:hAnsi="Calibri" w:cs="Calibri"/>
                <w:b/>
                <w:bCs/>
                <w:color w:val="6D0E28" w:themeColor="accent4" w:themeShade="8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r w:rsidRPr="00130378">
              <w:rPr>
                <w:rFonts w:ascii="Calibri" w:hAnsi="Calibri" w:cs="Calibri"/>
                <w:color w:val="6D0E28" w:themeColor="accent4" w:themeShade="80"/>
              </w:rPr>
              <w:t>Vulpen</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lastRenderedPageBreak/>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1F7C3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Learning and development is a continuous process that starts form the first day of the employee through onboarding activities. It can be done individually (coaching and mentoring) or in </w:t>
                  </w:r>
                  <w:r>
                    <w:rPr>
                      <w:rFonts w:ascii="Calibri" w:hAnsi="Calibri" w:cs="Calibri"/>
                      <w:color w:val="6D0E28" w:themeColor="accent4" w:themeShade="80"/>
                      <w:lang w:val="en-US"/>
                    </w:rPr>
                    <w:lastRenderedPageBreak/>
                    <w:t>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lastRenderedPageBreak/>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6969E2">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6969E2">
            <w:pPr>
              <w:jc w:val="both"/>
              <w:rPr>
                <w:rFonts w:ascii="Calibri" w:hAnsi="Calibri" w:cs="Calibri"/>
                <w:b/>
                <w:bCs/>
                <w:sz w:val="20"/>
                <w:szCs w:val="20"/>
              </w:rPr>
            </w:pP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397CCF1B" w14:textId="77777777" w:rsidR="00734AB3" w:rsidRDefault="00734AB3">
      <w:pPr>
        <w:rPr>
          <w:rFonts w:ascii="Calibri" w:hAnsi="Calibri" w:cs="Calibri"/>
          <w:b/>
          <w:bCs/>
          <w:color w:val="243E15" w:themeColor="accent3" w:themeShade="80"/>
          <w:sz w:val="32"/>
          <w:szCs w:val="32"/>
          <w:lang w:eastAsia="en-GB"/>
        </w:rPr>
      </w:pPr>
      <w:r>
        <w:rPr>
          <w:rFonts w:ascii="Calibri" w:hAnsi="Calibri" w:cs="Calibri"/>
          <w:b/>
          <w:bCs/>
          <w:color w:val="243E15" w:themeColor="accent3" w:themeShade="80"/>
          <w:sz w:val="32"/>
          <w:szCs w:val="32"/>
          <w:lang w:eastAsia="en-GB"/>
        </w:rPr>
        <w:br w:type="page"/>
      </w: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lastRenderedPageBreak/>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250F01">
        <w:trPr>
          <w:trHeight w:val="395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r>
              <w:fldChar w:fldCharType="begin"/>
            </w:r>
            <w:r>
              <w:instrText>HYPERLINK "https://www.investopedia.com/terms/l/labor-market.asp"</w:instrText>
            </w:r>
            <w:r>
              <w:fldChar w:fldCharType="separate"/>
            </w:r>
            <w:r w:rsidRPr="00C67842">
              <w:rPr>
                <w:rStyle w:val="Hyperlink"/>
                <w:rFonts w:ascii="Calibri" w:hAnsi="Calibri" w:cs="Calibri"/>
                <w:szCs w:val="22"/>
                <w:lang w:eastAsia="en-GB"/>
              </w:rPr>
              <w:t>https://www.investopedia.com/terms/l/labor-market.asp</w:t>
            </w:r>
            <w:r>
              <w:rPr>
                <w:rStyle w:val="Hyperlink"/>
                <w:rFonts w:ascii="Calibri" w:hAnsi="Calibri" w:cs="Calibri"/>
                <w:szCs w:val="22"/>
                <w:lang w:eastAsia="en-GB"/>
              </w:rPr>
              <w:fldChar w:fldCharType="end"/>
            </w:r>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r w:rsidR="00822B8D">
              <w:fldChar w:fldCharType="begin"/>
            </w:r>
            <w:r w:rsidR="00822B8D">
              <w:instrText>HYPERLINK "https://blog.hubspot.com/marketing/competitive-analysis-kit"</w:instrText>
            </w:r>
            <w:r w:rsidR="00822B8D">
              <w:fldChar w:fldCharType="separate"/>
            </w:r>
            <w:r w:rsidRPr="00C67842">
              <w:rPr>
                <w:rStyle w:val="Hyperlink"/>
                <w:rFonts w:ascii="Calibri" w:hAnsi="Calibri" w:cs="Calibri"/>
                <w:szCs w:val="22"/>
                <w:lang w:eastAsia="en-GB"/>
              </w:rPr>
              <w:t>https://blog.hubspot.com/marketing/competitive-analysis-kit</w:t>
            </w:r>
            <w:r w:rsidR="00822B8D">
              <w:rPr>
                <w:rStyle w:val="Hyperlink"/>
                <w:rFonts w:ascii="Calibri" w:hAnsi="Calibri" w:cs="Calibri"/>
                <w:szCs w:val="22"/>
                <w:lang w:eastAsia="en-GB"/>
              </w:rPr>
              <w:fldChar w:fldCharType="end"/>
            </w:r>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r>
              <w:fldChar w:fldCharType="begin"/>
            </w:r>
            <w:r>
              <w:instrText>HYPERLINK "http://andrewwaleslod.co.uk/learning-resources-how-organisations-position-themselves-in-competitive-labour-markets/"</w:instrText>
            </w:r>
            <w:r>
              <w:fldChar w:fldCharType="separate"/>
            </w:r>
            <w:r w:rsidRPr="00C67842">
              <w:rPr>
                <w:rStyle w:val="Hyperlink"/>
                <w:rFonts w:ascii="Calibri" w:hAnsi="Calibri" w:cs="Calibri"/>
                <w:szCs w:val="22"/>
                <w:lang w:eastAsia="en-GB"/>
              </w:rPr>
              <w:t>http://andrewwaleslod.co.uk/learning-resources-how-organisations-position-themselves-in-competitive-labour-markets/</w:t>
            </w:r>
            <w:r>
              <w:rPr>
                <w:rStyle w:val="Hyperlink"/>
                <w:rFonts w:ascii="Calibri" w:hAnsi="Calibri" w:cs="Calibri"/>
                <w:szCs w:val="22"/>
                <w:lang w:eastAsia="en-GB"/>
              </w:rPr>
              <w:fldChar w:fldCharType="end"/>
            </w:r>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r w:rsidR="00000000">
              <w:fldChar w:fldCharType="begin"/>
            </w:r>
            <w:r w:rsidR="00000000">
              <w:instrText>HYPERLINK "https://www.cipd.org/en/knowledge/factsheets/recruitment-brand-factsheet/"</w:instrText>
            </w:r>
            <w:r w:rsidR="00000000">
              <w:fldChar w:fldCharType="separate"/>
            </w:r>
            <w:r w:rsidRPr="00C67842">
              <w:rPr>
                <w:rStyle w:val="Hyperlink"/>
                <w:rFonts w:ascii="Calibri" w:hAnsi="Calibri" w:cs="Calibri"/>
                <w:szCs w:val="22"/>
                <w:lang w:eastAsia="en-GB"/>
              </w:rPr>
              <w:t>https://www.cipd.org/en/knowledge/factsheets/recruitment-brand-factsheet/</w:t>
            </w:r>
            <w:r w:rsidR="00000000">
              <w:rPr>
                <w:rStyle w:val="Hyperlink"/>
                <w:rFonts w:ascii="Calibri" w:hAnsi="Calibri" w:cs="Calibri"/>
                <w:szCs w:val="22"/>
                <w:lang w:eastAsia="en-GB"/>
              </w:rPr>
              <w:fldChar w:fldCharType="end"/>
            </w:r>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r w:rsidRPr="007E0BF9">
              <w:rPr>
                <w:rFonts w:ascii="Calibri" w:hAnsi="Calibri" w:cs="Calibri"/>
                <w:lang w:eastAsia="en-GB"/>
              </w:rPr>
              <w:t>Satabdi</w:t>
            </w:r>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17"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r w:rsidRPr="00C66F89">
              <w:rPr>
                <w:rFonts w:ascii="Calibri" w:hAnsi="Calibri" w:cs="Calibri"/>
                <w:lang w:eastAsia="en-GB"/>
              </w:rPr>
              <w:t>Charaba</w:t>
            </w:r>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18"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19"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0"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1"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2"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r>
              <w:rPr>
                <w:rFonts w:ascii="Calibri" w:hAnsi="Calibri" w:cs="Calibri"/>
                <w:lang w:eastAsia="en-GB"/>
              </w:rPr>
              <w:t xml:space="preserve">Pavón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3"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4"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r>
              <w:rPr>
                <w:rFonts w:ascii="Calibri" w:hAnsi="Calibri" w:cs="Calibri"/>
                <w:lang w:eastAsia="en-GB"/>
              </w:rPr>
              <w:t xml:space="preserve">Soole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5"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26"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27"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28"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29"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Availabe at </w:t>
            </w:r>
            <w:hyperlink r:id="rId32"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r w:rsidRPr="00130378">
              <w:rPr>
                <w:rFonts w:ascii="Calibri" w:hAnsi="Calibri" w:cs="Calibri"/>
                <w:lang w:eastAsia="en-GB"/>
              </w:rPr>
              <w:t>Vulpen</w:t>
            </w:r>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3"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5"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36"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r w:rsidRPr="00B76D16">
              <w:rPr>
                <w:rFonts w:ascii="Calibri" w:hAnsi="Calibri" w:cs="Calibri"/>
                <w:lang w:eastAsia="en-GB"/>
              </w:rPr>
              <w:t>Vulpen</w:t>
            </w:r>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37"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38"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lastRenderedPageBreak/>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3"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6AFC5276" w14:textId="5B831FA4" w:rsidR="00544F98" w:rsidRPr="00544F98" w:rsidRDefault="00544F98" w:rsidP="00250F01">
            <w:pPr>
              <w:textAlignment w:val="baseline"/>
              <w:rPr>
                <w:rFonts w:ascii="Calibri" w:hAnsi="Calibri" w:cs="Calibri"/>
                <w:lang w:val="en-US"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val="en-GB"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7"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48"/>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6866" w14:textId="77777777" w:rsidR="009547BE" w:rsidRDefault="009547BE" w:rsidP="00CB3ADD">
      <w:r>
        <w:separator/>
      </w:r>
    </w:p>
  </w:endnote>
  <w:endnote w:type="continuationSeparator" w:id="0">
    <w:p w14:paraId="5EF55EF8" w14:textId="77777777" w:rsidR="009547BE" w:rsidRDefault="009547BE" w:rsidP="00CB3ADD">
      <w:r>
        <w:continuationSeparator/>
      </w:r>
    </w:p>
  </w:endnote>
  <w:endnote w:type="continuationNotice" w:id="1">
    <w:p w14:paraId="42CE857C" w14:textId="77777777" w:rsidR="009547BE" w:rsidRDefault="009547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D30F" w14:textId="77777777" w:rsidR="009547BE" w:rsidRDefault="009547BE" w:rsidP="00CB3ADD">
      <w:r>
        <w:separator/>
      </w:r>
    </w:p>
  </w:footnote>
  <w:footnote w:type="continuationSeparator" w:id="0">
    <w:p w14:paraId="5456AE98" w14:textId="77777777" w:rsidR="009547BE" w:rsidRDefault="009547BE" w:rsidP="00CB3ADD">
      <w:r>
        <w:continuationSeparator/>
      </w:r>
    </w:p>
  </w:footnote>
  <w:footnote w:type="continuationNotice" w:id="1">
    <w:p w14:paraId="49ABD940" w14:textId="77777777" w:rsidR="009547BE" w:rsidRDefault="009547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9DA4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936913">
    <w:abstractNumId w:val="3"/>
  </w:num>
  <w:num w:numId="2" w16cid:durableId="101608316">
    <w:abstractNumId w:val="23"/>
  </w:num>
  <w:num w:numId="3" w16cid:durableId="1830251789">
    <w:abstractNumId w:val="41"/>
  </w:num>
  <w:num w:numId="4" w16cid:durableId="1407268254">
    <w:abstractNumId w:val="32"/>
  </w:num>
  <w:num w:numId="5" w16cid:durableId="1582331321">
    <w:abstractNumId w:val="21"/>
  </w:num>
  <w:num w:numId="6" w16cid:durableId="770856364">
    <w:abstractNumId w:val="6"/>
  </w:num>
  <w:num w:numId="7" w16cid:durableId="770932616">
    <w:abstractNumId w:val="33"/>
  </w:num>
  <w:num w:numId="8" w16cid:durableId="2039117924">
    <w:abstractNumId w:val="9"/>
  </w:num>
  <w:num w:numId="9" w16cid:durableId="648021993">
    <w:abstractNumId w:val="14"/>
  </w:num>
  <w:num w:numId="10" w16cid:durableId="783887368">
    <w:abstractNumId w:val="24"/>
  </w:num>
  <w:num w:numId="11" w16cid:durableId="467747513">
    <w:abstractNumId w:val="8"/>
  </w:num>
  <w:num w:numId="12" w16cid:durableId="376247412">
    <w:abstractNumId w:val="19"/>
  </w:num>
  <w:num w:numId="13" w16cid:durableId="1706103589">
    <w:abstractNumId w:val="42"/>
  </w:num>
  <w:num w:numId="14" w16cid:durableId="1592473787">
    <w:abstractNumId w:val="17"/>
  </w:num>
  <w:num w:numId="15" w16cid:durableId="1791705741">
    <w:abstractNumId w:val="28"/>
  </w:num>
  <w:num w:numId="16" w16cid:durableId="1651249677">
    <w:abstractNumId w:val="40"/>
  </w:num>
  <w:num w:numId="17" w16cid:durableId="1694384437">
    <w:abstractNumId w:val="39"/>
  </w:num>
  <w:num w:numId="18" w16cid:durableId="257325255">
    <w:abstractNumId w:val="30"/>
  </w:num>
  <w:num w:numId="19" w16cid:durableId="1611741637">
    <w:abstractNumId w:val="25"/>
  </w:num>
  <w:num w:numId="20" w16cid:durableId="2073308616">
    <w:abstractNumId w:val="11"/>
  </w:num>
  <w:num w:numId="21" w16cid:durableId="938293903">
    <w:abstractNumId w:val="22"/>
  </w:num>
  <w:num w:numId="22" w16cid:durableId="2094743288">
    <w:abstractNumId w:val="26"/>
  </w:num>
  <w:num w:numId="23" w16cid:durableId="1418289007">
    <w:abstractNumId w:val="4"/>
  </w:num>
  <w:num w:numId="24" w16cid:durableId="1483085844">
    <w:abstractNumId w:val="0"/>
  </w:num>
  <w:num w:numId="25" w16cid:durableId="260141349">
    <w:abstractNumId w:val="5"/>
  </w:num>
  <w:num w:numId="26" w16cid:durableId="1786457485">
    <w:abstractNumId w:val="7"/>
  </w:num>
  <w:num w:numId="27" w16cid:durableId="1027948274">
    <w:abstractNumId w:val="35"/>
  </w:num>
  <w:num w:numId="28" w16cid:durableId="1114860568">
    <w:abstractNumId w:val="29"/>
  </w:num>
  <w:num w:numId="29" w16cid:durableId="1427000420">
    <w:abstractNumId w:val="31"/>
  </w:num>
  <w:num w:numId="30" w16cid:durableId="321928135">
    <w:abstractNumId w:val="27"/>
  </w:num>
  <w:num w:numId="31" w16cid:durableId="161046179">
    <w:abstractNumId w:val="16"/>
  </w:num>
  <w:num w:numId="32" w16cid:durableId="1046831221">
    <w:abstractNumId w:val="2"/>
  </w:num>
  <w:num w:numId="33" w16cid:durableId="1102384214">
    <w:abstractNumId w:val="18"/>
  </w:num>
  <w:num w:numId="34" w16cid:durableId="1639917345">
    <w:abstractNumId w:val="38"/>
  </w:num>
  <w:num w:numId="35" w16cid:durableId="982395118">
    <w:abstractNumId w:val="13"/>
  </w:num>
  <w:num w:numId="36" w16cid:durableId="1332757000">
    <w:abstractNumId w:val="12"/>
  </w:num>
  <w:num w:numId="37" w16cid:durableId="1425877123">
    <w:abstractNumId w:val="36"/>
  </w:num>
  <w:num w:numId="38" w16cid:durableId="854197395">
    <w:abstractNumId w:val="1"/>
  </w:num>
  <w:num w:numId="39" w16cid:durableId="4095039">
    <w:abstractNumId w:val="10"/>
  </w:num>
  <w:num w:numId="40" w16cid:durableId="560557238">
    <w:abstractNumId w:val="34"/>
  </w:num>
  <w:num w:numId="41" w16cid:durableId="405341928">
    <w:abstractNumId w:val="15"/>
  </w:num>
  <w:num w:numId="42" w16cid:durableId="1557080237">
    <w:abstractNumId w:val="20"/>
  </w:num>
  <w:num w:numId="43" w16cid:durableId="1174302096">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4991"/>
    <w:rsid w:val="00095932"/>
    <w:rsid w:val="0009614F"/>
    <w:rsid w:val="0009785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10AE3"/>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32301"/>
    <w:rsid w:val="0043258B"/>
    <w:rsid w:val="0043260B"/>
    <w:rsid w:val="00435498"/>
    <w:rsid w:val="00435FE2"/>
    <w:rsid w:val="0043641E"/>
    <w:rsid w:val="004405C8"/>
    <w:rsid w:val="004413F6"/>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B4425"/>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003"/>
    <w:rsid w:val="006969E2"/>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5B67"/>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673C"/>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03D5"/>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lang w:val="en-SA"/>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val="en-GB"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lang w:val="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lang w:val="en-GB"/>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val="en-GB"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val="en-GB"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val="en-GB"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lang w:val="en-GB"/>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lang w:val="en-GB"/>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lang w:val="en-GB"/>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lang w:val="en-GB"/>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lang w:val="en-GB"/>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lang w:val="en-GB"/>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val="en-GB"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lang w:val="en-GB"/>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lang w:val="en-GB"/>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lang w:val="en-GB"/>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lang w:val="en-GB"/>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val="en-GB"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styleId="UnresolvedMention">
    <w:name w:val="Unresolved Mention"/>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peoplekeep.com/blog/five-tactics-to-become-an-employer-of-choice" TargetMode="External"/><Relationship Id="rId26" Type="http://schemas.openxmlformats.org/officeDocument/2006/relationships/hyperlink" Target="https://www.cipd.org/uk/knowledge/factsheets/workforce-planning-factsheet/" TargetMode="External"/><Relationship Id="rId39" Type="http://schemas.openxmlformats.org/officeDocument/2006/relationships/hyperlink" Target="https://www.forbes.com/sites/johnhall/2019/05/09/the-cost-of-turnover-can-kill-your-business-and-make-things-less-fun/?sh=7b677b457943" TargetMode="External"/><Relationship Id="rId21" Type="http://schemas.openxmlformats.org/officeDocument/2006/relationships/hyperlink" Target="https://www.cipd.org/uk/knowledge/factsheets/skills-factsheet/" TargetMode="External"/><Relationship Id="rId34" Type="http://schemas.openxmlformats.org/officeDocument/2006/relationships/hyperlink" Target="https://www.betterup.com/blog/why-employees-leave" TargetMode="External"/><Relationship Id="rId42" Type="http://schemas.openxmlformats.org/officeDocument/2006/relationships/hyperlink" Target="https://www.cipd.org/uk/knowledge/factsheets/terms-conditions-contracts-factsheet/" TargetMode="External"/><Relationship Id="rId47" Type="http://schemas.openxmlformats.org/officeDocument/2006/relationships/image" Target="media/image6.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smallbusiness.chron.com/managerial-judgment-34613.html" TargetMode="External"/><Relationship Id="rId11" Type="http://schemas.openxmlformats.org/officeDocument/2006/relationships/header" Target="header1.xml"/><Relationship Id="rId24" Type="http://schemas.openxmlformats.org/officeDocument/2006/relationships/hyperlink" Target="https://www.tuc.org.uk/resource/learning-and-skills" TargetMode="External"/><Relationship Id="rId32" Type="http://schemas.openxmlformats.org/officeDocument/2006/relationships/hyperlink" Target="https://bizfluent.com/info-8154593-difference-functional-dysfunctional-employee-turnover.html" TargetMode="External"/><Relationship Id="rId37" Type="http://schemas.openxmlformats.org/officeDocument/2006/relationships/hyperlink" Target="https://www.aihr.com/blog/what-is-talent-management/" TargetMode="External"/><Relationship Id="rId40" Type="http://schemas.openxmlformats.org/officeDocument/2006/relationships/hyperlink" Target="https://lrshrm.shrm.org/blog/2017/10/essential-elements-employee-retention" TargetMode="External"/><Relationship Id="rId45" Type="http://schemas.openxmlformats.org/officeDocument/2006/relationships/hyperlink" Target="https://www.reed.co.uk/career-advice/types-of-employment-contract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blogs.iadb.org/caribbean-dev-trends/en/what-role-do-employers-play-in-developing-skills-for-the-future-of-work/" TargetMode="External"/><Relationship Id="rId28" Type="http://schemas.openxmlformats.org/officeDocument/2006/relationships/hyperlink" Target="https://www.cipd.org/globalassets/media/knowledge/knowledge-hub/reports/resourcing-and-talent-planning-report-2022-1_tcm18-111500.pdf" TargetMode="External"/><Relationship Id="rId36" Type="http://schemas.openxmlformats.org/officeDocument/2006/relationships/hyperlink" Target="https://www.cipd.org/en/knowledge/factsheets/talent-factsheet"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ipd.org/uk/knowledge/factsheets/economy-labour-market-factsheet" TargetMode="External"/><Relationship Id="rId31" Type="http://schemas.openxmlformats.org/officeDocument/2006/relationships/hyperlink" Target="https://www.cipd.org/uk/knowledge/factsheets/turnover-retention-factsheet/" TargetMode="External"/><Relationship Id="rId44" Type="http://schemas.openxmlformats.org/officeDocument/2006/relationships/hyperlink" Target="https://www.gov.uk/contract-types-and-employer-responsibilities/fixedterm-contr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essmag.co.uk/how-to-bridge-the-current-skills-gap-within-the-energy-sector/" TargetMode="External"/><Relationship Id="rId27" Type="http://schemas.openxmlformats.org/officeDocument/2006/relationships/hyperlink" Target="https://www.forbes.com/advisor/business/workforce-planning/" TargetMode="External"/><Relationship Id="rId30" Type="http://schemas.openxmlformats.org/officeDocument/2006/relationships/hyperlink" Target="https://www.linkedin.com/pulse/general-introduction-techniques-hr-planning-gia-linh-nguyen/" TargetMode="External"/><Relationship Id="rId35" Type="http://schemas.openxmlformats.org/officeDocument/2006/relationships/hyperlink" Target="https://hbr.org/1973/07/why-employees-stay" TargetMode="External"/><Relationship Id="rId43" Type="http://schemas.openxmlformats.org/officeDocument/2006/relationships/hyperlink" Target="https://www.gov.uk/contract-types-and-employer-responsibilities/zero-hour-contracts" TargetMode="External"/><Relationship Id="rId48" Type="http://schemas.openxmlformats.org/officeDocument/2006/relationships/header" Target="header3.xml"/><Relationship Id="rId8" Type="http://schemas.openxmlformats.org/officeDocument/2006/relationships/webSettings" Target="webSettings.xml"/><Relationship Id="rId51"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talscale.com/blog/employer-branding-in-recruitment-why-it-is-important" TargetMode="External"/><Relationship Id="rId25" Type="http://schemas.openxmlformats.org/officeDocument/2006/relationships/hyperlink" Target="https://www.youtube.com/watch?v=JecvLpZFtfA" TargetMode="External"/><Relationship Id="rId33" Type="http://schemas.openxmlformats.org/officeDocument/2006/relationships/hyperlink" Target="https://www.aihr.com/blog/what-drives-employee-turnover" TargetMode="External"/><Relationship Id="rId38" Type="http://schemas.openxmlformats.org/officeDocument/2006/relationships/hyperlink" Target="https://www.aihr.com/blog/dysfunctional-turnover/" TargetMode="External"/><Relationship Id="rId46" Type="http://schemas.openxmlformats.org/officeDocument/2006/relationships/hyperlink" Target="https://www.gov.uk/contract-types-and-employer-responsibilities/agency-staff" TargetMode="External"/><Relationship Id="rId20" Type="http://schemas.openxmlformats.org/officeDocument/2006/relationships/hyperlink" Target="https://www.cipd.org/en/knowledge/reports/flexible-working-trends/" TargetMode="External"/><Relationship Id="rId41" Type="http://schemas.openxmlformats.org/officeDocument/2006/relationships/hyperlink" Target="https://www.indeed.com/career-advice/finding-a-job/types-of-contracts-employment"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22</Pages>
  <Words>6668</Words>
  <Characters>38014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67</cp:revision>
  <dcterms:created xsi:type="dcterms:W3CDTF">2023-07-27T10:42:00Z</dcterms:created>
  <dcterms:modified xsi:type="dcterms:W3CDTF">2023-09-02T11:26:00Z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