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Reading the CIPD Insight, Fact Sheets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role of government, employers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We advise you read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r w:rsidR="007E0BF9" w:rsidRPr="007E0BF9">
              <w:rPr>
                <w:rFonts w:ascii="Calibri" w:hAnsi="Calibri" w:cs="Calibri"/>
                <w:color w:val="6D0E28" w:themeColor="accent4" w:themeShade="80"/>
              </w:rPr>
              <w:t>Satabdi</w:t>
            </w:r>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r w:rsidRPr="00C66F89">
              <w:rPr>
                <w:rFonts w:ascii="Calibri" w:hAnsi="Calibri" w:cs="Calibri"/>
                <w:color w:val="6D0E28" w:themeColor="accent4" w:themeShade="80"/>
              </w:rPr>
              <w:t>Charaba</w:t>
            </w:r>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(Pavón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(Soole,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44D7F0A7" w14:textId="2D968CDF" w:rsidR="00795C16" w:rsidRPr="00795C16" w:rsidRDefault="00795C16" w:rsidP="00F750C4">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Succession planning: </w:t>
            </w:r>
          </w:p>
          <w:p w14:paraId="11F666B7" w14:textId="72EFF03F" w:rsidR="00252B71" w:rsidRPr="004B1797" w:rsidRDefault="00695CB4" w:rsidP="0083452D">
            <w:pPr>
              <w:jc w:val="both"/>
              <w:rPr>
                <w:rFonts w:ascii="Calibri" w:hAnsi="Calibri" w:cs="Calibri"/>
                <w:color w:val="6D0E28" w:themeColor="accent4" w:themeShade="80"/>
                <w:lang w:val="en-US"/>
              </w:rPr>
            </w:pPr>
            <w:r w:rsidRPr="004B1797">
              <w:rPr>
                <w:rFonts w:ascii="Calibri" w:hAnsi="Calibri" w:cs="Calibri"/>
                <w:color w:val="6D0E28" w:themeColor="accent4" w:themeShade="80"/>
                <w:lang w:val="en-US"/>
              </w:rPr>
              <w:t>Succession planning is setting a plan to effectively fill t</w:t>
            </w:r>
            <w:r w:rsidR="001A2368" w:rsidRPr="004B1797">
              <w:rPr>
                <w:rFonts w:ascii="Calibri" w:hAnsi="Calibri" w:cs="Calibri"/>
                <w:color w:val="6D0E28" w:themeColor="accent4" w:themeShade="80"/>
                <w:lang w:val="en-US"/>
              </w:rPr>
              <w:t xml:space="preserve">he most senior or critical </w:t>
            </w:r>
            <w:r w:rsidRPr="004B1797">
              <w:rPr>
                <w:rFonts w:ascii="Calibri" w:hAnsi="Calibri" w:cs="Calibri"/>
                <w:color w:val="6D0E28" w:themeColor="accent4" w:themeShade="80"/>
                <w:lang w:val="en-US"/>
              </w:rPr>
              <w:t>roles within the organization (CIPD, 2022) so that those positions are not left vacant for a long time if any (Vulpen, n.d.)</w:t>
            </w:r>
            <w:r w:rsidR="001A2368" w:rsidRPr="004B1797">
              <w:rPr>
                <w:rFonts w:ascii="Calibri" w:hAnsi="Calibri" w:cs="Calibri"/>
                <w:color w:val="6D0E28" w:themeColor="accent4" w:themeShade="80"/>
                <w:lang w:val="en-US"/>
              </w:rPr>
              <w:t>.</w:t>
            </w:r>
            <w:r w:rsidR="0083452D" w:rsidRPr="004B1797">
              <w:rPr>
                <w:rFonts w:ascii="Calibri" w:hAnsi="Calibri" w:cs="Calibri"/>
                <w:color w:val="6D0E28" w:themeColor="accent4" w:themeShade="80"/>
                <w:lang w:val="en-US"/>
              </w:rPr>
              <w:t xml:space="preserve"> In an uncertain world, employees get promoted, retired, or move to another place.</w:t>
            </w:r>
            <w:r w:rsidR="001A2368" w:rsidRPr="004B1797">
              <w:rPr>
                <w:rFonts w:ascii="Calibri" w:hAnsi="Calibri" w:cs="Calibri"/>
                <w:color w:val="6D0E28" w:themeColor="accent4" w:themeShade="80"/>
                <w:lang w:val="en-US"/>
              </w:rPr>
              <w:t xml:space="preserve"> Succession plan</w:t>
            </w:r>
            <w:r w:rsidR="0083452D" w:rsidRPr="004B1797">
              <w:rPr>
                <w:rFonts w:ascii="Calibri" w:hAnsi="Calibri" w:cs="Calibri"/>
                <w:color w:val="6D0E28" w:themeColor="accent4" w:themeShade="80"/>
                <w:lang w:val="en-US"/>
              </w:rPr>
              <w:t>, therefore,</w:t>
            </w:r>
            <w:r w:rsidR="001A2368" w:rsidRPr="004B1797">
              <w:rPr>
                <w:rFonts w:ascii="Calibri" w:hAnsi="Calibri" w:cs="Calibri"/>
                <w:color w:val="6D0E28" w:themeColor="accent4" w:themeShade="80"/>
                <w:lang w:val="en-US"/>
              </w:rPr>
              <w:t xml:space="preserve"> helps the organization make sure that it is ready </w:t>
            </w:r>
            <w:r w:rsidR="0083452D" w:rsidRPr="004B1797">
              <w:rPr>
                <w:rFonts w:ascii="Calibri" w:hAnsi="Calibri" w:cs="Calibri"/>
                <w:color w:val="6D0E28" w:themeColor="accent4" w:themeShade="80"/>
                <w:lang w:val="en-US"/>
              </w:rPr>
              <w:t xml:space="preserve">to fill the vacant position quickly </w:t>
            </w:r>
            <w:r w:rsidR="001A2368" w:rsidRPr="004B1797">
              <w:rPr>
                <w:rFonts w:ascii="Calibri" w:hAnsi="Calibri" w:cs="Calibri"/>
                <w:color w:val="6D0E28" w:themeColor="accent4" w:themeShade="80"/>
                <w:lang w:val="en-US"/>
              </w:rPr>
              <w:t>should any change happens in the future</w:t>
            </w:r>
            <w:r w:rsidRPr="004B1797">
              <w:rPr>
                <w:rFonts w:ascii="Calibri" w:hAnsi="Calibri" w:cs="Calibri"/>
                <w:color w:val="6D0E28" w:themeColor="accent4" w:themeShade="80"/>
                <w:lang w:val="en-US"/>
              </w:rPr>
              <w:t xml:space="preserve"> </w:t>
            </w:r>
            <w:r w:rsidR="0083452D" w:rsidRPr="004B1797">
              <w:rPr>
                <w:rFonts w:ascii="Calibri" w:hAnsi="Calibri" w:cs="Calibri"/>
                <w:color w:val="6D0E28" w:themeColor="accent4" w:themeShade="80"/>
                <w:lang w:val="en-US"/>
              </w:rPr>
              <w:t>to its critical roles.</w:t>
            </w:r>
            <w:r w:rsidRPr="004B1797">
              <w:rPr>
                <w:rFonts w:ascii="Calibri" w:hAnsi="Calibri" w:cs="Calibri"/>
                <w:color w:val="6D0E28" w:themeColor="accent4" w:themeShade="80"/>
                <w:lang w:val="en-US"/>
              </w:rPr>
              <w:t xml:space="preserve"> </w:t>
            </w:r>
          </w:p>
          <w:p w14:paraId="79E08F07" w14:textId="232A052A" w:rsidR="0083452D" w:rsidRPr="004B1797" w:rsidRDefault="0083452D" w:rsidP="0083452D">
            <w:pPr>
              <w:jc w:val="both"/>
              <w:rPr>
                <w:rFonts w:ascii="Calibri" w:hAnsi="Calibri" w:cs="Calibri"/>
                <w:color w:val="6D0E28" w:themeColor="accent4" w:themeShade="80"/>
                <w:lang w:val="en-US"/>
              </w:rPr>
            </w:pPr>
          </w:p>
          <w:p w14:paraId="1E14F0C8" w14:textId="0E41053F" w:rsidR="0083452D" w:rsidRPr="004B1797" w:rsidRDefault="00F74EF2" w:rsidP="0083452D">
            <w:pPr>
              <w:jc w:val="both"/>
              <w:rPr>
                <w:rFonts w:ascii="Calibri" w:hAnsi="Calibri" w:cs="Calibri"/>
                <w:color w:val="6D0E28" w:themeColor="accent4" w:themeShade="80"/>
                <w:u w:val="single"/>
                <w:lang w:val="en-US"/>
              </w:rPr>
            </w:pPr>
            <w:r w:rsidRPr="004B1797">
              <w:rPr>
                <w:rFonts w:ascii="Calibri" w:hAnsi="Calibri" w:cs="Calibri"/>
                <w:color w:val="6D0E28" w:themeColor="accent4" w:themeShade="80"/>
                <w:u w:val="single"/>
                <w:lang w:val="en-US"/>
              </w:rPr>
              <w:t>Leadership development program</w:t>
            </w:r>
            <w:r w:rsidR="00C95B42" w:rsidRPr="004B1797">
              <w:rPr>
                <w:rFonts w:ascii="Calibri" w:hAnsi="Calibri" w:cs="Calibri"/>
                <w:color w:val="6D0E28" w:themeColor="accent4" w:themeShade="80"/>
                <w:u w:val="single"/>
                <w:lang w:val="en-US"/>
              </w:rPr>
              <w:t>:</w:t>
            </w:r>
          </w:p>
          <w:p w14:paraId="18CF9CFA" w14:textId="2936AA5D"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r w:rsidR="005C2929">
              <w:rPr>
                <w:rFonts w:ascii="Calibri" w:hAnsi="Calibri" w:cs="Calibri"/>
                <w:color w:val="6D0E28" w:themeColor="accent4" w:themeShade="80"/>
                <w:lang w:val="en-US"/>
              </w:rPr>
              <w:t xml:space="preserve"> critical position is a risk that should be mitigated through leadership development </w:t>
            </w:r>
            <w:r w:rsidR="00A24206">
              <w:rPr>
                <w:rFonts w:ascii="Calibri" w:hAnsi="Calibri" w:cs="Calibri"/>
                <w:color w:val="6D0E28" w:themeColor="accent4" w:themeShade="80"/>
                <w:lang w:val="en-US"/>
              </w:rPr>
              <w:t>program</w:t>
            </w:r>
            <w:r w:rsidR="005C2929">
              <w:rPr>
                <w:rFonts w:ascii="Calibri" w:hAnsi="Calibri" w:cs="Calibri"/>
                <w:color w:val="6D0E28" w:themeColor="accent4" w:themeShade="80"/>
                <w:lang w:val="en-US"/>
              </w:rPr>
              <w:t xml:space="preserve"> that helps the organization develop its talent pipeline (</w:t>
            </w:r>
            <w:r w:rsidR="005C2929" w:rsidRPr="005C2929">
              <w:rPr>
                <w:rFonts w:ascii="Calibri" w:hAnsi="Calibri" w:cs="Calibri"/>
                <w:color w:val="6D0E28" w:themeColor="accent4" w:themeShade="80"/>
                <w:lang w:val="en-US"/>
              </w:rPr>
              <w:t>Summerfield</w:t>
            </w:r>
            <w:r w:rsidR="005C2929">
              <w:rPr>
                <w:rFonts w:ascii="Calibri" w:hAnsi="Calibri" w:cs="Calibri"/>
                <w:color w:val="6D0E28" w:themeColor="accent4" w:themeShade="80"/>
                <w:lang w:val="en-US"/>
              </w:rPr>
              <w:t xml:space="preserve">, 2018). </w:t>
            </w:r>
            <w:r w:rsidR="00A24206">
              <w:rPr>
                <w:rFonts w:ascii="Calibri" w:hAnsi="Calibri" w:cs="Calibri"/>
                <w:color w:val="6D0E28" w:themeColor="accent4" w:themeShade="80"/>
                <w:lang w:val="en-US"/>
              </w:rPr>
              <w:t>To effectively implement a leadership development program, the organization’s strategy should be determined to determine capabilities that are needed to exist in a potential successor. Then learning and development initiatives for developing potential future successor.</w:t>
            </w:r>
          </w:p>
          <w:p w14:paraId="4FA8C27C" w14:textId="77777777" w:rsidR="00252B71" w:rsidRPr="005C2929" w:rsidRDefault="00252B71" w:rsidP="00252B71">
            <w:pPr>
              <w:jc w:val="both"/>
              <w:rPr>
                <w:rFonts w:ascii="Calibri" w:hAnsi="Calibri" w:cs="Calibri"/>
                <w:color w:val="6D0E28" w:themeColor="accent4" w:themeShade="80"/>
                <w:lang w:val="en-US"/>
              </w:rPr>
            </w:pPr>
          </w:p>
          <w:p w14:paraId="4A8229BD" w14:textId="77777777" w:rsidR="00252B71"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Contingency planning: </w:t>
            </w:r>
          </w:p>
          <w:p w14:paraId="71E17D51" w14:textId="73158186" w:rsidR="007F4B1A" w:rsidRDefault="004B1797"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Contingency plan in simple terms is a “plan B”. It is a process of creating a plan or several plausible plans to be implemented should any incident out of control happens and prevents the business as usual continuous smoothly (</w:t>
            </w:r>
            <w:r w:rsidRPr="004B1797">
              <w:rPr>
                <w:rFonts w:ascii="Calibri" w:hAnsi="Calibri" w:cs="Calibri"/>
                <w:color w:val="6D0E28" w:themeColor="accent4" w:themeShade="80"/>
                <w:lang w:val="en-US"/>
              </w:rPr>
              <w:t>Leonard</w:t>
            </w:r>
            <w:r>
              <w:rPr>
                <w:rFonts w:ascii="Calibri" w:hAnsi="Calibri" w:cs="Calibri"/>
                <w:color w:val="6D0E28" w:themeColor="accent4" w:themeShade="80"/>
                <w:lang w:val="en-US"/>
              </w:rPr>
              <w:t xml:space="preserve">, 2023). </w:t>
            </w:r>
            <w:r w:rsidR="00C1379A">
              <w:rPr>
                <w:rFonts w:ascii="Calibri" w:hAnsi="Calibri" w:cs="Calibri"/>
                <w:color w:val="6D0E28" w:themeColor="accent4" w:themeShade="80"/>
                <w:lang w:val="en-US"/>
              </w:rPr>
              <w:t>It is a reactive response to an incident that would adversely impact the business if it were not planned for.</w:t>
            </w:r>
          </w:p>
          <w:p w14:paraId="5231EC3D" w14:textId="77777777" w:rsidR="00C1379A" w:rsidRDefault="00C1379A" w:rsidP="00252B71">
            <w:pPr>
              <w:jc w:val="both"/>
              <w:rPr>
                <w:rFonts w:ascii="Calibri" w:hAnsi="Calibri" w:cs="Calibri"/>
                <w:color w:val="6D0E28" w:themeColor="accent4" w:themeShade="80"/>
                <w:lang w:val="en-US"/>
              </w:rPr>
            </w:pPr>
          </w:p>
          <w:p w14:paraId="3C49C886" w14:textId="77777777" w:rsidR="00C1379A" w:rsidRDefault="00C1379A" w:rsidP="00252B71">
            <w:pPr>
              <w:jc w:val="both"/>
              <w:rPr>
                <w:rFonts w:ascii="Calibri" w:hAnsi="Calibri" w:cs="Calibri"/>
                <w:color w:val="6D0E28" w:themeColor="accent4" w:themeShade="80"/>
                <w:u w:val="single"/>
                <w:lang w:val="en-US"/>
              </w:rPr>
            </w:pPr>
            <w:r w:rsidRPr="00C1379A">
              <w:rPr>
                <w:rFonts w:ascii="Calibri" w:hAnsi="Calibri" w:cs="Calibri"/>
                <w:color w:val="6D0E28" w:themeColor="accent4" w:themeShade="80"/>
                <w:u w:val="single"/>
                <w:lang w:val="en-US"/>
              </w:rPr>
              <w:t>Contingent workforce:</w:t>
            </w:r>
          </w:p>
          <w:p w14:paraId="14A121D0" w14:textId="437D5F5C" w:rsidR="00C1379A" w:rsidRPr="00C1379A" w:rsidRDefault="009863A3"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instances when business suffer from workforce shortage, for example when an employee call in sick or another one is pregnant. The business should have contingency plan to mitigate that risk. Utilizing contingent workforce, temporary workers work for a company on a project or task basis (</w:t>
            </w:r>
            <w:r w:rsidRPr="009863A3">
              <w:rPr>
                <w:rFonts w:ascii="Calibri" w:hAnsi="Calibri" w:cs="Calibri"/>
                <w:color w:val="6D0E28" w:themeColor="accent4" w:themeShade="80"/>
                <w:lang w:val="en-US"/>
              </w:rPr>
              <w:t>Eatough,</w:t>
            </w:r>
            <w:r>
              <w:rPr>
                <w:rFonts w:ascii="Calibri" w:hAnsi="Calibri" w:cs="Calibri"/>
                <w:color w:val="6D0E28" w:themeColor="accent4" w:themeShade="80"/>
                <w:lang w:val="en-US"/>
              </w:rPr>
              <w:t xml:space="preserve"> 2021</w:t>
            </w:r>
            <w:r w:rsidR="00AE2A85">
              <w:rPr>
                <w:rFonts w:ascii="Calibri" w:hAnsi="Calibri" w:cs="Calibri"/>
                <w:color w:val="6D0E28" w:themeColor="accent4" w:themeShade="80"/>
                <w:lang w:val="en-US"/>
              </w:rPr>
              <w:t>), would</w:t>
            </w:r>
            <w:r>
              <w:rPr>
                <w:rFonts w:ascii="Calibri" w:hAnsi="Calibri" w:cs="Calibri"/>
                <w:color w:val="6D0E28" w:themeColor="accent4" w:themeShade="80"/>
                <w:lang w:val="en-US"/>
              </w:rPr>
              <w:t xml:space="preserve"> be a plan B in such cases</w:t>
            </w:r>
            <w:r w:rsidR="00AE2A85">
              <w:rPr>
                <w:rFonts w:ascii="Calibri" w:hAnsi="Calibri" w:cs="Calibri"/>
                <w:color w:val="6D0E28" w:themeColor="accent4" w:themeShade="80"/>
                <w:lang w:val="en-US"/>
              </w:rPr>
              <w:t xml:space="preserve">. For example, calling a worker on a </w:t>
            </w:r>
            <w:r w:rsidR="006619D5">
              <w:rPr>
                <w:rFonts w:ascii="Calibri" w:hAnsi="Calibri" w:cs="Calibri"/>
                <w:color w:val="6D0E28" w:themeColor="accent4" w:themeShade="80"/>
                <w:lang w:val="en-US"/>
              </w:rPr>
              <w:t>zero-hour</w:t>
            </w:r>
            <w:r w:rsidR="00AE2A85">
              <w:rPr>
                <w:rFonts w:ascii="Calibri" w:hAnsi="Calibri" w:cs="Calibri"/>
                <w:color w:val="6D0E28" w:themeColor="accent4" w:themeShade="80"/>
                <w:lang w:val="en-US"/>
              </w:rPr>
              <w:t xml:space="preserve"> contract or a freelancer are use useful and </w:t>
            </w:r>
            <w:r w:rsidR="006619D5">
              <w:rPr>
                <w:rFonts w:ascii="Calibri" w:hAnsi="Calibri" w:cs="Calibri"/>
                <w:color w:val="6D0E28" w:themeColor="accent4" w:themeShade="80"/>
                <w:lang w:val="en-US"/>
              </w:rPr>
              <w:t>cheaper</w:t>
            </w:r>
            <w:r w:rsidR="00AE2A85">
              <w:rPr>
                <w:rFonts w:ascii="Calibri" w:hAnsi="Calibri" w:cs="Calibri"/>
                <w:color w:val="6D0E28" w:themeColor="accent4" w:themeShade="80"/>
                <w:lang w:val="en-US"/>
              </w:rPr>
              <w:t xml:space="preserve"> in that situations.</w:t>
            </w: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0E1CB48" w14:textId="77777777" w:rsidR="006219FE" w:rsidRDefault="006219FE" w:rsidP="006219FE">
            <w:pPr>
              <w:jc w:val="both"/>
              <w:rPr>
                <w:rFonts w:ascii="Calibri" w:hAnsi="Calibri" w:cs="Calibri"/>
                <w:b/>
                <w:bCs/>
                <w:color w:val="6D0E28" w:themeColor="accent4" w:themeShade="80"/>
                <w:lang w:val="en-US"/>
              </w:rPr>
            </w:pPr>
            <w:r w:rsidRPr="006219FE">
              <w:rPr>
                <w:rFonts w:ascii="Calibri" w:hAnsi="Calibri" w:cs="Calibri"/>
                <w:b/>
                <w:bCs/>
                <w:color w:val="6D0E28" w:themeColor="accent4" w:themeShade="80"/>
                <w:lang w:val="en-US"/>
              </w:rPr>
              <w:t>Re</w:t>
            </w:r>
            <w:r>
              <w:rPr>
                <w:rFonts w:ascii="Calibri" w:hAnsi="Calibri" w:cs="Calibri"/>
                <w:b/>
                <w:bCs/>
                <w:color w:val="6D0E28" w:themeColor="accent4" w:themeShade="80"/>
                <w:lang w:val="en-US"/>
              </w:rPr>
              <w:t>cruiting Methods:</w:t>
            </w:r>
          </w:p>
          <w:p w14:paraId="5BAD0337" w14:textId="40BCA887" w:rsidR="006219FE" w:rsidRPr="005E5C10" w:rsidRDefault="006219FE" w:rsidP="005E5C10">
            <w:pPr>
              <w:pStyle w:val="ListParagraph"/>
              <w:numPr>
                <w:ilvl w:val="0"/>
                <w:numId w:val="44"/>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Organization website:</w:t>
            </w:r>
          </w:p>
          <w:p w14:paraId="209A085B" w14:textId="77777777" w:rsidR="005E5C10" w:rsidRPr="005E5C10" w:rsidRDefault="005E5C10" w:rsidP="005E5C10">
            <w:pPr>
              <w:ind w:left="788"/>
              <w:jc w:val="both"/>
              <w:rPr>
                <w:rFonts w:ascii="Calibri" w:hAnsi="Calibri" w:cs="Calibri"/>
                <w:color w:val="6D0E28" w:themeColor="accent4" w:themeShade="80"/>
                <w:u w:val="single"/>
                <w:lang w:val="en-US"/>
              </w:rPr>
            </w:pPr>
          </w:p>
          <w:p w14:paraId="15BAF3E9" w14:textId="5477CCE3" w:rsidR="005E5C10" w:rsidRPr="005E5C10" w:rsidRDefault="005E5C10" w:rsidP="005E5C10">
            <w:pPr>
              <w:pStyle w:val="ListParagraph"/>
              <w:numPr>
                <w:ilvl w:val="0"/>
                <w:numId w:val="44"/>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Second item:</w:t>
            </w:r>
          </w:p>
          <w:p w14:paraId="12FBF68F" w14:textId="77777777" w:rsidR="005E5C10" w:rsidRPr="005E5C10" w:rsidRDefault="005E5C10" w:rsidP="005E5C10">
            <w:pPr>
              <w:ind w:left="788"/>
              <w:jc w:val="both"/>
              <w:rPr>
                <w:rFonts w:ascii="Calibri" w:hAnsi="Calibri" w:cs="Calibri"/>
                <w:color w:val="6D0E28" w:themeColor="accent4" w:themeShade="80"/>
                <w:u w:val="single"/>
                <w:lang w:val="en-US"/>
              </w:rPr>
            </w:pPr>
          </w:p>
          <w:p w14:paraId="718C78B7" w14:textId="77777777" w:rsidR="005E5C10" w:rsidRPr="005E5C10" w:rsidRDefault="005E5C10" w:rsidP="005E5C10">
            <w:pPr>
              <w:ind w:left="788"/>
              <w:jc w:val="both"/>
              <w:rPr>
                <w:rFonts w:ascii="Calibri" w:hAnsi="Calibri" w:cs="Calibri"/>
                <w:color w:val="6D0E28" w:themeColor="accent4" w:themeShade="80"/>
                <w:u w:val="single"/>
                <w:lang w:val="en-US"/>
              </w:rPr>
            </w:pPr>
            <w:bookmarkStart w:id="3" w:name="_GoBack"/>
            <w:bookmarkEnd w:id="3"/>
          </w:p>
          <w:p w14:paraId="23CA277D" w14:textId="21220BAA" w:rsidR="005E5C10" w:rsidRDefault="005E5C10" w:rsidP="006219FE">
            <w:pPr>
              <w:jc w:val="both"/>
              <w:rPr>
                <w:rFonts w:ascii="Calibri" w:hAnsi="Calibri" w:cs="Calibri"/>
                <w:color w:val="6D0E28" w:themeColor="accent4" w:themeShade="80"/>
                <w:u w:val="single"/>
                <w:lang w:val="en-US"/>
              </w:rPr>
            </w:pPr>
          </w:p>
          <w:p w14:paraId="32263DEB" w14:textId="052E771B" w:rsidR="005E5C10" w:rsidRDefault="005E5C10" w:rsidP="006219FE">
            <w:pPr>
              <w:jc w:val="both"/>
              <w:rPr>
                <w:rFonts w:ascii="Calibri" w:hAnsi="Calibri" w:cs="Calibri"/>
                <w:color w:val="6D0E28" w:themeColor="accent4" w:themeShade="80"/>
                <w:u w:val="single"/>
                <w:lang w:val="en-US"/>
              </w:rPr>
            </w:pPr>
          </w:p>
          <w:p w14:paraId="629C08BF" w14:textId="6F13DD02" w:rsidR="005E5C10" w:rsidRDefault="005E5C10" w:rsidP="006219FE">
            <w:pPr>
              <w:jc w:val="both"/>
              <w:rPr>
                <w:rFonts w:ascii="Calibri" w:hAnsi="Calibri" w:cs="Calibri"/>
                <w:color w:val="6D0E28" w:themeColor="accent4" w:themeShade="80"/>
                <w:u w:val="single"/>
                <w:lang w:val="en-US"/>
              </w:rPr>
            </w:pPr>
          </w:p>
          <w:p w14:paraId="68128D63" w14:textId="77777777" w:rsidR="005E5C10" w:rsidRDefault="005E5C10" w:rsidP="006219FE">
            <w:pPr>
              <w:jc w:val="both"/>
              <w:rPr>
                <w:rFonts w:ascii="Calibri" w:hAnsi="Calibri" w:cs="Calibri"/>
                <w:color w:val="6D0E28" w:themeColor="accent4" w:themeShade="80"/>
                <w:u w:val="single"/>
                <w:lang w:val="en-US"/>
              </w:rPr>
            </w:pPr>
          </w:p>
          <w:p w14:paraId="43CCE57F" w14:textId="77777777" w:rsidR="005E5C10" w:rsidRDefault="005E5C10" w:rsidP="006219FE">
            <w:pPr>
              <w:jc w:val="both"/>
              <w:rPr>
                <w:rFonts w:ascii="Calibri" w:hAnsi="Calibri" w:cs="Calibri"/>
                <w:color w:val="6D0E28" w:themeColor="accent4" w:themeShade="80"/>
                <w:u w:val="single"/>
                <w:lang w:val="en-US"/>
              </w:rPr>
            </w:pPr>
          </w:p>
          <w:p w14:paraId="6A6EB8E2" w14:textId="18721E1F" w:rsidR="005E5C10" w:rsidRPr="005E5C10" w:rsidRDefault="005E5C10" w:rsidP="006219FE">
            <w:pPr>
              <w:jc w:val="both"/>
              <w:rPr>
                <w:rFonts w:ascii="Calibri" w:hAnsi="Calibri" w:cs="Calibri"/>
                <w:b/>
                <w:bCs/>
                <w:color w:val="6D0E28" w:themeColor="accent4" w:themeShade="80"/>
                <w:lang w:val="en-US"/>
              </w:rPr>
            </w:pPr>
            <w:r w:rsidRPr="005E5C10">
              <w:rPr>
                <w:rFonts w:ascii="Calibri" w:hAnsi="Calibri" w:cs="Calibri"/>
                <w:b/>
                <w:bCs/>
                <w:color w:val="6D0E28" w:themeColor="accent4" w:themeShade="80"/>
                <w:lang w:val="en-US"/>
              </w:rPr>
              <w:lastRenderedPageBreak/>
              <w:t>Selection Methods:</w:t>
            </w:r>
          </w:p>
          <w:p w14:paraId="5EE96F4A" w14:textId="6807A65E" w:rsidR="005E5C10" w:rsidRPr="005E5C10" w:rsidRDefault="005E5C10" w:rsidP="005E5C10">
            <w:pPr>
              <w:pStyle w:val="ListParagraph"/>
              <w:numPr>
                <w:ilvl w:val="0"/>
                <w:numId w:val="45"/>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Interviewing applicants:</w:t>
            </w:r>
          </w:p>
          <w:p w14:paraId="08864F13" w14:textId="77777777" w:rsidR="005E5C10" w:rsidRPr="005E5C10" w:rsidRDefault="005E5C10" w:rsidP="005E5C10">
            <w:pPr>
              <w:ind w:left="788"/>
              <w:jc w:val="both"/>
              <w:rPr>
                <w:rFonts w:ascii="Calibri" w:hAnsi="Calibri" w:cs="Calibri"/>
                <w:color w:val="6D0E28" w:themeColor="accent4" w:themeShade="80"/>
                <w:u w:val="single"/>
                <w:lang w:val="en-US"/>
              </w:rPr>
            </w:pPr>
          </w:p>
          <w:p w14:paraId="69B7932D" w14:textId="307E5447" w:rsidR="005E5C10" w:rsidRPr="005E5C10" w:rsidRDefault="005E5C10" w:rsidP="005E5C10">
            <w:pPr>
              <w:pStyle w:val="ListParagraph"/>
              <w:numPr>
                <w:ilvl w:val="0"/>
                <w:numId w:val="45"/>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Second item:</w:t>
            </w:r>
          </w:p>
          <w:p w14:paraId="7973EC33" w14:textId="77777777" w:rsidR="005E5C10" w:rsidRPr="005E5C10" w:rsidRDefault="005E5C10" w:rsidP="005E5C10">
            <w:pPr>
              <w:ind w:left="788"/>
              <w:jc w:val="both"/>
              <w:rPr>
                <w:rFonts w:ascii="Calibri" w:hAnsi="Calibri" w:cs="Calibri"/>
                <w:color w:val="6D0E28" w:themeColor="accent4" w:themeShade="80"/>
                <w:u w:val="single"/>
                <w:lang w:val="en-US"/>
              </w:rPr>
            </w:pPr>
          </w:p>
          <w:p w14:paraId="5578B9C0" w14:textId="77777777" w:rsidR="005E5C10" w:rsidRPr="005E5C10" w:rsidRDefault="005E5C10" w:rsidP="005E5C10">
            <w:pPr>
              <w:ind w:left="788"/>
              <w:jc w:val="both"/>
              <w:rPr>
                <w:rFonts w:ascii="Calibri" w:hAnsi="Calibri" w:cs="Calibri"/>
                <w:color w:val="6D0E28" w:themeColor="accent4" w:themeShade="80"/>
                <w:u w:val="single"/>
                <w:lang w:val="en-US"/>
              </w:rPr>
            </w:pPr>
          </w:p>
          <w:p w14:paraId="3DD82C21" w14:textId="77777777" w:rsidR="005E5C10" w:rsidRDefault="005E5C10" w:rsidP="006219FE">
            <w:pPr>
              <w:jc w:val="both"/>
              <w:rPr>
                <w:rFonts w:ascii="Calibri" w:hAnsi="Calibri" w:cs="Calibri"/>
                <w:b/>
                <w:bCs/>
                <w:color w:val="6D0E28" w:themeColor="accent4" w:themeShade="80"/>
                <w:lang w:val="en-US"/>
              </w:rPr>
            </w:pPr>
          </w:p>
          <w:p w14:paraId="7A01C1D5" w14:textId="77777777" w:rsidR="006219FE" w:rsidRDefault="006219FE" w:rsidP="006219FE">
            <w:pPr>
              <w:jc w:val="both"/>
              <w:rPr>
                <w:rFonts w:ascii="Calibri" w:hAnsi="Calibri" w:cs="Calibri"/>
                <w:b/>
                <w:bCs/>
                <w:color w:val="6D0E28" w:themeColor="accent4" w:themeShade="80"/>
                <w:lang w:val="en-US"/>
              </w:rPr>
            </w:pPr>
          </w:p>
          <w:p w14:paraId="7C4F0954" w14:textId="77777777" w:rsidR="006219FE" w:rsidRDefault="006219FE" w:rsidP="006219FE">
            <w:pPr>
              <w:jc w:val="both"/>
              <w:rPr>
                <w:rFonts w:ascii="Calibri" w:hAnsi="Calibri" w:cs="Calibri"/>
                <w:b/>
                <w:bCs/>
                <w:color w:val="6D0E28" w:themeColor="accent4" w:themeShade="80"/>
                <w:lang w:val="en-US"/>
              </w:rPr>
            </w:pPr>
          </w:p>
          <w:p w14:paraId="61773143" w14:textId="24DE3975" w:rsidR="009B4417" w:rsidRPr="006219FE" w:rsidRDefault="006219FE" w:rsidP="006219FE">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 xml:space="preserve"> </w:t>
            </w: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r w:rsidRPr="00130378">
              <w:rPr>
                <w:rFonts w:ascii="Calibri" w:hAnsi="Calibri" w:cs="Calibri"/>
                <w:color w:val="6D0E28" w:themeColor="accent4" w:themeShade="80"/>
              </w:rPr>
              <w:t>Vulpen</w:t>
            </w:r>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r w:rsidRPr="00B963DD">
              <w:rPr>
                <w:rFonts w:ascii="Calibri" w:hAnsi="Calibri" w:cs="Calibri"/>
                <w:color w:val="6D0E28" w:themeColor="accent4" w:themeShade="80"/>
                <w:lang w:val="en-US"/>
              </w:rPr>
              <w:t>Hughe</w:t>
            </w:r>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r w:rsidR="00B76D16" w:rsidRPr="00B76D16">
              <w:rPr>
                <w:rFonts w:ascii="Calibri" w:hAnsi="Calibri" w:cs="Calibri"/>
                <w:color w:val="6D0E28" w:themeColor="accent4" w:themeShade="80"/>
                <w:lang w:val="en-US"/>
              </w:rPr>
              <w:t>Vulpen</w:t>
            </w:r>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Appraisal is evaluating individuals’ 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Goal-setting theory </w:t>
                  </w:r>
                  <w:r w:rsidR="006E5A61">
                    <w:rPr>
                      <w:rFonts w:ascii="Calibri" w:hAnsi="Calibri" w:cs="Calibri"/>
                      <w:color w:val="6D0E28" w:themeColor="accent4" w:themeShade="80"/>
                      <w:lang w:val="en-US"/>
                    </w:rPr>
                    <w:t>connects goal setting for a certain task with its performance (</w:t>
                  </w:r>
                  <w:r w:rsidR="006E5A61" w:rsidRPr="006E5A61">
                    <w:rPr>
                      <w:rFonts w:ascii="Calibri" w:hAnsi="Calibri" w:cs="Calibri"/>
                      <w:color w:val="6D0E28" w:themeColor="accent4" w:themeShade="80"/>
                      <w:lang w:val="en-US"/>
                    </w:rPr>
                    <w:t>Debara</w:t>
                  </w:r>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Training and development aim at upskilling and reskilling individuals in the organization to 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Learning and development is a continuous process that starts form the first day of the employee through 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r w:rsidR="00C4566C" w:rsidRPr="00C4566C">
              <w:rPr>
                <w:rFonts w:ascii="Calibri" w:hAnsi="Calibri" w:cs="Calibri"/>
                <w:color w:val="6D0E28" w:themeColor="accent4" w:themeShade="80"/>
                <w:lang w:val="en-US"/>
              </w:rPr>
              <w:t>Cosentino</w:t>
            </w:r>
            <w:r w:rsidR="00C4566C">
              <w:rPr>
                <w:rFonts w:ascii="Calibri" w:hAnsi="Calibri" w:cs="Calibri"/>
                <w:color w:val="6D0E28" w:themeColor="accent4" w:themeShade="80"/>
                <w:lang w:val="en-US"/>
              </w:rPr>
              <w:t>, n.d.).</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r w:rsidRPr="00BC6F72">
              <w:rPr>
                <w:rFonts w:ascii="Calibri" w:hAnsi="Calibri" w:cs="Calibri"/>
                <w:color w:val="6D0E28" w:themeColor="accent4" w:themeShade="80"/>
                <w:lang w:val="en-US"/>
              </w:rPr>
              <w:t>Cheary</w:t>
            </w:r>
            <w:r>
              <w:rPr>
                <w:rFonts w:ascii="Calibri" w:hAnsi="Calibri" w:cs="Calibri"/>
                <w:color w:val="6D0E28" w:themeColor="accent4" w:themeShade="80"/>
                <w:lang w:val="en-US"/>
              </w:rPr>
              <w:t>, n.d.);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r w:rsidR="00FB75F6" w:rsidRPr="00FB75F6">
              <w:rPr>
                <w:rFonts w:ascii="Calibri" w:hAnsi="Calibri" w:cs="Calibri"/>
                <w:color w:val="6D0E28" w:themeColor="accent4" w:themeShade="80"/>
                <w:lang w:val="en-US"/>
              </w:rPr>
              <w:t>Eckett</w:t>
            </w:r>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lastRenderedPageBreak/>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397CCF1B" w14:textId="77777777" w:rsidR="00734AB3" w:rsidRDefault="00734AB3">
      <w:pPr>
        <w:rPr>
          <w:rFonts w:ascii="Calibri" w:hAnsi="Calibri" w:cs="Calibri"/>
          <w:b/>
          <w:bCs/>
          <w:color w:val="243E15" w:themeColor="accent3" w:themeShade="80"/>
          <w:sz w:val="32"/>
          <w:szCs w:val="32"/>
          <w:lang w:eastAsia="en-GB"/>
        </w:rPr>
      </w:pPr>
      <w:r>
        <w:rPr>
          <w:rFonts w:ascii="Calibri" w:hAnsi="Calibri" w:cs="Calibri"/>
          <w:b/>
          <w:bCs/>
          <w:color w:val="243E15" w:themeColor="accent3" w:themeShade="80"/>
          <w:sz w:val="32"/>
          <w:szCs w:val="32"/>
          <w:lang w:eastAsia="en-GB"/>
        </w:rPr>
        <w:br w:type="page"/>
      </w: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lastRenderedPageBreak/>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8"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r w:rsidRPr="007E0BF9">
              <w:rPr>
                <w:rFonts w:ascii="Calibri" w:hAnsi="Calibri" w:cs="Calibri"/>
                <w:lang w:eastAsia="en-GB"/>
              </w:rPr>
              <w:t>Satabdi</w:t>
            </w:r>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r w:rsidRPr="00C66F89">
              <w:rPr>
                <w:rFonts w:ascii="Calibri" w:hAnsi="Calibri" w:cs="Calibri"/>
                <w:lang w:eastAsia="en-GB"/>
              </w:rPr>
              <w:t>Charaba</w:t>
            </w:r>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r>
              <w:rPr>
                <w:rFonts w:ascii="Calibri" w:hAnsi="Calibri" w:cs="Calibri"/>
                <w:lang w:eastAsia="en-GB"/>
              </w:rPr>
              <w:t xml:space="preserve">Pavón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r>
              <w:rPr>
                <w:rFonts w:ascii="Calibri" w:hAnsi="Calibri" w:cs="Calibri"/>
                <w:lang w:eastAsia="en-GB"/>
              </w:rPr>
              <w:t xml:space="preserve">Soole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r>
              <w:rPr>
                <w:rFonts w:ascii="Calibri" w:hAnsi="Calibri" w:cs="Calibri"/>
                <w:lang w:eastAsia="en-GB"/>
              </w:rPr>
              <w:t xml:space="preserve">Availabe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r w:rsidRPr="00130378">
              <w:rPr>
                <w:rFonts w:ascii="Calibri" w:hAnsi="Calibri" w:cs="Calibri"/>
                <w:lang w:eastAsia="en-GB"/>
              </w:rPr>
              <w:t>Vulpen</w:t>
            </w:r>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r w:rsidRPr="00B76D16">
              <w:rPr>
                <w:rFonts w:ascii="Calibri" w:hAnsi="Calibri" w:cs="Calibri"/>
                <w:lang w:eastAsia="en-GB"/>
              </w:rPr>
              <w:t>Vulpen</w:t>
            </w:r>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r w:rsidRPr="00C4566C">
              <w:rPr>
                <w:rFonts w:ascii="Calibri" w:hAnsi="Calibri" w:cs="Calibri"/>
                <w:lang w:val="en-US" w:eastAsia="en-GB"/>
              </w:rPr>
              <w:t>Cosentino</w:t>
            </w:r>
            <w:r>
              <w:rPr>
                <w:rFonts w:ascii="Calibri" w:hAnsi="Calibri" w:cs="Calibri"/>
                <w:lang w:val="en-US" w:eastAsia="en-GB"/>
              </w:rPr>
              <w:t xml:space="preserve"> (n.d.)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lastRenderedPageBreak/>
              <w:t xml:space="preserve">Hall J., (2019) </w:t>
            </w:r>
            <w:r w:rsidRPr="0008598B">
              <w:rPr>
                <w:rFonts w:ascii="Calibri" w:hAnsi="Calibri" w:cs="Calibri"/>
                <w:i/>
                <w:iCs/>
                <w:lang w:val="en-US" w:eastAsia="en-GB"/>
              </w:rPr>
              <w:t>The Cost Of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7"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r w:rsidRPr="00BC6F72">
              <w:rPr>
                <w:rFonts w:ascii="Calibri" w:hAnsi="Calibri" w:cs="Calibri"/>
                <w:lang w:val="en-US" w:eastAsia="en-GB"/>
              </w:rPr>
              <w:t>Cheary</w:t>
            </w:r>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5F4AAC0F" w14:textId="77777777" w:rsidR="00544F98" w:rsidRDefault="00544F98" w:rsidP="00250F01">
            <w:pPr>
              <w:textAlignment w:val="baseline"/>
              <w:rPr>
                <w:rFonts w:ascii="Calibri" w:hAnsi="Calibri" w:cs="Calibri"/>
                <w:lang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50"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42086F7" w14:textId="77777777" w:rsidR="00442F7A" w:rsidRDefault="00442F7A" w:rsidP="00250F01">
            <w:pPr>
              <w:textAlignment w:val="baseline"/>
              <w:rPr>
                <w:rFonts w:ascii="Calibri" w:hAnsi="Calibri" w:cs="Calibri"/>
                <w:lang w:eastAsia="en-GB"/>
              </w:rPr>
            </w:pPr>
          </w:p>
          <w:p w14:paraId="7E0E2E5F" w14:textId="77777777" w:rsidR="00442F7A" w:rsidRDefault="00442F7A"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51"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sidR="00F53A67">
              <w:rPr>
                <w:rFonts w:ascii="Calibri" w:hAnsi="Calibri" w:cs="Calibri"/>
                <w:lang w:val="en-US" w:eastAsia="en-GB"/>
              </w:rPr>
              <w:t>.</w:t>
            </w:r>
          </w:p>
          <w:p w14:paraId="404B4C5B" w14:textId="77777777" w:rsidR="00F53A67" w:rsidRDefault="00F53A67" w:rsidP="00250F01">
            <w:pPr>
              <w:textAlignment w:val="baseline"/>
              <w:rPr>
                <w:rFonts w:ascii="Calibri" w:hAnsi="Calibri" w:cs="Calibri"/>
                <w:lang w:val="en-US" w:eastAsia="en-GB"/>
              </w:rPr>
            </w:pPr>
          </w:p>
          <w:p w14:paraId="1A7E92BD" w14:textId="77777777" w:rsidR="00F53A67" w:rsidRDefault="00F53A67"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DD9B6F2" w14:textId="77777777" w:rsidR="0078228C" w:rsidRDefault="0078228C" w:rsidP="00250F01">
            <w:pPr>
              <w:textAlignment w:val="baseline"/>
              <w:rPr>
                <w:rFonts w:ascii="Calibri" w:hAnsi="Calibri" w:cs="Calibri"/>
                <w:lang w:val="en-US" w:eastAsia="en-GB"/>
              </w:rPr>
            </w:pPr>
          </w:p>
          <w:p w14:paraId="3614675B" w14:textId="77777777" w:rsidR="0078228C" w:rsidRDefault="0078228C" w:rsidP="00250F01">
            <w:pPr>
              <w:textAlignment w:val="baseline"/>
              <w:rPr>
                <w:rFonts w:ascii="Calibri" w:hAnsi="Calibri" w:cs="Calibri"/>
                <w:lang w:val="en-US" w:eastAsia="en-GB"/>
              </w:rPr>
            </w:pPr>
            <w:r w:rsidRPr="0078228C">
              <w:rPr>
                <w:rFonts w:ascii="Calibri" w:hAnsi="Calibri" w:cs="Calibri"/>
                <w:lang w:val="en-US" w:eastAsia="en-GB"/>
              </w:rPr>
              <w:t xml:space="preserve">Eckett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53"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29CC8A" w14:textId="77777777" w:rsidR="00BD7464" w:rsidRDefault="00BD7464" w:rsidP="00250F01">
            <w:pPr>
              <w:textAlignment w:val="baseline"/>
              <w:rPr>
                <w:rFonts w:ascii="Calibri" w:hAnsi="Calibri" w:cs="Calibri"/>
                <w:lang w:val="en-US" w:eastAsia="en-GB"/>
              </w:rPr>
            </w:pPr>
          </w:p>
          <w:p w14:paraId="40C92D3A" w14:textId="77777777" w:rsidR="00BD7464" w:rsidRDefault="00BD7464" w:rsidP="00250F01">
            <w:pPr>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54"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19508E7A" w14:textId="77777777" w:rsidR="000A63BE" w:rsidRDefault="000A63BE" w:rsidP="00250F01">
            <w:pPr>
              <w:textAlignment w:val="baseline"/>
              <w:rPr>
                <w:rFonts w:ascii="Calibri" w:hAnsi="Calibri" w:cs="Calibri"/>
                <w:lang w:val="en-US" w:eastAsia="en-GB"/>
              </w:rPr>
            </w:pPr>
          </w:p>
          <w:p w14:paraId="1766883A" w14:textId="77777777" w:rsidR="000A63BE" w:rsidRDefault="000A63BE"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5"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8B647E3" w14:textId="77777777" w:rsidR="009D39B1" w:rsidRDefault="009D39B1" w:rsidP="00250F01">
            <w:pPr>
              <w:textAlignment w:val="baseline"/>
              <w:rPr>
                <w:rFonts w:ascii="Calibri" w:hAnsi="Calibri" w:cs="Calibri"/>
                <w:lang w:val="en-US" w:eastAsia="en-GB"/>
              </w:rPr>
            </w:pPr>
          </w:p>
          <w:p w14:paraId="49F0958A" w14:textId="77777777" w:rsidR="009D39B1" w:rsidRDefault="009D39B1" w:rsidP="00250F01">
            <w:pPr>
              <w:textAlignment w:val="baseline"/>
              <w:rPr>
                <w:rFonts w:ascii="Calibri" w:hAnsi="Calibri" w:cs="Calibri"/>
                <w:lang w:val="en-US" w:eastAsia="en-GB"/>
              </w:rPr>
            </w:pPr>
            <w:r>
              <w:rPr>
                <w:rFonts w:ascii="Calibri" w:hAnsi="Calibri" w:cs="Calibri"/>
                <w:lang w:val="en-US" w:eastAsia="en-GB"/>
              </w:rPr>
              <w:lastRenderedPageBreak/>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56"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460CC52" w14:textId="77777777" w:rsidR="00695CB4" w:rsidRDefault="00695CB4" w:rsidP="00250F01">
            <w:pPr>
              <w:textAlignment w:val="baseline"/>
              <w:rPr>
                <w:rFonts w:ascii="Calibri" w:hAnsi="Calibri" w:cs="Calibri"/>
                <w:lang w:val="en-US" w:eastAsia="en-GB"/>
              </w:rPr>
            </w:pPr>
          </w:p>
          <w:p w14:paraId="5EC3C0EC" w14:textId="77777777" w:rsidR="00695CB4" w:rsidRDefault="00695CB4" w:rsidP="00695CB4">
            <w:pPr>
              <w:textAlignment w:val="baseline"/>
              <w:rPr>
                <w:rFonts w:ascii="Calibri" w:hAnsi="Calibri" w:cs="Calibri"/>
                <w:lang w:val="en-US" w:eastAsia="en-GB"/>
              </w:rPr>
            </w:pPr>
            <w:r w:rsidRPr="00695CB4">
              <w:rPr>
                <w:rFonts w:ascii="Calibri" w:hAnsi="Calibri" w:cs="Calibri"/>
                <w:lang w:val="en-US" w:eastAsia="en-GB"/>
              </w:rPr>
              <w:t>Vulpen</w:t>
            </w:r>
            <w:r>
              <w:rPr>
                <w:rFonts w:ascii="Calibri" w:hAnsi="Calibri" w:cs="Calibri"/>
                <w:lang w:val="en-US" w:eastAsia="en-GB"/>
              </w:rPr>
              <w:t xml:space="preserve"> (n.d.)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57" w:history="1">
              <w:r w:rsidRPr="00BF0293">
                <w:rPr>
                  <w:rStyle w:val="Hyperlink"/>
                  <w:rFonts w:ascii="Calibri" w:hAnsi="Calibri" w:cs="Calibri"/>
                  <w:lang w:val="en-US" w:eastAsia="en-GB"/>
                </w:rPr>
                <w:t>https://www.aihr.com/blog/succession-planning/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1EEE0CE" w14:textId="77777777" w:rsidR="005C2929" w:rsidRDefault="005C2929" w:rsidP="00695CB4">
            <w:pPr>
              <w:textAlignment w:val="baseline"/>
              <w:rPr>
                <w:rFonts w:ascii="Calibri" w:hAnsi="Calibri" w:cs="Calibri"/>
                <w:lang w:val="en-US" w:eastAsia="en-GB"/>
              </w:rPr>
            </w:pPr>
          </w:p>
          <w:p w14:paraId="229E9810" w14:textId="77777777" w:rsidR="005C2929" w:rsidRDefault="005C2929" w:rsidP="00695CB4">
            <w:pPr>
              <w:textAlignment w:val="baseline"/>
              <w:rPr>
                <w:rFonts w:ascii="Calibri" w:hAnsi="Calibri" w:cs="Calibri"/>
                <w:lang w:val="en-US" w:eastAsia="en-GB"/>
              </w:rPr>
            </w:pPr>
            <w:r w:rsidRPr="005C2929">
              <w:rPr>
                <w:rFonts w:ascii="Calibri" w:hAnsi="Calibri" w:cs="Calibri"/>
                <w:lang w:val="en-US" w:eastAsia="en-GB"/>
              </w:rPr>
              <w:t>Summerfield</w:t>
            </w:r>
            <w:r>
              <w:rPr>
                <w:rFonts w:ascii="Calibri" w:hAnsi="Calibri" w:cs="Calibri"/>
                <w:lang w:val="en-US" w:eastAsia="en-GB"/>
              </w:rPr>
              <w:t xml:space="preserve"> R., (2018) </w:t>
            </w:r>
            <w:r w:rsidRPr="005C2929">
              <w:rPr>
                <w:rFonts w:ascii="Calibri" w:hAnsi="Calibri" w:cs="Calibri"/>
                <w:i/>
                <w:iCs/>
                <w:lang w:val="en-US" w:eastAsia="en-GB"/>
              </w:rPr>
              <w:t>Mitigating succession planning risk</w:t>
            </w:r>
            <w:r>
              <w:rPr>
                <w:rFonts w:ascii="Calibri" w:hAnsi="Calibri" w:cs="Calibri"/>
                <w:i/>
                <w:iCs/>
                <w:lang w:val="en-US" w:eastAsia="en-GB"/>
              </w:rPr>
              <w:t xml:space="preserve">. </w:t>
            </w:r>
            <w:r>
              <w:rPr>
                <w:rFonts w:ascii="Calibri" w:hAnsi="Calibri" w:cs="Calibri"/>
                <w:lang w:val="en-US" w:eastAsia="en-GB"/>
              </w:rPr>
              <w:t xml:space="preserve">Available at </w:t>
            </w:r>
            <w:hyperlink r:id="rId58" w:history="1">
              <w:r w:rsidRPr="008F6D7D">
                <w:rPr>
                  <w:rStyle w:val="Hyperlink"/>
                  <w:rFonts w:ascii="Calibri" w:hAnsi="Calibri" w:cs="Calibri"/>
                  <w:lang w:val="en-US" w:eastAsia="en-GB"/>
                </w:rPr>
                <w:t>https://www.financierworldwide.com/mitigating-succession-planning-risk</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B7D04BE" w14:textId="77777777" w:rsidR="004B1797" w:rsidRDefault="004B1797" w:rsidP="00695CB4">
            <w:pPr>
              <w:textAlignment w:val="baseline"/>
              <w:rPr>
                <w:rFonts w:ascii="Calibri" w:hAnsi="Calibri" w:cs="Calibri"/>
                <w:lang w:val="en-US" w:eastAsia="en-GB"/>
              </w:rPr>
            </w:pPr>
          </w:p>
          <w:p w14:paraId="51567882" w14:textId="77777777" w:rsidR="004B1797" w:rsidRDefault="004B1797" w:rsidP="004B1797">
            <w:pPr>
              <w:textAlignment w:val="baseline"/>
              <w:rPr>
                <w:rFonts w:ascii="Calibri" w:hAnsi="Calibri" w:cs="Calibri"/>
                <w:lang w:val="en-US" w:eastAsia="en-GB"/>
              </w:rPr>
            </w:pPr>
            <w:r w:rsidRPr="004B1797">
              <w:rPr>
                <w:rFonts w:ascii="Calibri" w:hAnsi="Calibri" w:cs="Calibri"/>
                <w:lang w:val="en-US" w:eastAsia="en-GB"/>
              </w:rPr>
              <w:t>Leonard</w:t>
            </w:r>
            <w:r>
              <w:rPr>
                <w:rFonts w:ascii="Calibri" w:hAnsi="Calibri" w:cs="Calibri"/>
                <w:lang w:val="en-US" w:eastAsia="en-GB"/>
              </w:rPr>
              <w:t xml:space="preserve"> K., (2023) </w:t>
            </w:r>
            <w:r w:rsidRPr="004B1797">
              <w:rPr>
                <w:rFonts w:ascii="Calibri" w:hAnsi="Calibri" w:cs="Calibri"/>
                <w:i/>
                <w:iCs/>
                <w:lang w:val="en-US" w:eastAsia="en-GB"/>
              </w:rPr>
              <w:t xml:space="preserve">What Is </w:t>
            </w:r>
            <w:r>
              <w:rPr>
                <w:rFonts w:ascii="Calibri" w:hAnsi="Calibri" w:cs="Calibri"/>
                <w:i/>
                <w:iCs/>
                <w:lang w:val="en-US" w:eastAsia="en-GB"/>
              </w:rPr>
              <w:t>a</w:t>
            </w:r>
            <w:r w:rsidRPr="004B1797">
              <w:rPr>
                <w:rFonts w:ascii="Calibri" w:hAnsi="Calibri" w:cs="Calibri"/>
                <w:i/>
                <w:iCs/>
                <w:lang w:val="en-US" w:eastAsia="en-GB"/>
              </w:rPr>
              <w:t xml:space="preserve"> Contingency Plan &amp; How Do You Create One?</w:t>
            </w:r>
            <w:r>
              <w:rPr>
                <w:rFonts w:ascii="Calibri" w:hAnsi="Calibri" w:cs="Calibri"/>
                <w:i/>
                <w:iCs/>
                <w:lang w:val="en-US" w:eastAsia="en-GB"/>
              </w:rPr>
              <w:t xml:space="preserve"> </w:t>
            </w:r>
            <w:r>
              <w:rPr>
                <w:rFonts w:ascii="Calibri" w:hAnsi="Calibri" w:cs="Calibri"/>
                <w:lang w:val="en-US" w:eastAsia="en-GB"/>
              </w:rPr>
              <w:t xml:space="preserve">Available at </w:t>
            </w:r>
            <w:hyperlink r:id="rId59" w:history="1">
              <w:r w:rsidRPr="008F6D7D">
                <w:rPr>
                  <w:rStyle w:val="Hyperlink"/>
                  <w:rFonts w:ascii="Calibri" w:hAnsi="Calibri" w:cs="Calibri"/>
                  <w:lang w:val="en-US" w:eastAsia="en-GB"/>
                </w:rPr>
                <w:t>https://www.forbes.com/advisor/business/contingency-plan/</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DB08099" w14:textId="77777777" w:rsidR="004B1797" w:rsidRDefault="004B1797" w:rsidP="00695CB4">
            <w:pPr>
              <w:textAlignment w:val="baseline"/>
              <w:rPr>
                <w:rFonts w:ascii="Calibri" w:hAnsi="Calibri" w:cs="Calibri"/>
                <w:lang w:val="en-US" w:eastAsia="en-GB"/>
              </w:rPr>
            </w:pPr>
          </w:p>
          <w:p w14:paraId="6AFC5276" w14:textId="09526BDD" w:rsidR="0072147C" w:rsidRPr="0072147C" w:rsidRDefault="0072147C" w:rsidP="00695CB4">
            <w:pPr>
              <w:textAlignment w:val="baseline"/>
              <w:rPr>
                <w:rFonts w:ascii="Calibri" w:hAnsi="Calibri" w:cs="Calibri"/>
                <w:lang w:val="en-US" w:eastAsia="en-GB"/>
              </w:rPr>
            </w:pPr>
            <w:r w:rsidRPr="0072147C">
              <w:rPr>
                <w:rFonts w:ascii="Calibri" w:hAnsi="Calibri" w:cs="Calibri"/>
                <w:lang w:val="en-US" w:eastAsia="en-GB"/>
              </w:rPr>
              <w:t>Eatough</w:t>
            </w:r>
            <w:r>
              <w:rPr>
                <w:rFonts w:ascii="Calibri" w:hAnsi="Calibri" w:cs="Calibri"/>
                <w:lang w:val="en-US" w:eastAsia="en-GB"/>
              </w:rPr>
              <w:t xml:space="preserve"> E., (2021) </w:t>
            </w:r>
            <w:r w:rsidRPr="0072147C">
              <w:rPr>
                <w:rFonts w:ascii="Calibri" w:hAnsi="Calibri" w:cs="Calibri"/>
                <w:i/>
                <w:iCs/>
                <w:lang w:val="en-US" w:eastAsia="en-GB"/>
              </w:rPr>
              <w:t>Contingent workforce management: what employers need to know</w:t>
            </w:r>
            <w:r>
              <w:rPr>
                <w:rFonts w:ascii="Calibri" w:hAnsi="Calibri" w:cs="Calibri"/>
                <w:i/>
                <w:iCs/>
                <w:lang w:val="en-US" w:eastAsia="en-GB"/>
              </w:rPr>
              <w:t xml:space="preserve">. </w:t>
            </w:r>
            <w:r>
              <w:rPr>
                <w:rFonts w:ascii="Calibri" w:hAnsi="Calibri" w:cs="Calibri"/>
                <w:lang w:val="en-US" w:eastAsia="en-GB"/>
              </w:rPr>
              <w:t xml:space="preserve">Available at </w:t>
            </w:r>
            <w:hyperlink r:id="rId60" w:history="1">
              <w:r w:rsidRPr="008F6D7D">
                <w:rPr>
                  <w:rStyle w:val="Hyperlink"/>
                  <w:rFonts w:ascii="Calibri" w:hAnsi="Calibri" w:cs="Calibri"/>
                  <w:lang w:val="en-US" w:eastAsia="en-GB"/>
                </w:rPr>
                <w:t>https://www.betterup.com/blog/contingent-workforce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w:lastRenderedPageBreak/>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219FE" w:rsidRDefault="006219FE"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" fillcolor="white [3201]" strokeweight=".5pt">
                <v:textbox>
                  <w:txbxContent>
                    <w:p w14:paraId="0D5A4BDF" w14:textId="77777777" w:rsidR="006219FE" w:rsidRDefault="006219FE" w:rsidP="00F71DD0"/>
                  </w:txbxContent>
                </v:textbox>
              </v:shape>
            </w:pict>
          </mc:Fallback>
        </mc:AlternateContent>
      </w:r>
      <w:r w:rsidR="00822B8D" w:rsidRPr="003313CF">
        <w:rPr>
          <w:rFonts w:ascii="Calibri" w:hAnsi="Calibri" w:cs="Calibri"/>
        </w:rPr>
        <w:t xml:space="preserve">Declaration by Assessor </w:t>
      </w:r>
      <w:bookmarkStart w:id="4"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4"/>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61"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62"/>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4A29B" w14:textId="77777777" w:rsidR="002141C0" w:rsidRDefault="002141C0" w:rsidP="00CB3ADD">
      <w:r>
        <w:separator/>
      </w:r>
    </w:p>
  </w:endnote>
  <w:endnote w:type="continuationSeparator" w:id="0">
    <w:p w14:paraId="5F464FA6" w14:textId="77777777" w:rsidR="002141C0" w:rsidRDefault="002141C0" w:rsidP="00CB3ADD">
      <w:r>
        <w:continuationSeparator/>
      </w:r>
    </w:p>
  </w:endnote>
  <w:endnote w:type="continuationNotice" w:id="1">
    <w:p w14:paraId="3B037DEE" w14:textId="77777777" w:rsidR="002141C0" w:rsidRDefault="002141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691DE" w14:textId="0C42FEE5" w:rsidR="006219FE" w:rsidRDefault="006219FE">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523CE">
          <w:rPr>
            <w:noProof/>
          </w:rPr>
          <w:t>20</w:t>
        </w:r>
        <w:r>
          <w:rPr>
            <w:noProof/>
          </w:rPr>
          <w:fldChar w:fldCharType="end"/>
        </w:r>
      </w:sdtContent>
    </w:sdt>
  </w:p>
  <w:p w14:paraId="2EF43B00" w14:textId="79CD9C3F" w:rsidR="006219FE" w:rsidRDefault="006219FE"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283A" w14:textId="0DBC8F95" w:rsidR="006219FE" w:rsidRDefault="006219FE">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4B652" w14:textId="77777777" w:rsidR="002141C0" w:rsidRDefault="002141C0" w:rsidP="00CB3ADD">
      <w:r>
        <w:separator/>
      </w:r>
    </w:p>
  </w:footnote>
  <w:footnote w:type="continuationSeparator" w:id="0">
    <w:p w14:paraId="07C5404F" w14:textId="77777777" w:rsidR="002141C0" w:rsidRDefault="002141C0" w:rsidP="00CB3ADD">
      <w:r>
        <w:continuationSeparator/>
      </w:r>
    </w:p>
  </w:footnote>
  <w:footnote w:type="continuationNotice" w:id="1">
    <w:p w14:paraId="107F3EB2" w14:textId="77777777" w:rsidR="002141C0" w:rsidRDefault="002141C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AF7B" w14:textId="77777777" w:rsidR="006219FE" w:rsidRPr="009F0B2F" w:rsidRDefault="006219F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7DDC" w14:textId="6A4B0D0F" w:rsidR="006219FE" w:rsidRDefault="006219FE">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A9578" w14:textId="77777777" w:rsidR="006219FE" w:rsidRPr="009F0B2F" w:rsidRDefault="006219F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A3B"/>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40E5F"/>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8"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7"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5"/>
  </w:num>
  <w:num w:numId="3">
    <w:abstractNumId w:val="43"/>
  </w:num>
  <w:num w:numId="4">
    <w:abstractNumId w:val="34"/>
  </w:num>
  <w:num w:numId="5">
    <w:abstractNumId w:val="23"/>
  </w:num>
  <w:num w:numId="6">
    <w:abstractNumId w:val="7"/>
  </w:num>
  <w:num w:numId="7">
    <w:abstractNumId w:val="35"/>
  </w:num>
  <w:num w:numId="8">
    <w:abstractNumId w:val="10"/>
  </w:num>
  <w:num w:numId="9">
    <w:abstractNumId w:val="15"/>
  </w:num>
  <w:num w:numId="10">
    <w:abstractNumId w:val="26"/>
  </w:num>
  <w:num w:numId="11">
    <w:abstractNumId w:val="9"/>
  </w:num>
  <w:num w:numId="12">
    <w:abstractNumId w:val="21"/>
  </w:num>
  <w:num w:numId="13">
    <w:abstractNumId w:val="44"/>
  </w:num>
  <w:num w:numId="14">
    <w:abstractNumId w:val="19"/>
  </w:num>
  <w:num w:numId="15">
    <w:abstractNumId w:val="30"/>
  </w:num>
  <w:num w:numId="16">
    <w:abstractNumId w:val="42"/>
  </w:num>
  <w:num w:numId="17">
    <w:abstractNumId w:val="41"/>
  </w:num>
  <w:num w:numId="18">
    <w:abstractNumId w:val="32"/>
  </w:num>
  <w:num w:numId="19">
    <w:abstractNumId w:val="27"/>
  </w:num>
  <w:num w:numId="20">
    <w:abstractNumId w:val="12"/>
  </w:num>
  <w:num w:numId="21">
    <w:abstractNumId w:val="24"/>
  </w:num>
  <w:num w:numId="22">
    <w:abstractNumId w:val="28"/>
  </w:num>
  <w:num w:numId="23">
    <w:abstractNumId w:val="5"/>
  </w:num>
  <w:num w:numId="24">
    <w:abstractNumId w:val="1"/>
  </w:num>
  <w:num w:numId="25">
    <w:abstractNumId w:val="6"/>
  </w:num>
  <w:num w:numId="26">
    <w:abstractNumId w:val="8"/>
  </w:num>
  <w:num w:numId="27">
    <w:abstractNumId w:val="37"/>
  </w:num>
  <w:num w:numId="28">
    <w:abstractNumId w:val="31"/>
  </w:num>
  <w:num w:numId="29">
    <w:abstractNumId w:val="33"/>
  </w:num>
  <w:num w:numId="30">
    <w:abstractNumId w:val="29"/>
  </w:num>
  <w:num w:numId="31">
    <w:abstractNumId w:val="18"/>
  </w:num>
  <w:num w:numId="32">
    <w:abstractNumId w:val="3"/>
  </w:num>
  <w:num w:numId="33">
    <w:abstractNumId w:val="20"/>
  </w:num>
  <w:num w:numId="34">
    <w:abstractNumId w:val="40"/>
  </w:num>
  <w:num w:numId="35">
    <w:abstractNumId w:val="14"/>
  </w:num>
  <w:num w:numId="36">
    <w:abstractNumId w:val="13"/>
  </w:num>
  <w:num w:numId="37">
    <w:abstractNumId w:val="38"/>
  </w:num>
  <w:num w:numId="38">
    <w:abstractNumId w:val="2"/>
  </w:num>
  <w:num w:numId="39">
    <w:abstractNumId w:val="11"/>
  </w:num>
  <w:num w:numId="40">
    <w:abstractNumId w:val="36"/>
  </w:num>
  <w:num w:numId="41">
    <w:abstractNumId w:val="17"/>
  </w:num>
  <w:num w:numId="42">
    <w:abstractNumId w:val="22"/>
  </w:num>
  <w:num w:numId="43">
    <w:abstractNumId w:val="39"/>
  </w:num>
  <w:num w:numId="44">
    <w:abstractNumId w:val="0"/>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1CE5"/>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AE3"/>
    <w:rsid w:val="00210BFD"/>
    <w:rsid w:val="00210EB6"/>
    <w:rsid w:val="00210F1B"/>
    <w:rsid w:val="00212054"/>
    <w:rsid w:val="00213E89"/>
    <w:rsid w:val="002141C0"/>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2B71"/>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1797"/>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7EDC"/>
    <w:rsid w:val="005B02F7"/>
    <w:rsid w:val="005B4425"/>
    <w:rsid w:val="005C026E"/>
    <w:rsid w:val="005C164D"/>
    <w:rsid w:val="005C2929"/>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E5C10"/>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19FE"/>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3CE"/>
    <w:rsid w:val="00652C9F"/>
    <w:rsid w:val="006555F2"/>
    <w:rsid w:val="00655B97"/>
    <w:rsid w:val="006562F3"/>
    <w:rsid w:val="00660BDF"/>
    <w:rsid w:val="006619D5"/>
    <w:rsid w:val="00661B79"/>
    <w:rsid w:val="006641B0"/>
    <w:rsid w:val="00665FF2"/>
    <w:rsid w:val="0066673E"/>
    <w:rsid w:val="00666790"/>
    <w:rsid w:val="00666836"/>
    <w:rsid w:val="00666E27"/>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147C"/>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28C"/>
    <w:rsid w:val="00782DD4"/>
    <w:rsid w:val="00784065"/>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4B1A"/>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52D"/>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3A3"/>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2A4"/>
    <w:rsid w:val="009C75FB"/>
    <w:rsid w:val="009D07C6"/>
    <w:rsid w:val="009D0C35"/>
    <w:rsid w:val="009D28B6"/>
    <w:rsid w:val="009D39B1"/>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206"/>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2A85"/>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4563"/>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C32"/>
    <w:rsid w:val="00BC6CE7"/>
    <w:rsid w:val="00BC6EEB"/>
    <w:rsid w:val="00BC6F72"/>
    <w:rsid w:val="00BC73A4"/>
    <w:rsid w:val="00BD237D"/>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379A"/>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920"/>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4EF2"/>
    <w:rsid w:val="00F750C4"/>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056"/>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F0"/>
    <w:rPr>
      <w:rFonts w:ascii="Times New Roman" w:eastAsia="Times New Roman" w:hAnsi="Times New Roman" w:cs="Times New Roman"/>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6">
    <w:name w:val="Unresolved Mention6"/>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5C2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mag.co.uk/how-to-bridge-the-current-skills-gap-within-the-energy-sector/" TargetMode="External"/><Relationship Id="rId21" Type="http://schemas.openxmlformats.org/officeDocument/2006/relationships/hyperlink" Target="https://www.talscale.com/blog/employer-branding-in-recruitment-why-it-is-important" TargetMode="External"/><Relationship Id="rId34" Type="http://schemas.openxmlformats.org/officeDocument/2006/relationships/hyperlink" Target="https://www.linkedin.com/pulse/general-introduction-techniques-hr-planning-gia-linh-nguyen/" TargetMode="External"/><Relationship Id="rId42" Type="http://schemas.openxmlformats.org/officeDocument/2006/relationships/hyperlink" Target="https://www.aihr.com/blog/dysfunctional-turnover/" TargetMode="External"/><Relationship Id="rId47" Type="http://schemas.openxmlformats.org/officeDocument/2006/relationships/hyperlink" Target="https://www.gov.uk/contract-types-and-employer-responsibilities/zero-hour-contracts" TargetMode="External"/><Relationship Id="rId50" Type="http://schemas.openxmlformats.org/officeDocument/2006/relationships/hyperlink" Target="https://www.gov.uk/contract-types-and-employer-responsibilities/agency-staff" TargetMode="External"/><Relationship Id="rId55" Type="http://schemas.openxmlformats.org/officeDocument/2006/relationships/hyperlink" Target="https://www.shrm.org/resourcesandtools/hr-topics/talent-acquisition/pages/new-employee-onboarding-guide.aspx"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youtube.com/watch?v=JecvLpZFtfA" TargetMode="Externa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hyperlink" Target="https://www.cipd.org/en/knowledge/factsheets/talent-factsheet" TargetMode="External"/><Relationship Id="rId45" Type="http://schemas.openxmlformats.org/officeDocument/2006/relationships/hyperlink" Target="https://www.indeed.com/career-advice/finding-a-job/types-of-contracts-employment" TargetMode="External"/><Relationship Id="rId53" Type="http://schemas.openxmlformats.org/officeDocument/2006/relationships/hyperlink" Target="https://www.hrzone.com/lead/culture/a-legal-guide-to-custom-and-practice-for-hr" TargetMode="External"/><Relationship Id="rId58" Type="http://schemas.openxmlformats.org/officeDocument/2006/relationships/hyperlink" Target="https://www.financierworldwide.com/mitigating-succession-planning-risk" TargetMode="External"/><Relationship Id="rId5" Type="http://schemas.openxmlformats.org/officeDocument/2006/relationships/numbering" Target="numbering.xml"/><Relationship Id="rId61" Type="http://schemas.openxmlformats.org/officeDocument/2006/relationships/image" Target="media/image6.png"/><Relationship Id="rId19" Type="http://schemas.openxmlformats.org/officeDocument/2006/relationships/hyperlink" Target="http://andrewwaleslod.co.uk/learning-resources-how-organisations-position-themselves-in-competitive-labour-markets/" TargetMode="Externa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hyperlink" Target="https://www.forbes.com/sites/johnhall/2019/05/09/the-cost-of-turnover-can-kill-your-business-and-make-things-less-fun/?sh=7b677b457943" TargetMode="External"/><Relationship Id="rId48" Type="http://schemas.openxmlformats.org/officeDocument/2006/relationships/hyperlink" Target="https://www.gov.uk/contract-types-and-employer-responsibilities/fixedterm-contracts" TargetMode="External"/><Relationship Id="rId56" Type="http://schemas.openxmlformats.org/officeDocument/2006/relationships/hyperlink" Target="https://www.hrcloud.com/blog/onboarding-best-practices-the-4-cs"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acas.org.uk/what-an-employment-contract-i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 Id="rId46" Type="http://schemas.openxmlformats.org/officeDocument/2006/relationships/hyperlink" Target="https://www.cipd.org/uk/knowledge/factsheets/terms-conditions-contracts-factsheet/" TargetMode="External"/><Relationship Id="rId59" Type="http://schemas.openxmlformats.org/officeDocument/2006/relationships/hyperlink" Target="https://www.forbes.com/advisor/business/contingency-plan/" TargetMode="External"/><Relationship Id="rId20" Type="http://schemas.openxmlformats.org/officeDocument/2006/relationships/hyperlink" Target="https://www.cipd.org/en/knowledge/factsheets/recruitment-brand-factsheet/" TargetMode="External"/><Relationship Id="rId41" Type="http://schemas.openxmlformats.org/officeDocument/2006/relationships/hyperlink" Target="https://www.aihr.com/blog/what-is-talent-management/" TargetMode="External"/><Relationship Id="rId54" Type="http://schemas.openxmlformats.org/officeDocument/2006/relationships/hyperlink" Target="https://psycnet.apa.org/record/2010-06019-002"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49" Type="http://schemas.openxmlformats.org/officeDocument/2006/relationships/hyperlink" Target="https://www.reed.co.uk/career-advice/types-of-employment-contracts/" TargetMode="External"/><Relationship Id="rId57" Type="http://schemas.openxmlformats.org/officeDocument/2006/relationships/hyperlink" Target="https://www.aihr.com/blog/succession-planning/" TargetMode="External"/><Relationship Id="rId10" Type="http://schemas.openxmlformats.org/officeDocument/2006/relationships/endnotes" Target="endnotes.xml"/><Relationship Id="rId31" Type="http://schemas.openxmlformats.org/officeDocument/2006/relationships/hyperlink" Target="https://www.forbes.com/advisor/business/workforce-planning/" TargetMode="External"/><Relationship Id="rId44" Type="http://schemas.openxmlformats.org/officeDocument/2006/relationships/hyperlink" Target="https://lrshrm.shrm.org/blog/2017/10/essential-elements-employee-retention" TargetMode="External"/><Relationship Id="rId52" Type="http://schemas.openxmlformats.org/officeDocument/2006/relationships/hyperlink" Target="https://harperjames.co.uk/article/contracts-express-and-implied-terms/" TargetMode="External"/><Relationship Id="rId60" Type="http://schemas.openxmlformats.org/officeDocument/2006/relationships/hyperlink" Target="https://www.betterup.com/blog/contingent-workforce" TargetMode="External"/><Relationship Id="rId65"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39" Type="http://schemas.openxmlformats.org/officeDocument/2006/relationships/hyperlink" Target="https://hbr.org/1973/07/why-employees-sta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F1755BEC-6353-439C-879A-B51D2D33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Pages>
  <Words>7877</Words>
  <Characters>44904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111</cp:revision>
  <dcterms:created xsi:type="dcterms:W3CDTF">2023-07-27T10:42:00Z</dcterms:created>
  <dcterms:modified xsi:type="dcterms:W3CDTF">2023-09-04T12:25:00Z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