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lastRenderedPageBreak/>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1F7C3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Learning and development is a continuous process that starts form the first day of the employee through onboarding activities. It can be done individually (coaching and mentoring) or in </w:t>
                  </w:r>
                  <w:r>
                    <w:rPr>
                      <w:rFonts w:ascii="Calibri" w:hAnsi="Calibri" w:cs="Calibri"/>
                      <w:color w:val="6D0E28" w:themeColor="accent4" w:themeShade="80"/>
                      <w:lang w:val="en-US"/>
                    </w:rPr>
                    <w:lastRenderedPageBreak/>
                    <w:t>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2019</w:t>
            </w:r>
            <w:r w:rsidR="00341C74">
              <w:rPr>
                <w:rFonts w:ascii="Calibri" w:hAnsi="Calibri" w:cs="Calibri"/>
                <w:color w:val="6D0E28" w:themeColor="accent4" w:themeShade="80"/>
                <w:lang w:val="en-US"/>
              </w:rPr>
              <w:t xml:space="preserve">).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10F71CA7"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w:t>
            </w:r>
            <w:proofErr w:type="gramStart"/>
            <w:r w:rsidR="00696003">
              <w:rPr>
                <w:rFonts w:ascii="Calibri" w:hAnsi="Calibri" w:cs="Calibri"/>
                <w:color w:val="6D0E28" w:themeColor="accent4" w:themeShade="80"/>
                <w:lang w:val="en-US"/>
              </w:rPr>
              <w:t>employees</w:t>
            </w:r>
            <w:proofErr w:type="gramEnd"/>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lastRenderedPageBreak/>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5A246D30" w14:textId="77777777" w:rsidR="009B4417" w:rsidRDefault="009B4417" w:rsidP="006969E2">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6969E2">
            <w:pPr>
              <w:jc w:val="both"/>
              <w:rPr>
                <w:rFonts w:ascii="Calibri" w:hAnsi="Calibri" w:cs="Calibri"/>
                <w:b/>
                <w:bCs/>
                <w:sz w:val="20"/>
                <w:szCs w:val="20"/>
              </w:rPr>
            </w:pP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76780E8D" w14:textId="3FDB4593"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CC560E">
        <w:trPr>
          <w:trHeight w:val="9699"/>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lastRenderedPageBreak/>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r w:rsidR="00000000">
              <w:fldChar w:fldCharType="begin"/>
            </w:r>
            <w:r w:rsidR="00000000">
              <w:instrText>HYPERLINK "https://www.investopedia.com/terms/l/labor-market.asp"</w:instrText>
            </w:r>
            <w:r w:rsidR="00000000">
              <w:fldChar w:fldCharType="separate"/>
            </w:r>
            <w:r w:rsidRPr="00C67842">
              <w:rPr>
                <w:rStyle w:val="Hyperlink"/>
                <w:rFonts w:ascii="Calibri" w:hAnsi="Calibri" w:cs="Calibri"/>
                <w:szCs w:val="22"/>
                <w:lang w:eastAsia="en-GB"/>
              </w:rPr>
              <w:t>https://www.investopedia.com/terms/l/labor-market.asp</w:t>
            </w:r>
            <w:r w:rsidR="00000000">
              <w:rPr>
                <w:rStyle w:val="Hyperlink"/>
                <w:rFonts w:ascii="Calibri" w:hAnsi="Calibri" w:cs="Calibri"/>
                <w:szCs w:val="22"/>
                <w:lang w:eastAsia="en-GB"/>
              </w:rPr>
              <w:fldChar w:fldCharType="end"/>
            </w:r>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77777777" w:rsidR="00822B8D" w:rsidRDefault="00822B8D" w:rsidP="006969E2">
            <w:pPr>
              <w:textAlignment w:val="baseline"/>
              <w:rPr>
                <w:rFonts w:ascii="Calibri" w:hAnsi="Calibri" w:cs="Calibri"/>
                <w:szCs w:val="22"/>
                <w:lang w:eastAsia="en-GB"/>
              </w:rPr>
            </w:pPr>
            <w:r w:rsidRPr="00870C61">
              <w:rPr>
                <w:rFonts w:ascii="Calibri" w:hAnsi="Calibri" w:cs="Calibri"/>
                <w:szCs w:val="22"/>
                <w:lang w:eastAsia="en-GB"/>
              </w:rPr>
              <w:t> </w:t>
            </w:r>
            <w:r w:rsidR="00CC285B">
              <w:rPr>
                <w:rFonts w:ascii="Calibri" w:hAnsi="Calibri" w:cs="Calibri"/>
                <w:szCs w:val="22"/>
                <w:lang w:eastAsia="en-GB"/>
              </w:rPr>
              <w:t xml:space="preserve">White C., (2022) </w:t>
            </w:r>
            <w:r w:rsidR="00CC285B" w:rsidRPr="00CC285B">
              <w:rPr>
                <w:rFonts w:ascii="Calibri" w:hAnsi="Calibri" w:cs="Calibri"/>
                <w:i/>
                <w:iCs/>
                <w:szCs w:val="22"/>
                <w:lang w:eastAsia="en-GB"/>
              </w:rPr>
              <w:t>What's a Competitive Analysis &amp; How Do You Conduct One?</w:t>
            </w:r>
            <w:r w:rsidR="00CC285B">
              <w:rPr>
                <w:rFonts w:ascii="Calibri" w:hAnsi="Calibri" w:cs="Calibri"/>
                <w:i/>
                <w:iCs/>
                <w:szCs w:val="22"/>
                <w:lang w:eastAsia="en-GB"/>
              </w:rPr>
              <w:t xml:space="preserve"> </w:t>
            </w:r>
            <w:r w:rsidR="00CC285B">
              <w:rPr>
                <w:rFonts w:ascii="Calibri" w:hAnsi="Calibri" w:cs="Calibri"/>
                <w:szCs w:val="22"/>
                <w:lang w:eastAsia="en-GB"/>
              </w:rPr>
              <w:t xml:space="preserve">Available at </w:t>
            </w:r>
            <w:r w:rsidR="00000000">
              <w:fldChar w:fldCharType="begin"/>
            </w:r>
            <w:r w:rsidR="00000000">
              <w:instrText>HYPERLINK "https://blog.hubspot.com/marketing/competitive-analysis-kit"</w:instrText>
            </w:r>
            <w:r w:rsidR="00000000">
              <w:fldChar w:fldCharType="separate"/>
            </w:r>
            <w:r w:rsidR="00CC285B" w:rsidRPr="00C67842">
              <w:rPr>
                <w:rStyle w:val="Hyperlink"/>
                <w:rFonts w:ascii="Calibri" w:hAnsi="Calibri" w:cs="Calibri"/>
                <w:szCs w:val="22"/>
                <w:lang w:eastAsia="en-GB"/>
              </w:rPr>
              <w:t>https://blog.hubspot.com/marketing/competitive-analysis-kit</w:t>
            </w:r>
            <w:r w:rsidR="00000000">
              <w:rPr>
                <w:rStyle w:val="Hyperlink"/>
                <w:rFonts w:ascii="Calibri" w:hAnsi="Calibri" w:cs="Calibri"/>
                <w:szCs w:val="22"/>
                <w:lang w:eastAsia="en-GB"/>
              </w:rPr>
              <w:fldChar w:fldCharType="end"/>
            </w:r>
            <w:r w:rsidR="00CC285B">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r w:rsidR="00000000">
              <w:fldChar w:fldCharType="begin"/>
            </w:r>
            <w:r w:rsidR="00000000">
              <w:instrText>HYPERLINK "http://andrewwaleslod.co.uk/learning-resources-how-organisations-position-themselves-in-competitive-labour-markets/"</w:instrText>
            </w:r>
            <w:r w:rsidR="00000000">
              <w:fldChar w:fldCharType="separate"/>
            </w:r>
            <w:r w:rsidRPr="00C67842">
              <w:rPr>
                <w:rStyle w:val="Hyperlink"/>
                <w:rFonts w:ascii="Calibri" w:hAnsi="Calibri" w:cs="Calibri"/>
                <w:szCs w:val="22"/>
                <w:lang w:eastAsia="en-GB"/>
              </w:rPr>
              <w:t>http://andrewwaleslod.co.uk/learning-resources-how-organisations-position-themselves-in-competitive-labour-markets/</w:t>
            </w:r>
            <w:r w:rsidR="00000000">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18"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19"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0"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2"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3"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4"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5"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6"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lastRenderedPageBreak/>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27"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28"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29"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3"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4"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6"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37"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r w:rsidRPr="00B76D16">
              <w:rPr>
                <w:rFonts w:ascii="Calibri" w:hAnsi="Calibri" w:cs="Calibri"/>
                <w:lang w:eastAsia="en-GB"/>
              </w:rPr>
              <w:t>Vulpen</w:t>
            </w:r>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38"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https://www.aihr.</w:t>
              </w:r>
              <w:r w:rsidRPr="000455EE">
                <w:rPr>
                  <w:rStyle w:val="Hyperlink"/>
                  <w:rFonts w:ascii="Calibri" w:hAnsi="Calibri" w:cs="Calibri"/>
                  <w:lang w:val="en-US" w:eastAsia="en-GB"/>
                </w:rPr>
                <w:t>c</w:t>
              </w:r>
              <w:r w:rsidRPr="000455EE">
                <w:rPr>
                  <w:rStyle w:val="Hyperlink"/>
                  <w:rFonts w:ascii="Calibri" w:hAnsi="Calibri" w:cs="Calibri"/>
                  <w:lang w:val="en-US" w:eastAsia="en-GB"/>
                </w:rPr>
                <w:t>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AFC5276" w14:textId="014A3A88" w:rsidR="0008598B" w:rsidRPr="0008598B" w:rsidRDefault="0008598B" w:rsidP="00E405F2">
            <w:pPr>
              <w:textAlignment w:val="baseline"/>
              <w:rPr>
                <w:rFonts w:ascii="Calibri" w:hAnsi="Calibri" w:cs="Calibri"/>
                <w:lang w:val="en-US" w:eastAsia="en-GB"/>
              </w:rPr>
            </w:pPr>
            <w:r>
              <w:rPr>
                <w:rFonts w:ascii="Calibri" w:hAnsi="Calibri" w:cs="Calibri"/>
                <w:lang w:val="en-US" w:eastAsia="en-GB"/>
              </w:rPr>
              <w:lastRenderedPageBreak/>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lastRenderedPageBreak/>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lastRenderedPageBreak/>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43"/>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341A" w14:textId="77777777" w:rsidR="00FD2957" w:rsidRDefault="00FD2957" w:rsidP="00CB3ADD">
      <w:r>
        <w:separator/>
      </w:r>
    </w:p>
  </w:endnote>
  <w:endnote w:type="continuationSeparator" w:id="0">
    <w:p w14:paraId="71569180" w14:textId="77777777" w:rsidR="00FD2957" w:rsidRDefault="00FD2957" w:rsidP="00CB3ADD">
      <w:r>
        <w:continuationSeparator/>
      </w:r>
    </w:p>
  </w:endnote>
  <w:endnote w:type="continuationNotice" w:id="1">
    <w:p w14:paraId="52BF8DFB" w14:textId="77777777" w:rsidR="00FD2957" w:rsidRDefault="00FD2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500C" w14:textId="77777777" w:rsidR="00FD2957" w:rsidRDefault="00FD2957" w:rsidP="00CB3ADD">
      <w:r>
        <w:separator/>
      </w:r>
    </w:p>
  </w:footnote>
  <w:footnote w:type="continuationSeparator" w:id="0">
    <w:p w14:paraId="3C66FABD" w14:textId="77777777" w:rsidR="00FD2957" w:rsidRDefault="00FD2957" w:rsidP="00CB3ADD">
      <w:r>
        <w:continuationSeparator/>
      </w:r>
    </w:p>
  </w:footnote>
  <w:footnote w:type="continuationNotice" w:id="1">
    <w:p w14:paraId="0F09462D" w14:textId="77777777" w:rsidR="00FD2957" w:rsidRDefault="00FD29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9DA4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3"/>
  </w:num>
  <w:num w:numId="3" w16cid:durableId="1830251789">
    <w:abstractNumId w:val="41"/>
  </w:num>
  <w:num w:numId="4" w16cid:durableId="1407268254">
    <w:abstractNumId w:val="32"/>
  </w:num>
  <w:num w:numId="5" w16cid:durableId="1582331321">
    <w:abstractNumId w:val="21"/>
  </w:num>
  <w:num w:numId="6" w16cid:durableId="770856364">
    <w:abstractNumId w:val="6"/>
  </w:num>
  <w:num w:numId="7" w16cid:durableId="770932616">
    <w:abstractNumId w:val="33"/>
  </w:num>
  <w:num w:numId="8" w16cid:durableId="2039117924">
    <w:abstractNumId w:val="9"/>
  </w:num>
  <w:num w:numId="9" w16cid:durableId="648021993">
    <w:abstractNumId w:val="14"/>
  </w:num>
  <w:num w:numId="10" w16cid:durableId="783887368">
    <w:abstractNumId w:val="24"/>
  </w:num>
  <w:num w:numId="11" w16cid:durableId="467747513">
    <w:abstractNumId w:val="8"/>
  </w:num>
  <w:num w:numId="12" w16cid:durableId="376247412">
    <w:abstractNumId w:val="19"/>
  </w:num>
  <w:num w:numId="13" w16cid:durableId="1706103589">
    <w:abstractNumId w:val="42"/>
  </w:num>
  <w:num w:numId="14" w16cid:durableId="1592473787">
    <w:abstractNumId w:val="17"/>
  </w:num>
  <w:num w:numId="15" w16cid:durableId="1791705741">
    <w:abstractNumId w:val="28"/>
  </w:num>
  <w:num w:numId="16" w16cid:durableId="1651249677">
    <w:abstractNumId w:val="40"/>
  </w:num>
  <w:num w:numId="17" w16cid:durableId="1694384437">
    <w:abstractNumId w:val="39"/>
  </w:num>
  <w:num w:numId="18" w16cid:durableId="257325255">
    <w:abstractNumId w:val="30"/>
  </w:num>
  <w:num w:numId="19" w16cid:durableId="1611741637">
    <w:abstractNumId w:val="25"/>
  </w:num>
  <w:num w:numId="20" w16cid:durableId="2073308616">
    <w:abstractNumId w:val="11"/>
  </w:num>
  <w:num w:numId="21" w16cid:durableId="938293903">
    <w:abstractNumId w:val="22"/>
  </w:num>
  <w:num w:numId="22" w16cid:durableId="2094743288">
    <w:abstractNumId w:val="26"/>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5"/>
  </w:num>
  <w:num w:numId="28" w16cid:durableId="1114860568">
    <w:abstractNumId w:val="29"/>
  </w:num>
  <w:num w:numId="29" w16cid:durableId="1427000420">
    <w:abstractNumId w:val="31"/>
  </w:num>
  <w:num w:numId="30" w16cid:durableId="321928135">
    <w:abstractNumId w:val="27"/>
  </w:num>
  <w:num w:numId="31" w16cid:durableId="161046179">
    <w:abstractNumId w:val="16"/>
  </w:num>
  <w:num w:numId="32" w16cid:durableId="1046831221">
    <w:abstractNumId w:val="2"/>
  </w:num>
  <w:num w:numId="33" w16cid:durableId="1102384214">
    <w:abstractNumId w:val="18"/>
  </w:num>
  <w:num w:numId="34" w16cid:durableId="1639917345">
    <w:abstractNumId w:val="38"/>
  </w:num>
  <w:num w:numId="35" w16cid:durableId="982395118">
    <w:abstractNumId w:val="13"/>
  </w:num>
  <w:num w:numId="36" w16cid:durableId="1332757000">
    <w:abstractNumId w:val="12"/>
  </w:num>
  <w:num w:numId="37" w16cid:durableId="1425877123">
    <w:abstractNumId w:val="36"/>
  </w:num>
  <w:num w:numId="38" w16cid:durableId="854197395">
    <w:abstractNumId w:val="1"/>
  </w:num>
  <w:num w:numId="39" w16cid:durableId="4095039">
    <w:abstractNumId w:val="10"/>
  </w:num>
  <w:num w:numId="40" w16cid:durableId="560557238">
    <w:abstractNumId w:val="34"/>
  </w:num>
  <w:num w:numId="41" w16cid:durableId="405341928">
    <w:abstractNumId w:val="15"/>
  </w:num>
  <w:num w:numId="42" w16cid:durableId="1557080237">
    <w:abstractNumId w:val="20"/>
  </w:num>
  <w:num w:numId="43" w16cid:durableId="1174302096">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10AE3"/>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2247"/>
    <w:rsid w:val="003E3D01"/>
    <w:rsid w:val="003E3F35"/>
    <w:rsid w:val="003E49CC"/>
    <w:rsid w:val="003E5354"/>
    <w:rsid w:val="003E593D"/>
    <w:rsid w:val="003E60C5"/>
    <w:rsid w:val="003E715C"/>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B4425"/>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003"/>
    <w:rsid w:val="006969E2"/>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237D"/>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1715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673C"/>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03D5"/>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lang w:val="en-SA"/>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val="en-GB"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lang w:val="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lang w:val="en-GB"/>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val="en-GB"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val="en-GB"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val="en-GB"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lang w:val="en-GB"/>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lang w:val="en-GB"/>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lang w:val="en-GB"/>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lang w:val="en-GB"/>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lang w:val="en-GB"/>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lang w:val="en-GB"/>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val="en-GB"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lang w:val="en-GB"/>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lang w:val="en-GB"/>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lang w:val="en-GB"/>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lang w:val="en-GB"/>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val="en-GB"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talscale.com/blog/employer-branding-in-recruitment-why-it-is-important" TargetMode="External"/><Relationship Id="rId26" Type="http://schemas.openxmlformats.org/officeDocument/2006/relationships/hyperlink" Target="https://www.youtube.com/watch?v=JecvLpZFtfA" TargetMode="External"/><Relationship Id="rId39" Type="http://schemas.openxmlformats.org/officeDocument/2006/relationships/hyperlink" Target="https://www.aihr.com/blog/dysfunctional-turnover/" TargetMode="External"/><Relationship Id="rId21" Type="http://schemas.openxmlformats.org/officeDocument/2006/relationships/hyperlink" Target="https://www.cipd.org/en/knowledge/reports/flexible-working-trends/" TargetMode="External"/><Relationship Id="rId34" Type="http://schemas.openxmlformats.org/officeDocument/2006/relationships/hyperlink" Target="https://www.aihr.com/blog/what-drives-employee-turnover" TargetMode="External"/><Relationship Id="rId42" Type="http://schemas.openxmlformats.org/officeDocument/2006/relationships/image" Target="media/image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cipd.org/globalassets/media/knowledge/knowledge-hub/reports/resourcing-and-talent-planning-report-2022-1_tcm18-11150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blogs.iadb.org/caribbean-dev-trends/en/what-role-do-employers-play-in-developing-skills-for-the-future-of-work/" TargetMode="External"/><Relationship Id="rId32" Type="http://schemas.openxmlformats.org/officeDocument/2006/relationships/hyperlink" Target="https://www.cipd.org/uk/knowledge/factsheets/turnover-retention-factsheet/" TargetMode="External"/><Relationship Id="rId37" Type="http://schemas.openxmlformats.org/officeDocument/2006/relationships/hyperlink" Target="https://www.cipd.org/en/knowledge/factsheets/talent-factsheet" TargetMode="External"/><Relationship Id="rId40" Type="http://schemas.openxmlformats.org/officeDocument/2006/relationships/hyperlink" Target="https://www.forbes.com/sites/johnhall/2019/05/09/the-cost-of-turnover-can-kill-your-business-and-make-things-less-fun/?sh=7b677b457943"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ssmag.co.uk/how-to-bridge-the-current-skills-gap-within-the-energy-sector/" TargetMode="External"/><Relationship Id="rId28" Type="http://schemas.openxmlformats.org/officeDocument/2006/relationships/hyperlink" Target="https://www.forbes.com/advisor/business/workforce-planning/" TargetMode="External"/><Relationship Id="rId36" Type="http://schemas.openxmlformats.org/officeDocument/2006/relationships/hyperlink" Target="https://hbr.org/1973/07/why-employees-stay" TargetMode="External"/><Relationship Id="rId10" Type="http://schemas.openxmlformats.org/officeDocument/2006/relationships/endnotes" Target="endnotes.xml"/><Relationship Id="rId19" Type="http://schemas.openxmlformats.org/officeDocument/2006/relationships/hyperlink" Target="https://www.peoplekeep.com/blog/five-tactics-to-become-an-employer-of-choice" TargetMode="External"/><Relationship Id="rId31" Type="http://schemas.openxmlformats.org/officeDocument/2006/relationships/hyperlink" Target="https://www.linkedin.com/pulse/general-introduction-techniques-hr-planning-gia-linh-nguyen/"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cipd.org/uk/knowledge/factsheets/skills-factsheet/" TargetMode="External"/><Relationship Id="rId27" Type="http://schemas.openxmlformats.org/officeDocument/2006/relationships/hyperlink" Target="https://www.cipd.org/uk/knowledge/factsheets/workforce-planning-factsheet/" TargetMode="External"/><Relationship Id="rId30" Type="http://schemas.openxmlformats.org/officeDocument/2006/relationships/hyperlink" Target="https://smallbusiness.chron.com/managerial-judgment-34613.html" TargetMode="External"/><Relationship Id="rId35" Type="http://schemas.openxmlformats.org/officeDocument/2006/relationships/hyperlink" Target="https://www.betterup.com/blog/why-employees-leave"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cipd.org/en/knowledge/factsheets/recruitment-brand-factsheet/" TargetMode="External"/><Relationship Id="rId25" Type="http://schemas.openxmlformats.org/officeDocument/2006/relationships/hyperlink" Target="https://www.tuc.org.uk/resource/learning-and-skills" TargetMode="External"/><Relationship Id="rId33" Type="http://schemas.openxmlformats.org/officeDocument/2006/relationships/hyperlink" Target="https://bizfluent.com/info-8154593-difference-functional-dysfunctional-employee-turnover.html" TargetMode="External"/><Relationship Id="rId38" Type="http://schemas.openxmlformats.org/officeDocument/2006/relationships/hyperlink" Target="https://www.aihr.com/blog/what-is-talent-management/" TargetMode="External"/><Relationship Id="rId46" Type="http://schemas.microsoft.com/office/2019/05/relationships/documenttasks" Target="documenttasks/documenttasks1.xml"/><Relationship Id="rId20" Type="http://schemas.openxmlformats.org/officeDocument/2006/relationships/hyperlink" Target="https://www.cipd.org/uk/knowledge/factsheets/economy-labour-market-factsheet" TargetMode="External"/><Relationship Id="rId41" Type="http://schemas.openxmlformats.org/officeDocument/2006/relationships/hyperlink" Target="https://lrshrm.shrm.org/blog/2017/10/essential-elements-employee-reten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customXml/itemProps4.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6189</Words>
  <Characters>35282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56</cp:revision>
  <dcterms:created xsi:type="dcterms:W3CDTF">2023-07-27T10:42:00Z</dcterms:created>
  <dcterms:modified xsi:type="dcterms:W3CDTF">2023-09-01T12:23:00Z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