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Workforce planning is a core business process which aligns changing organisation </w:t>
      </w:r>
      <w:proofErr w:type="gramStart"/>
      <w:r w:rsidRPr="002B10FD">
        <w:rPr>
          <w:rFonts w:ascii="Calibri" w:hAnsi="Calibri" w:cs="Calibri"/>
        </w:rPr>
        <w:t>needs</w:t>
      </w:r>
      <w:proofErr w:type="gramEnd"/>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doesn’t need to be complicated and can be adjusted to suit the size and maturity of </w:t>
      </w:r>
      <w:proofErr w:type="gramStart"/>
      <w:r w:rsidRPr="002B10FD">
        <w:rPr>
          <w:rFonts w:ascii="Calibri" w:hAnsi="Calibri" w:cs="Calibri"/>
        </w:rPr>
        <w:t>any</w:t>
      </w:r>
      <w:proofErr w:type="gramEnd"/>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organisation. It can provide market and industry intelligence to help organisations </w:t>
      </w:r>
      <w:proofErr w:type="gramStart"/>
      <w:r w:rsidRPr="002B10FD">
        <w:rPr>
          <w:rFonts w:ascii="Calibri" w:hAnsi="Calibri" w:cs="Calibri"/>
        </w:rPr>
        <w:t>focus</w:t>
      </w:r>
      <w:proofErr w:type="gramEnd"/>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on a range of challenges and issues, and prepare for initiatives to support longer </w:t>
      </w:r>
      <w:proofErr w:type="gramStart"/>
      <w:r w:rsidRPr="002B10FD">
        <w:rPr>
          <w:rFonts w:ascii="Calibri" w:hAnsi="Calibri" w:cs="Calibri"/>
        </w:rPr>
        <w:t>term</w:t>
      </w:r>
      <w:proofErr w:type="gramEnd"/>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w:t>
      </w:r>
      <w:proofErr w:type="gramStart"/>
      <w:r w:rsidRPr="002B10FD">
        <w:rPr>
          <w:rFonts w:ascii="Calibri" w:hAnsi="Calibri" w:cs="Calibri"/>
        </w:rPr>
        <w:t>acquisition</w:t>
      </w:r>
      <w:proofErr w:type="gramEnd"/>
      <w:r w:rsidRPr="002B10FD">
        <w:rPr>
          <w:rFonts w:ascii="Calibri" w:hAnsi="Calibri" w:cs="Calibri"/>
        </w:rPr>
        <w:t xml:space="preserve">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r w:rsidR="007E0BF9" w:rsidRPr="007E0BF9">
              <w:rPr>
                <w:rFonts w:ascii="Calibri" w:hAnsi="Calibri" w:cs="Calibri"/>
                <w:color w:val="6D0E28" w:themeColor="accent4" w:themeShade="80"/>
              </w:rPr>
              <w:t>Satabdi</w:t>
            </w:r>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r w:rsidRPr="00C66F89">
              <w:rPr>
                <w:rFonts w:ascii="Calibri" w:hAnsi="Calibri" w:cs="Calibri"/>
                <w:color w:val="6D0E28" w:themeColor="accent4" w:themeShade="80"/>
              </w:rPr>
              <w:t>Charaba</w:t>
            </w:r>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(Pavón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(Soole,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2B91091B" w14:textId="77777777" w:rsidR="00795C16" w:rsidRDefault="00795C16" w:rsidP="002770C0">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p w14:paraId="44D7F0A7" w14:textId="38FE12CC" w:rsidR="00795C16" w:rsidRPr="00795C16" w:rsidRDefault="00795C16" w:rsidP="002770C0">
            <w:pPr>
              <w:jc w:val="both"/>
              <w:rPr>
                <w:rFonts w:ascii="Calibri" w:hAnsi="Calibri" w:cs="Calibri"/>
                <w:b/>
                <w:bCs/>
                <w:color w:val="6D0E28" w:themeColor="accent4" w:themeShade="80"/>
              </w:rPr>
            </w:pP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4A121D0" w14:textId="77777777" w:rsidR="009B4417" w:rsidRDefault="009B4417" w:rsidP="006969E2">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Turnover is the proportion of employees who leave the organization, whether voluntarily or involuntarily, on a set period of time,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r w:rsidRPr="00130378">
              <w:rPr>
                <w:rFonts w:ascii="Calibri" w:hAnsi="Calibri" w:cs="Calibri"/>
                <w:color w:val="6D0E28" w:themeColor="accent4" w:themeShade="80"/>
              </w:rPr>
              <w:t>Vulpen</w:t>
            </w:r>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567EC1"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4960B8" w14:textId="77777777" w:rsidR="009B4417" w:rsidRDefault="009B4417" w:rsidP="006969E2">
            <w:pPr>
              <w:jc w:val="both"/>
              <w:rPr>
                <w:rFonts w:ascii="Calibri" w:hAnsi="Calibri" w:cs="Calibri"/>
                <w:b/>
                <w:bCs/>
                <w:sz w:val="20"/>
                <w:szCs w:val="20"/>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A42349D" w14:textId="77777777" w:rsidR="009B4417" w:rsidRDefault="009B4417" w:rsidP="006969E2">
            <w:pPr>
              <w:jc w:val="both"/>
              <w:rPr>
                <w:rFonts w:ascii="Calibri" w:hAnsi="Calibri" w:cs="Calibri"/>
                <w:b/>
                <w:bCs/>
                <w:sz w:val="20"/>
                <w:szCs w:val="20"/>
              </w:rPr>
            </w:pPr>
          </w:p>
        </w:tc>
      </w:tr>
    </w:tbl>
    <w:p w14:paraId="7901ACAC" w14:textId="59878B48" w:rsidR="009B4417" w:rsidRDefault="009B4417"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7D239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A246D30" w14:textId="77777777" w:rsidR="009B4417" w:rsidRDefault="009B4417" w:rsidP="006969E2">
            <w:pPr>
              <w:jc w:val="both"/>
              <w:rPr>
                <w:rFonts w:ascii="Calibri" w:hAnsi="Calibri" w:cs="Calibri"/>
                <w:b/>
                <w:bCs/>
                <w:sz w:val="20"/>
                <w:szCs w:val="20"/>
              </w:rPr>
            </w:pP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686679B9"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3E588A72" w14:textId="77777777" w:rsidR="009B4417" w:rsidRDefault="009B4417" w:rsidP="006969E2">
            <w:pPr>
              <w:jc w:val="both"/>
              <w:rPr>
                <w:rFonts w:ascii="Calibri" w:hAnsi="Calibri" w:cs="Calibri"/>
                <w:b/>
                <w:bCs/>
                <w:sz w:val="20"/>
                <w:szCs w:val="20"/>
              </w:rPr>
            </w:pP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6B804D"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25CE61" w14:textId="77777777" w:rsidR="009B4417" w:rsidRDefault="009B4417" w:rsidP="006969E2">
            <w:pPr>
              <w:jc w:val="both"/>
              <w:rPr>
                <w:rFonts w:ascii="Calibri" w:hAnsi="Calibri" w:cs="Calibri"/>
                <w:b/>
                <w:bCs/>
                <w:sz w:val="20"/>
                <w:szCs w:val="20"/>
              </w:rPr>
            </w:pP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hAnsi="Calibri" w:cs="Calibri"/>
          <w:b/>
          <w:bCs/>
          <w:color w:val="243E15" w:themeColor="accent3" w:themeShade="80"/>
          <w:sz w:val="32"/>
          <w:szCs w:val="32"/>
          <w:lang w:eastAsia="en-GB"/>
        </w:rPr>
      </w:pPr>
    </w:p>
    <w:p w14:paraId="76780E8D" w14:textId="3FDB4593"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CC560E">
        <w:trPr>
          <w:trHeight w:val="9699"/>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lastRenderedPageBreak/>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7"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77777777" w:rsidR="00822B8D" w:rsidRDefault="00822B8D" w:rsidP="006969E2">
            <w:pPr>
              <w:textAlignment w:val="baseline"/>
              <w:rPr>
                <w:rFonts w:ascii="Calibri" w:hAnsi="Calibri" w:cs="Calibri"/>
                <w:szCs w:val="22"/>
                <w:lang w:eastAsia="en-GB"/>
              </w:rPr>
            </w:pPr>
            <w:r w:rsidRPr="00870C61">
              <w:rPr>
                <w:rFonts w:ascii="Calibri" w:hAnsi="Calibri" w:cs="Calibri"/>
                <w:szCs w:val="22"/>
                <w:lang w:eastAsia="en-GB"/>
              </w:rPr>
              <w:t> </w:t>
            </w:r>
            <w:r w:rsidR="00CC285B">
              <w:rPr>
                <w:rFonts w:ascii="Calibri" w:hAnsi="Calibri" w:cs="Calibri"/>
                <w:szCs w:val="22"/>
                <w:lang w:eastAsia="en-GB"/>
              </w:rPr>
              <w:t xml:space="preserve">White C., (2022) </w:t>
            </w:r>
            <w:r w:rsidR="00CC285B" w:rsidRPr="00CC285B">
              <w:rPr>
                <w:rFonts w:ascii="Calibri" w:hAnsi="Calibri" w:cs="Calibri"/>
                <w:i/>
                <w:iCs/>
                <w:szCs w:val="22"/>
                <w:lang w:eastAsia="en-GB"/>
              </w:rPr>
              <w:t>What's a Competitive Analysis &amp; How Do You Conduct One?</w:t>
            </w:r>
            <w:r w:rsidR="00CC285B">
              <w:rPr>
                <w:rFonts w:ascii="Calibri" w:hAnsi="Calibri" w:cs="Calibri"/>
                <w:i/>
                <w:iCs/>
                <w:szCs w:val="22"/>
                <w:lang w:eastAsia="en-GB"/>
              </w:rPr>
              <w:t xml:space="preserve"> </w:t>
            </w:r>
            <w:r w:rsidR="00CC285B">
              <w:rPr>
                <w:rFonts w:ascii="Calibri" w:hAnsi="Calibri" w:cs="Calibri"/>
                <w:szCs w:val="22"/>
                <w:lang w:eastAsia="en-GB"/>
              </w:rPr>
              <w:t xml:space="preserve">Available at </w:t>
            </w:r>
            <w:hyperlink r:id="rId18" w:history="1">
              <w:r w:rsidR="00CC285B" w:rsidRPr="00C67842">
                <w:rPr>
                  <w:rStyle w:val="Hyperlink"/>
                  <w:rFonts w:ascii="Calibri" w:hAnsi="Calibri" w:cs="Calibri"/>
                  <w:szCs w:val="22"/>
                  <w:lang w:eastAsia="en-GB"/>
                </w:rPr>
                <w:t>https://blog.hubspot.com/marketing/competitive-analysis-kit</w:t>
              </w:r>
            </w:hyperlink>
            <w:r w:rsidR="00CC285B">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9"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0"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r w:rsidRPr="007E0BF9">
              <w:rPr>
                <w:rFonts w:ascii="Calibri" w:hAnsi="Calibri" w:cs="Calibri"/>
                <w:lang w:eastAsia="en-GB"/>
              </w:rPr>
              <w:t>Satabdi</w:t>
            </w:r>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21"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r w:rsidRPr="00C66F89">
              <w:rPr>
                <w:rFonts w:ascii="Calibri" w:hAnsi="Calibri" w:cs="Calibri"/>
                <w:lang w:eastAsia="en-GB"/>
              </w:rPr>
              <w:t>Charaba</w:t>
            </w:r>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3"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4"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5"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6"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r>
              <w:rPr>
                <w:rFonts w:ascii="Calibri" w:hAnsi="Calibri" w:cs="Calibri"/>
                <w:lang w:eastAsia="en-GB"/>
              </w:rPr>
              <w:t xml:space="preserve">Pavón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7"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t xml:space="preserve">Trade Union Congress TUC (2019) Learning and skills Available at </w:t>
            </w:r>
            <w:hyperlink r:id="rId28"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r>
              <w:rPr>
                <w:rFonts w:ascii="Calibri" w:hAnsi="Calibri" w:cs="Calibri"/>
                <w:lang w:eastAsia="en-GB"/>
              </w:rPr>
              <w:t xml:space="preserve">Soole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9"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lastRenderedPageBreak/>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33"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152C56">
                <w:rPr>
                  <w:rStyle w:val="Hyperlink"/>
                  <w:rFonts w:ascii="Calibri" w:hAnsi="Calibri" w:cs="Calibri"/>
                  <w:lang w:eastAsia="en-GB"/>
                </w:rPr>
                <w:t>https://www.linked</w:t>
              </w:r>
              <w:r w:rsidRPr="00152C56">
                <w:rPr>
                  <w:rStyle w:val="Hyperlink"/>
                  <w:rFonts w:ascii="Calibri" w:hAnsi="Calibri" w:cs="Calibri"/>
                  <w:lang w:eastAsia="en-GB"/>
                </w:rPr>
                <w:t>i</w:t>
              </w:r>
              <w:r w:rsidRPr="00152C56">
                <w:rPr>
                  <w:rStyle w:val="Hyperlink"/>
                  <w:rFonts w:ascii="Calibri" w:hAnsi="Calibri" w:cs="Calibri"/>
                  <w:lang w:eastAsia="en-GB"/>
                </w:rPr>
                <w:t>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5"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r>
              <w:rPr>
                <w:rFonts w:ascii="Calibri" w:hAnsi="Calibri" w:cs="Calibri"/>
                <w:lang w:eastAsia="en-GB"/>
              </w:rPr>
              <w:t xml:space="preserve">Availabe at </w:t>
            </w:r>
            <w:hyperlink r:id="rId36"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r w:rsidRPr="00130378">
              <w:rPr>
                <w:rFonts w:ascii="Calibri" w:hAnsi="Calibri" w:cs="Calibri"/>
                <w:lang w:eastAsia="en-GB"/>
              </w:rPr>
              <w:t>Vulpen</w:t>
            </w:r>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7"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8"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6AFC5276" w14:textId="2F95EF55" w:rsidR="00B963DD" w:rsidRPr="00B963DD" w:rsidRDefault="00B963DD" w:rsidP="005B4425">
            <w:pPr>
              <w:textAlignment w:val="baseline"/>
              <w:rPr>
                <w:rFonts w:ascii="Calibri" w:hAnsi="Calibri" w:cs="Calibri"/>
                <w:lang w:val="en-US"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760F9A54" w14:textId="5DCF4CB5"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 xml:space="preserve">You may find the following checklist helpful to make sure that you have included the required evidence to meet the task. This is not a mandatory requirement </w:t>
      </w:r>
      <w:proofErr w:type="gramStart"/>
      <w:r w:rsidRPr="002B10FD">
        <w:rPr>
          <w:rFonts w:ascii="Calibri" w:hAnsi="Calibri" w:cs="Calibri"/>
          <w:color w:val="000000" w:themeColor="text1"/>
          <w:lang w:eastAsia="en-GB"/>
        </w:rPr>
        <w:t>as long as</w:t>
      </w:r>
      <w:proofErr w:type="gramEnd"/>
      <w:r w:rsidRPr="002B10FD">
        <w:rPr>
          <w:rFonts w:ascii="Calibri" w:hAnsi="Calibri" w:cs="Calibri"/>
          <w:color w:val="000000" w:themeColor="text1"/>
          <w:lang w:eastAsia="en-GB"/>
        </w:rPr>
        <w:t xml:space="preserve">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lastRenderedPageBreak/>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Discuss the role of government, </w:t>
            </w:r>
            <w:proofErr w:type="gramStart"/>
            <w:r w:rsidRPr="002B10FD">
              <w:rPr>
                <w:rFonts w:ascii="Calibri" w:hAnsi="Calibri" w:cs="Calibri"/>
                <w:color w:val="000000" w:themeColor="text1"/>
                <w:szCs w:val="24"/>
              </w:rPr>
              <w:t>employers</w:t>
            </w:r>
            <w:proofErr w:type="gramEnd"/>
            <w:r w:rsidRPr="002B10FD">
              <w:rPr>
                <w:rFonts w:ascii="Calibri" w:hAnsi="Calibri" w:cs="Calibri"/>
                <w:color w:val="000000" w:themeColor="text1"/>
                <w:szCs w:val="24"/>
              </w:rPr>
              <w:t xml:space="preserve">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6969E2" w:rsidRDefault="006969E2"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6969E2" w:rsidRDefault="006969E2"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lastRenderedPageBreak/>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Answers are clear, </w:t>
            </w:r>
            <w:proofErr w:type="gramStart"/>
            <w:r>
              <w:rPr>
                <w:rFonts w:ascii="Calibri" w:eastAsia="Arial" w:hAnsi="Calibri" w:cs="Calibri"/>
                <w:color w:val="000000"/>
              </w:rPr>
              <w:t>concise</w:t>
            </w:r>
            <w:proofErr w:type="gramEnd"/>
            <w:r>
              <w:rPr>
                <w:rFonts w:ascii="Calibri" w:eastAsia="Arial" w:hAnsi="Calibri" w:cs="Calibri"/>
                <w:color w:val="000000"/>
              </w:rPr>
              <w:t xml:space="preserv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41"/>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BB5EF" w14:textId="77777777" w:rsidR="007F07D0" w:rsidRDefault="007F07D0" w:rsidP="00CB3ADD">
      <w:r>
        <w:separator/>
      </w:r>
    </w:p>
  </w:endnote>
  <w:endnote w:type="continuationSeparator" w:id="0">
    <w:p w14:paraId="413ED455" w14:textId="77777777" w:rsidR="007F07D0" w:rsidRDefault="007F07D0" w:rsidP="00CB3ADD">
      <w:r>
        <w:continuationSeparator/>
      </w:r>
    </w:p>
  </w:endnote>
  <w:endnote w:type="continuationNotice" w:id="1">
    <w:p w14:paraId="075FA43A" w14:textId="77777777" w:rsidR="007F07D0" w:rsidRDefault="007F07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603D5A34" w:rsidR="006969E2" w:rsidRDefault="006969E2">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2ED2">
          <w:rPr>
            <w:noProof/>
          </w:rPr>
          <w:t>9</w:t>
        </w:r>
        <w:r>
          <w:rPr>
            <w:noProof/>
          </w:rPr>
          <w:fldChar w:fldCharType="end"/>
        </w:r>
      </w:sdtContent>
    </w:sdt>
  </w:p>
  <w:p w14:paraId="2EF43B00" w14:textId="79CD9C3F" w:rsidR="006969E2" w:rsidRDefault="006969E2"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6969E2" w:rsidRDefault="006969E2">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CE1ED" w14:textId="77777777" w:rsidR="007F07D0" w:rsidRDefault="007F07D0" w:rsidP="00CB3ADD">
      <w:r>
        <w:separator/>
      </w:r>
    </w:p>
  </w:footnote>
  <w:footnote w:type="continuationSeparator" w:id="0">
    <w:p w14:paraId="50B257F1" w14:textId="77777777" w:rsidR="007F07D0" w:rsidRDefault="007F07D0" w:rsidP="00CB3ADD">
      <w:r>
        <w:continuationSeparator/>
      </w:r>
    </w:p>
  </w:footnote>
  <w:footnote w:type="continuationNotice" w:id="1">
    <w:p w14:paraId="2FB9D909" w14:textId="77777777" w:rsidR="007F07D0" w:rsidRDefault="007F07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6969E2" w:rsidRPr="009F0B2F" w:rsidRDefault="006969E2"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6969E2" w:rsidRDefault="006969E2">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6969E2" w:rsidRPr="009F0B2F" w:rsidRDefault="006969E2"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E877208"/>
    <w:multiLevelType w:val="hybridMultilevel"/>
    <w:tmpl w:val="9DA4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5"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936913">
    <w:abstractNumId w:val="3"/>
  </w:num>
  <w:num w:numId="2" w16cid:durableId="101608316">
    <w:abstractNumId w:val="23"/>
  </w:num>
  <w:num w:numId="3" w16cid:durableId="1830251789">
    <w:abstractNumId w:val="41"/>
  </w:num>
  <w:num w:numId="4" w16cid:durableId="1407268254">
    <w:abstractNumId w:val="32"/>
  </w:num>
  <w:num w:numId="5" w16cid:durableId="1582331321">
    <w:abstractNumId w:val="21"/>
  </w:num>
  <w:num w:numId="6" w16cid:durableId="770856364">
    <w:abstractNumId w:val="6"/>
  </w:num>
  <w:num w:numId="7" w16cid:durableId="770932616">
    <w:abstractNumId w:val="33"/>
  </w:num>
  <w:num w:numId="8" w16cid:durableId="2039117924">
    <w:abstractNumId w:val="9"/>
  </w:num>
  <w:num w:numId="9" w16cid:durableId="648021993">
    <w:abstractNumId w:val="14"/>
  </w:num>
  <w:num w:numId="10" w16cid:durableId="783887368">
    <w:abstractNumId w:val="24"/>
  </w:num>
  <w:num w:numId="11" w16cid:durableId="467747513">
    <w:abstractNumId w:val="8"/>
  </w:num>
  <w:num w:numId="12" w16cid:durableId="376247412">
    <w:abstractNumId w:val="19"/>
  </w:num>
  <w:num w:numId="13" w16cid:durableId="1706103589">
    <w:abstractNumId w:val="42"/>
  </w:num>
  <w:num w:numId="14" w16cid:durableId="1592473787">
    <w:abstractNumId w:val="17"/>
  </w:num>
  <w:num w:numId="15" w16cid:durableId="1791705741">
    <w:abstractNumId w:val="28"/>
  </w:num>
  <w:num w:numId="16" w16cid:durableId="1651249677">
    <w:abstractNumId w:val="40"/>
  </w:num>
  <w:num w:numId="17" w16cid:durableId="1694384437">
    <w:abstractNumId w:val="39"/>
  </w:num>
  <w:num w:numId="18" w16cid:durableId="257325255">
    <w:abstractNumId w:val="30"/>
  </w:num>
  <w:num w:numId="19" w16cid:durableId="1611741637">
    <w:abstractNumId w:val="25"/>
  </w:num>
  <w:num w:numId="20" w16cid:durableId="2073308616">
    <w:abstractNumId w:val="11"/>
  </w:num>
  <w:num w:numId="21" w16cid:durableId="938293903">
    <w:abstractNumId w:val="22"/>
  </w:num>
  <w:num w:numId="22" w16cid:durableId="2094743288">
    <w:abstractNumId w:val="26"/>
  </w:num>
  <w:num w:numId="23" w16cid:durableId="1418289007">
    <w:abstractNumId w:val="4"/>
  </w:num>
  <w:num w:numId="24" w16cid:durableId="1483085844">
    <w:abstractNumId w:val="0"/>
  </w:num>
  <w:num w:numId="25" w16cid:durableId="260141349">
    <w:abstractNumId w:val="5"/>
  </w:num>
  <w:num w:numId="26" w16cid:durableId="1786457485">
    <w:abstractNumId w:val="7"/>
  </w:num>
  <w:num w:numId="27" w16cid:durableId="1027948274">
    <w:abstractNumId w:val="35"/>
  </w:num>
  <w:num w:numId="28" w16cid:durableId="1114860568">
    <w:abstractNumId w:val="29"/>
  </w:num>
  <w:num w:numId="29" w16cid:durableId="1427000420">
    <w:abstractNumId w:val="31"/>
  </w:num>
  <w:num w:numId="30" w16cid:durableId="321928135">
    <w:abstractNumId w:val="27"/>
  </w:num>
  <w:num w:numId="31" w16cid:durableId="161046179">
    <w:abstractNumId w:val="16"/>
  </w:num>
  <w:num w:numId="32" w16cid:durableId="1046831221">
    <w:abstractNumId w:val="2"/>
  </w:num>
  <w:num w:numId="33" w16cid:durableId="1102384214">
    <w:abstractNumId w:val="18"/>
  </w:num>
  <w:num w:numId="34" w16cid:durableId="1639917345">
    <w:abstractNumId w:val="38"/>
  </w:num>
  <w:num w:numId="35" w16cid:durableId="982395118">
    <w:abstractNumId w:val="13"/>
  </w:num>
  <w:num w:numId="36" w16cid:durableId="1332757000">
    <w:abstractNumId w:val="12"/>
  </w:num>
  <w:num w:numId="37" w16cid:durableId="1425877123">
    <w:abstractNumId w:val="36"/>
  </w:num>
  <w:num w:numId="38" w16cid:durableId="854197395">
    <w:abstractNumId w:val="1"/>
  </w:num>
  <w:num w:numId="39" w16cid:durableId="4095039">
    <w:abstractNumId w:val="10"/>
  </w:num>
  <w:num w:numId="40" w16cid:durableId="560557238">
    <w:abstractNumId w:val="34"/>
  </w:num>
  <w:num w:numId="41" w16cid:durableId="405341928">
    <w:abstractNumId w:val="15"/>
  </w:num>
  <w:num w:numId="42" w16cid:durableId="1557080237">
    <w:abstractNumId w:val="20"/>
  </w:num>
  <w:num w:numId="43" w16cid:durableId="1174302096">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9785F"/>
    <w:rsid w:val="000A11FE"/>
    <w:rsid w:val="000A146C"/>
    <w:rsid w:val="000A21D8"/>
    <w:rsid w:val="000A2A28"/>
    <w:rsid w:val="000A4725"/>
    <w:rsid w:val="000A52C0"/>
    <w:rsid w:val="000A5D96"/>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10AE3"/>
    <w:rsid w:val="00210EB6"/>
    <w:rsid w:val="00210F1B"/>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DD9"/>
    <w:rsid w:val="002B0C12"/>
    <w:rsid w:val="002B10FD"/>
    <w:rsid w:val="002B2610"/>
    <w:rsid w:val="002B2D87"/>
    <w:rsid w:val="002B3E23"/>
    <w:rsid w:val="002B4975"/>
    <w:rsid w:val="002B49AC"/>
    <w:rsid w:val="002B758F"/>
    <w:rsid w:val="002B7850"/>
    <w:rsid w:val="002C27D2"/>
    <w:rsid w:val="002C5020"/>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2397"/>
    <w:rsid w:val="00342AB2"/>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63F1"/>
    <w:rsid w:val="003D66BD"/>
    <w:rsid w:val="003E0410"/>
    <w:rsid w:val="003E1929"/>
    <w:rsid w:val="003E1B38"/>
    <w:rsid w:val="003E2247"/>
    <w:rsid w:val="003E3D01"/>
    <w:rsid w:val="003E3F35"/>
    <w:rsid w:val="003E49CC"/>
    <w:rsid w:val="003E5354"/>
    <w:rsid w:val="003E593D"/>
    <w:rsid w:val="003E60C5"/>
    <w:rsid w:val="003E715C"/>
    <w:rsid w:val="003F1BE4"/>
    <w:rsid w:val="003F1C15"/>
    <w:rsid w:val="003F2A58"/>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32301"/>
    <w:rsid w:val="0043258B"/>
    <w:rsid w:val="0043260B"/>
    <w:rsid w:val="00435498"/>
    <w:rsid w:val="00435FE2"/>
    <w:rsid w:val="0043641E"/>
    <w:rsid w:val="004405C8"/>
    <w:rsid w:val="00442D03"/>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B4425"/>
    <w:rsid w:val="005C026E"/>
    <w:rsid w:val="005C164D"/>
    <w:rsid w:val="005C3C49"/>
    <w:rsid w:val="005C3F10"/>
    <w:rsid w:val="005C4BE4"/>
    <w:rsid w:val="005C4F84"/>
    <w:rsid w:val="005C5416"/>
    <w:rsid w:val="005C698D"/>
    <w:rsid w:val="005C6EF3"/>
    <w:rsid w:val="005C722B"/>
    <w:rsid w:val="005C75F6"/>
    <w:rsid w:val="005C7F09"/>
    <w:rsid w:val="005D23A9"/>
    <w:rsid w:val="005D326C"/>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E7"/>
    <w:rsid w:val="006969E2"/>
    <w:rsid w:val="006A36B7"/>
    <w:rsid w:val="006A38B9"/>
    <w:rsid w:val="006A6143"/>
    <w:rsid w:val="006A6C70"/>
    <w:rsid w:val="006A722E"/>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F07D0"/>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71B0"/>
    <w:rsid w:val="008A146C"/>
    <w:rsid w:val="008A1949"/>
    <w:rsid w:val="008A2EBB"/>
    <w:rsid w:val="008A53CD"/>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17F"/>
    <w:rsid w:val="00B7078F"/>
    <w:rsid w:val="00B7126E"/>
    <w:rsid w:val="00B714C5"/>
    <w:rsid w:val="00B72087"/>
    <w:rsid w:val="00B733C2"/>
    <w:rsid w:val="00B763C9"/>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6CE7"/>
    <w:rsid w:val="00BC6EEB"/>
    <w:rsid w:val="00BC73A4"/>
    <w:rsid w:val="00BD237D"/>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6045"/>
    <w:rsid w:val="00C1612F"/>
    <w:rsid w:val="00C20158"/>
    <w:rsid w:val="00C233AA"/>
    <w:rsid w:val="00C24B61"/>
    <w:rsid w:val="00C26025"/>
    <w:rsid w:val="00C272EA"/>
    <w:rsid w:val="00C2773F"/>
    <w:rsid w:val="00C30F81"/>
    <w:rsid w:val="00C35429"/>
    <w:rsid w:val="00C35828"/>
    <w:rsid w:val="00C3739E"/>
    <w:rsid w:val="00C37F8D"/>
    <w:rsid w:val="00C40D5F"/>
    <w:rsid w:val="00C417F3"/>
    <w:rsid w:val="00C41964"/>
    <w:rsid w:val="00C439D9"/>
    <w:rsid w:val="00C4505F"/>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5BCA"/>
    <w:rsid w:val="00CA673C"/>
    <w:rsid w:val="00CA7422"/>
    <w:rsid w:val="00CA7FE6"/>
    <w:rsid w:val="00CB22F3"/>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C9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1067"/>
    <w:rsid w:val="00F519F2"/>
    <w:rsid w:val="00F52FC4"/>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lang w:val="en-SA"/>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val="en-GB"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lang w:val="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lang w:val="en-GB"/>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val="en-GB"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val="en-GB"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val="en-GB"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lang w:val="en-GB"/>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lang w:val="en-GB"/>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lang w:val="en-GB"/>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lang w:val="en-GB"/>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lang w:val="en-GB"/>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lang w:val="en-GB"/>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val="en-GB"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lang w:val="en-GB"/>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lang w:val="en-GB"/>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lang w:val="en-GB"/>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lang w:val="en-GB"/>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val="en-GB"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styleId="UnresolvedMention">
    <w:name w:val="Unresolved Mention"/>
    <w:basedOn w:val="DefaultParagraphFont"/>
    <w:uiPriority w:val="99"/>
    <w:semiHidden/>
    <w:unhideWhenUsed/>
    <w:rsid w:val="003E2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26" Type="http://schemas.openxmlformats.org/officeDocument/2006/relationships/hyperlink" Target="https://essmag.co.uk/how-to-bridge-the-current-skills-gap-within-the-energy-sector/" TargetMode="External"/><Relationship Id="rId39" Type="http://schemas.openxmlformats.org/officeDocument/2006/relationships/hyperlink" Target="https://hbr.org/1973/07/why-employees-stay" TargetMode="External"/><Relationship Id="rId21" Type="http://schemas.openxmlformats.org/officeDocument/2006/relationships/hyperlink" Target="https://www.talscale.com/blog/employer-branding-in-recruitment-why-it-is-important" TargetMode="External"/><Relationship Id="rId34" Type="http://schemas.openxmlformats.org/officeDocument/2006/relationships/hyperlink" Target="https://www.linkedin.com/pulse/general-introduction-techniques-hr-planning-gia-linh-nguyen/"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cipd.org/en/knowledge/factsheets/recruitment-brand-factsheet/" TargetMode="External"/><Relationship Id="rId29" Type="http://schemas.openxmlformats.org/officeDocument/2006/relationships/hyperlink" Target="https://www.youtube.com/watch?v=JecvLpZFtfA"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openxmlformats.org/officeDocument/2006/relationships/hyperlink" Target="https://www.aihr.com/blog/what-drives-employee-turnover" TargetMode="External"/><Relationship Id="rId40"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hyperlink" Target="https://bizfluent.com/info-8154593-difference-functional-dysfunctional-employee-turnover.html" TargetMode="External"/><Relationship Id="rId10" Type="http://schemas.openxmlformats.org/officeDocument/2006/relationships/endnotes" Target="endnotes.xml"/><Relationship Id="rId19" Type="http://schemas.openxmlformats.org/officeDocument/2006/relationships/hyperlink" Target="http://andrewwaleslod.co.uk/learning-resources-how-organisations-position-themselves-in-competitive-labour-markets/" TargetMode="External"/><Relationship Id="rId31" Type="http://schemas.openxmlformats.org/officeDocument/2006/relationships/hyperlink" Target="https://www.forbes.com/advisor/business/workforce-planning/" TargetMode="External"/><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hyperlink" Target="https://www.cipd.org/uk/knowledge/factsheets/turnover-retention-factsheet/"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hyperlink" Target="https://smallbusiness.chron.com/managerial-judgment-34613.html" TargetMode="External"/><Relationship Id="rId38" Type="http://schemas.openxmlformats.org/officeDocument/2006/relationships/hyperlink" Target="https://www.betterup.com/blog/why-employees-leav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CFDC3A09-F7A3-47C0-B5CF-9032C3AF23F5}">
  <ds:schemaRefs>
    <ds:schemaRef ds:uri="http://schemas.openxmlformats.org/officeDocument/2006/bibliography"/>
  </ds:schemaRefs>
</ds:datastoreItem>
</file>

<file path=customXml/itemProps4.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20</Pages>
  <Words>5454</Words>
  <Characters>31093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44</cp:revision>
  <dcterms:created xsi:type="dcterms:W3CDTF">2023-07-27T10:42:00Z</dcterms:created>
  <dcterms:modified xsi:type="dcterms:W3CDTF">2023-09-01T08:40:00Z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