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Reading the CIPD Insight, Fact Sheets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role of government, employers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We advise you read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r w:rsidR="007E0BF9" w:rsidRPr="007E0BF9">
              <w:rPr>
                <w:rFonts w:ascii="Calibri" w:hAnsi="Calibri" w:cs="Calibri"/>
                <w:color w:val="6D0E28" w:themeColor="accent4" w:themeShade="80"/>
              </w:rPr>
              <w:t>Satabdi</w:t>
            </w:r>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r w:rsidRPr="00C66F89">
              <w:rPr>
                <w:rFonts w:ascii="Calibri" w:hAnsi="Calibri" w:cs="Calibri"/>
                <w:color w:val="6D0E28" w:themeColor="accent4" w:themeShade="80"/>
              </w:rPr>
              <w:t>Charaba</w:t>
            </w:r>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(Pavón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(Soole,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2B91091B" w14:textId="77777777" w:rsidR="00795C16" w:rsidRDefault="00795C16" w:rsidP="002770C0">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4D7F0A7" w14:textId="38FE12CC" w:rsidR="00795C16" w:rsidRPr="00795C16" w:rsidRDefault="00795C16" w:rsidP="002770C0">
            <w:pPr>
              <w:jc w:val="both"/>
              <w:rPr>
                <w:rFonts w:ascii="Calibri" w:hAnsi="Calibri" w:cs="Calibri"/>
                <w:b/>
                <w:bCs/>
                <w:color w:val="6D0E28" w:themeColor="accent4" w:themeShade="80"/>
              </w:rPr>
            </w:pP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961B40A" w14:textId="77777777" w:rsidR="009B4417" w:rsidRPr="0083452D" w:rsidRDefault="00252B71" w:rsidP="00252B71">
            <w:pPr>
              <w:jc w:val="both"/>
              <w:rPr>
                <w:rFonts w:ascii="Calibri" w:hAnsi="Calibri" w:cs="Calibri"/>
                <w:b/>
                <w:bCs/>
                <w:color w:val="6D0E28" w:themeColor="accent4" w:themeShade="80"/>
              </w:rPr>
            </w:pPr>
            <w:r w:rsidRPr="0083452D">
              <w:rPr>
                <w:rFonts w:ascii="Calibri" w:hAnsi="Calibri" w:cs="Calibri"/>
                <w:b/>
                <w:bCs/>
                <w:color w:val="6D0E28" w:themeColor="accent4" w:themeShade="80"/>
              </w:rPr>
              <w:t xml:space="preserve">Succession planning: </w:t>
            </w:r>
          </w:p>
          <w:p w14:paraId="11F666B7" w14:textId="72EFF03F" w:rsidR="00252B71" w:rsidRPr="0083452D" w:rsidRDefault="00695CB4" w:rsidP="0083452D">
            <w:pPr>
              <w:jc w:val="both"/>
              <w:rPr>
                <w:rFonts w:ascii="Calibri" w:hAnsi="Calibri" w:cs="Calibri"/>
                <w:color w:val="6D0E28" w:themeColor="accent4" w:themeShade="80"/>
              </w:rPr>
            </w:pPr>
            <w:r w:rsidRPr="0083452D">
              <w:rPr>
                <w:rFonts w:ascii="Calibri" w:hAnsi="Calibri" w:cs="Calibri"/>
                <w:color w:val="6D0E28" w:themeColor="accent4" w:themeShade="80"/>
              </w:rPr>
              <w:t>Succession planning is setting a plan to effectively fill t</w:t>
            </w:r>
            <w:r w:rsidR="001A2368" w:rsidRPr="0083452D">
              <w:rPr>
                <w:rFonts w:ascii="Calibri" w:hAnsi="Calibri" w:cs="Calibri"/>
                <w:color w:val="6D0E28" w:themeColor="accent4" w:themeShade="80"/>
              </w:rPr>
              <w:t xml:space="preserve">he most senior or critical </w:t>
            </w:r>
            <w:r w:rsidRPr="0083452D">
              <w:rPr>
                <w:rFonts w:ascii="Calibri" w:hAnsi="Calibri" w:cs="Calibri"/>
                <w:color w:val="6D0E28" w:themeColor="accent4" w:themeShade="80"/>
              </w:rPr>
              <w:t>roles within the organization (CIPD, 2022) so that those positions are not left vacant for a long time if any (Vulpen, n.d.)</w:t>
            </w:r>
            <w:r w:rsidR="001A2368" w:rsidRPr="0083452D">
              <w:rPr>
                <w:rFonts w:ascii="Calibri" w:hAnsi="Calibri" w:cs="Calibri"/>
                <w:color w:val="6D0E28" w:themeColor="accent4" w:themeShade="80"/>
              </w:rPr>
              <w:t>.</w:t>
            </w:r>
            <w:r w:rsidR="0083452D" w:rsidRPr="0083452D">
              <w:rPr>
                <w:rFonts w:ascii="Calibri" w:hAnsi="Calibri" w:cs="Calibri"/>
                <w:color w:val="6D0E28" w:themeColor="accent4" w:themeShade="80"/>
              </w:rPr>
              <w:t xml:space="preserve"> In an uncertain world, employees get promoted, retired, or move to another place.</w:t>
            </w:r>
            <w:r w:rsidR="001A2368" w:rsidRPr="0083452D">
              <w:rPr>
                <w:rFonts w:ascii="Calibri" w:hAnsi="Calibri" w:cs="Calibri"/>
                <w:color w:val="6D0E28" w:themeColor="accent4" w:themeShade="80"/>
              </w:rPr>
              <w:t xml:space="preserve"> Succession plan</w:t>
            </w:r>
            <w:r w:rsidR="0083452D" w:rsidRPr="0083452D">
              <w:rPr>
                <w:rFonts w:ascii="Calibri" w:hAnsi="Calibri" w:cs="Calibri"/>
                <w:color w:val="6D0E28" w:themeColor="accent4" w:themeShade="80"/>
              </w:rPr>
              <w:t>, therefore,</w:t>
            </w:r>
            <w:r w:rsidR="001A2368" w:rsidRPr="0083452D">
              <w:rPr>
                <w:rFonts w:ascii="Calibri" w:hAnsi="Calibri" w:cs="Calibri"/>
                <w:color w:val="6D0E28" w:themeColor="accent4" w:themeShade="80"/>
              </w:rPr>
              <w:t xml:space="preserve"> helps the organization make sure that it is ready </w:t>
            </w:r>
            <w:r w:rsidR="0083452D" w:rsidRPr="0083452D">
              <w:rPr>
                <w:rFonts w:ascii="Calibri" w:hAnsi="Calibri" w:cs="Calibri"/>
                <w:color w:val="6D0E28" w:themeColor="accent4" w:themeShade="80"/>
              </w:rPr>
              <w:t xml:space="preserve">to fill the vacant position quickly </w:t>
            </w:r>
            <w:r w:rsidR="001A2368" w:rsidRPr="0083452D">
              <w:rPr>
                <w:rFonts w:ascii="Calibri" w:hAnsi="Calibri" w:cs="Calibri"/>
                <w:color w:val="6D0E28" w:themeColor="accent4" w:themeShade="80"/>
              </w:rPr>
              <w:t>should any change happens in the future</w:t>
            </w:r>
            <w:r w:rsidRPr="0083452D">
              <w:rPr>
                <w:rFonts w:ascii="Calibri" w:hAnsi="Calibri" w:cs="Calibri"/>
                <w:color w:val="6D0E28" w:themeColor="accent4" w:themeShade="80"/>
              </w:rPr>
              <w:t xml:space="preserve"> </w:t>
            </w:r>
            <w:r w:rsidR="0083452D" w:rsidRPr="0083452D">
              <w:rPr>
                <w:rFonts w:ascii="Calibri" w:hAnsi="Calibri" w:cs="Calibri"/>
                <w:color w:val="6D0E28" w:themeColor="accent4" w:themeShade="80"/>
              </w:rPr>
              <w:t>to its critical roles.</w:t>
            </w:r>
            <w:r w:rsidRPr="0083452D">
              <w:rPr>
                <w:rFonts w:ascii="Calibri" w:hAnsi="Calibri" w:cs="Calibri"/>
                <w:color w:val="6D0E28" w:themeColor="accent4" w:themeShade="80"/>
              </w:rPr>
              <w:t xml:space="preserve"> </w:t>
            </w:r>
          </w:p>
          <w:p w14:paraId="79E08F07" w14:textId="232A052A" w:rsidR="0083452D" w:rsidRPr="0083452D" w:rsidRDefault="0083452D" w:rsidP="0083452D">
            <w:pPr>
              <w:jc w:val="both"/>
              <w:rPr>
                <w:rFonts w:ascii="Calibri" w:hAnsi="Calibri" w:cs="Calibri"/>
                <w:color w:val="6D0E28" w:themeColor="accent4" w:themeShade="80"/>
              </w:rPr>
            </w:pPr>
          </w:p>
          <w:p w14:paraId="1E14F0C8" w14:textId="0E41053F" w:rsidR="0083452D" w:rsidRDefault="00F74EF2" w:rsidP="0083452D">
            <w:pPr>
              <w:jc w:val="both"/>
              <w:rPr>
                <w:rFonts w:ascii="Calibri" w:hAnsi="Calibri" w:cs="Calibri"/>
                <w:color w:val="6D0E28" w:themeColor="accent4" w:themeShade="80"/>
                <w:u w:val="single"/>
                <w:lang w:val="en-US"/>
              </w:rPr>
            </w:pPr>
            <w:r>
              <w:rPr>
                <w:rFonts w:ascii="Calibri" w:hAnsi="Calibri" w:cs="Calibri"/>
                <w:color w:val="6D0E28" w:themeColor="accent4" w:themeShade="80"/>
                <w:u w:val="single"/>
                <w:lang w:val="en-US"/>
              </w:rPr>
              <w:t>Leadership development program</w:t>
            </w:r>
            <w:r w:rsidR="00C95B42">
              <w:rPr>
                <w:rFonts w:ascii="Calibri" w:hAnsi="Calibri" w:cs="Calibri"/>
                <w:color w:val="6D0E28" w:themeColor="accent4" w:themeShade="80"/>
                <w:u w:val="single"/>
                <w:lang w:val="en-US"/>
              </w:rPr>
              <w:t>:</w:t>
            </w:r>
          </w:p>
          <w:p w14:paraId="18CF9CFA" w14:textId="62243245" w:rsidR="00C95B42" w:rsidRPr="00C95B42" w:rsidRDefault="00F74EF2" w:rsidP="0083452D">
            <w:pPr>
              <w:jc w:val="both"/>
              <w:rPr>
                <w:rFonts w:ascii="Calibri" w:hAnsi="Calibri" w:cs="Calibri"/>
                <w:color w:val="6D0E28" w:themeColor="accent4" w:themeShade="80"/>
                <w:lang w:val="en-US"/>
              </w:rPr>
            </w:pPr>
            <w:r>
              <w:rPr>
                <w:rFonts w:ascii="Calibri" w:hAnsi="Calibri" w:cs="Calibri"/>
                <w:color w:val="6D0E28" w:themeColor="accent4" w:themeShade="80"/>
                <w:lang w:val="en-US"/>
              </w:rPr>
              <w:t>Vacancy in senior and leadership</w:t>
            </w:r>
          </w:p>
          <w:p w14:paraId="4FA8C27C" w14:textId="77777777" w:rsidR="00252B71" w:rsidRPr="0083452D" w:rsidRDefault="00252B71" w:rsidP="00252B71">
            <w:pPr>
              <w:jc w:val="both"/>
              <w:rPr>
                <w:rFonts w:ascii="Calibri" w:hAnsi="Calibri" w:cs="Calibri"/>
                <w:color w:val="6D0E28" w:themeColor="accent4" w:themeShade="80"/>
              </w:rPr>
            </w:pPr>
            <w:bookmarkStart w:id="3" w:name="_GoBack"/>
            <w:bookmarkEnd w:id="3"/>
          </w:p>
          <w:p w14:paraId="14A121D0" w14:textId="60F1EC1C" w:rsidR="00252B71" w:rsidRPr="0083452D" w:rsidRDefault="00252B71" w:rsidP="00252B71">
            <w:pPr>
              <w:jc w:val="both"/>
              <w:rPr>
                <w:rFonts w:ascii="Calibri" w:hAnsi="Calibri" w:cs="Calibri"/>
                <w:b/>
                <w:bCs/>
                <w:color w:val="6D0E28" w:themeColor="accent4" w:themeShade="80"/>
                <w:lang w:val="en-US"/>
              </w:rPr>
            </w:pPr>
            <w:r w:rsidRPr="0083452D">
              <w:rPr>
                <w:rFonts w:ascii="Calibri" w:hAnsi="Calibri" w:cs="Calibri"/>
                <w:b/>
                <w:bCs/>
                <w:color w:val="6D0E28" w:themeColor="accent4" w:themeShade="80"/>
              </w:rPr>
              <w:t>Contingency planning:</w:t>
            </w:r>
            <w:r w:rsidRPr="0083452D">
              <w:rPr>
                <w:rFonts w:ascii="Calibri" w:hAnsi="Calibri" w:cs="Calibri"/>
                <w:b/>
                <w:bCs/>
                <w:color w:val="243E15" w:themeColor="accent3" w:themeShade="80"/>
                <w:lang w:val="en-US"/>
              </w:rPr>
              <w:t xml:space="preserve"> </w:t>
            </w: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lastRenderedPageBreak/>
              <w:t>Employees might not have a clear role or a conflicting role with their colleagues (</w:t>
            </w:r>
            <w:r w:rsidRPr="00130378">
              <w:rPr>
                <w:rFonts w:ascii="Calibri" w:hAnsi="Calibri" w:cs="Calibri"/>
                <w:color w:val="6D0E28" w:themeColor="accent4" w:themeShade="80"/>
              </w:rPr>
              <w:t>Vulpen</w:t>
            </w:r>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r w:rsidRPr="00B963DD">
              <w:rPr>
                <w:rFonts w:ascii="Calibri" w:hAnsi="Calibri" w:cs="Calibri"/>
                <w:color w:val="6D0E28" w:themeColor="accent4" w:themeShade="80"/>
                <w:lang w:val="en-US"/>
              </w:rPr>
              <w:t>Hughe</w:t>
            </w:r>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r w:rsidR="00B76D16" w:rsidRPr="00B76D16">
              <w:rPr>
                <w:rFonts w:ascii="Calibri" w:hAnsi="Calibri" w:cs="Calibri"/>
                <w:color w:val="6D0E28" w:themeColor="accent4" w:themeShade="80"/>
                <w:lang w:val="en-US"/>
              </w:rPr>
              <w:t>Vulpen</w:t>
            </w:r>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Appraisal is evaluating individuals’ 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Goal-setting theory </w:t>
                  </w:r>
                  <w:r w:rsidR="006E5A61">
                    <w:rPr>
                      <w:rFonts w:ascii="Calibri" w:hAnsi="Calibri" w:cs="Calibri"/>
                      <w:color w:val="6D0E28" w:themeColor="accent4" w:themeShade="80"/>
                      <w:lang w:val="en-US"/>
                    </w:rPr>
                    <w:t>connects goal setting for a certain task with its performance (</w:t>
                  </w:r>
                  <w:r w:rsidR="006E5A61" w:rsidRPr="006E5A61">
                    <w:rPr>
                      <w:rFonts w:ascii="Calibri" w:hAnsi="Calibri" w:cs="Calibri"/>
                      <w:color w:val="6D0E28" w:themeColor="accent4" w:themeShade="80"/>
                      <w:lang w:val="en-US"/>
                    </w:rPr>
                    <w:t>Debara</w:t>
                  </w:r>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Training and development aim at upskilling and reskilling individuals in the organization to boost their performance and ultimately achieve objectives. </w:t>
                  </w:r>
                </w:p>
              </w:tc>
            </w:tr>
            <w:tr w:rsidR="006E5A61" w14:paraId="6143FEE0" w14:textId="77777777" w:rsidTr="00252B7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Learning and development is a continuous process that starts form the first day of the employee through onboarding activities. It can be done individually (coaching and mentoring) or in 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r w:rsidR="00C4566C" w:rsidRPr="00C4566C">
              <w:rPr>
                <w:rFonts w:ascii="Calibri" w:hAnsi="Calibri" w:cs="Calibri"/>
                <w:color w:val="6D0E28" w:themeColor="accent4" w:themeShade="80"/>
                <w:lang w:val="en-US"/>
              </w:rPr>
              <w:t>Cosentino</w:t>
            </w:r>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r w:rsidRPr="00BC6F72">
              <w:rPr>
                <w:rFonts w:ascii="Calibri" w:hAnsi="Calibri" w:cs="Calibri"/>
                <w:color w:val="6D0E28" w:themeColor="accent4" w:themeShade="80"/>
                <w:lang w:val="en-US"/>
              </w:rPr>
              <w:t>Cheary</w:t>
            </w:r>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2234BFD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Express terms in the contract are clear cut terms, unambiguous, and do not need any further interpretation; express terms could be written or agrees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Pr="00F53A67"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terms and conditions that are mentioned in other documents like employee handbook are also part of the contract and are legally binding (ACAS, 2023). That can include terms like what happens when an employee fails to comply with organization’s policies and key information about employment matters within the business.</w:t>
            </w: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Opposing to express terms, implied terms are not mentioned explicitly in a written or verbal agreement. The court has implied its presence in the agreement because the two parties did not consider those terms (Powell,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r w:rsidR="00FB75F6" w:rsidRPr="00FB75F6">
              <w:rPr>
                <w:rFonts w:ascii="Calibri" w:hAnsi="Calibri" w:cs="Calibri"/>
                <w:color w:val="6D0E28" w:themeColor="accent4" w:themeShade="80"/>
                <w:lang w:val="en-US"/>
              </w:rPr>
              <w:t>Eckett</w:t>
            </w:r>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397CCF1B" w14:textId="77777777" w:rsidR="00734AB3" w:rsidRDefault="00734AB3">
      <w:pPr>
        <w:rPr>
          <w:rFonts w:ascii="Calibri" w:hAnsi="Calibri" w:cs="Calibri"/>
          <w:b/>
          <w:bCs/>
          <w:color w:val="243E15" w:themeColor="accent3" w:themeShade="80"/>
          <w:sz w:val="32"/>
          <w:szCs w:val="32"/>
          <w:lang w:eastAsia="en-GB"/>
        </w:rPr>
      </w:pPr>
      <w:r>
        <w:rPr>
          <w:rFonts w:ascii="Calibri" w:hAnsi="Calibri" w:cs="Calibri"/>
          <w:b/>
          <w:bCs/>
          <w:color w:val="243E15" w:themeColor="accent3" w:themeShade="80"/>
          <w:sz w:val="32"/>
          <w:szCs w:val="32"/>
          <w:lang w:eastAsia="en-GB"/>
        </w:rPr>
        <w:br w:type="page"/>
      </w: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lastRenderedPageBreak/>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695CB4">
        <w:trPr>
          <w:trHeight w:val="88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008507B5" w:rsidR="00822B8D" w:rsidRDefault="00CC285B" w:rsidP="006969E2">
            <w:pPr>
              <w:textAlignment w:val="baseline"/>
              <w:rPr>
                <w:rFonts w:ascii="Calibri" w:hAnsi="Calibri" w:cs="Calibri"/>
                <w:szCs w:val="22"/>
                <w:lang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8" w:history="1">
              <w:r w:rsidRPr="00C67842">
                <w:rPr>
                  <w:rStyle w:val="Hyperlink"/>
                  <w:rFonts w:ascii="Calibri" w:hAnsi="Calibri" w:cs="Calibri"/>
                  <w:szCs w:val="22"/>
                  <w:lang w:eastAsia="en-GB"/>
                </w:rPr>
                <w:t>https://blog.hubspot.com/marketing/competitive-analysis-kit</w:t>
              </w:r>
            </w:hyperlink>
            <w:r>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9"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0"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r w:rsidRPr="007E0BF9">
              <w:rPr>
                <w:rFonts w:ascii="Calibri" w:hAnsi="Calibri" w:cs="Calibri"/>
                <w:lang w:eastAsia="en-GB"/>
              </w:rPr>
              <w:t>Satabdi</w:t>
            </w:r>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r w:rsidRPr="00C66F89">
              <w:rPr>
                <w:rFonts w:ascii="Calibri" w:hAnsi="Calibri" w:cs="Calibri"/>
                <w:lang w:eastAsia="en-GB"/>
              </w:rPr>
              <w:t>Charaba</w:t>
            </w:r>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4"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5"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6"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r>
              <w:rPr>
                <w:rFonts w:ascii="Calibri" w:hAnsi="Calibri" w:cs="Calibri"/>
                <w:lang w:eastAsia="en-GB"/>
              </w:rPr>
              <w:t xml:space="preserve">Pavón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r>
              <w:rPr>
                <w:rFonts w:ascii="Calibri" w:hAnsi="Calibri" w:cs="Calibri"/>
                <w:lang w:eastAsia="en-GB"/>
              </w:rPr>
              <w:t xml:space="preserve">Soole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9"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3"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r>
              <w:rPr>
                <w:rFonts w:ascii="Calibri" w:hAnsi="Calibri" w:cs="Calibri"/>
                <w:lang w:eastAsia="en-GB"/>
              </w:rPr>
              <w:t xml:space="preserve">Availabe at </w:t>
            </w:r>
            <w:hyperlink r:id="rId36"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r w:rsidRPr="00130378">
              <w:rPr>
                <w:rFonts w:ascii="Calibri" w:hAnsi="Calibri" w:cs="Calibri"/>
                <w:lang w:eastAsia="en-GB"/>
              </w:rPr>
              <w:t>Vulpen</w:t>
            </w:r>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7"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8"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r w:rsidRPr="00B76D16">
              <w:rPr>
                <w:rFonts w:ascii="Calibri" w:hAnsi="Calibri" w:cs="Calibri"/>
                <w:lang w:eastAsia="en-GB"/>
              </w:rPr>
              <w:t>Vulpen</w:t>
            </w:r>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r w:rsidRPr="00C4566C">
              <w:rPr>
                <w:rFonts w:ascii="Calibri" w:hAnsi="Calibri" w:cs="Calibri"/>
                <w:lang w:val="en-US" w:eastAsia="en-GB"/>
              </w:rPr>
              <w:t>Cosentino</w:t>
            </w:r>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lastRenderedPageBreak/>
              <w:t xml:space="preserve">Hall J., (2019) </w:t>
            </w:r>
            <w:r w:rsidRPr="0008598B">
              <w:rPr>
                <w:rFonts w:ascii="Calibri" w:hAnsi="Calibri" w:cs="Calibri"/>
                <w:i/>
                <w:iCs/>
                <w:lang w:val="en-US" w:eastAsia="en-GB"/>
              </w:rPr>
              <w:t>The Cost Of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3"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3510E4B"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CDDB803" w14:textId="77777777" w:rsidR="00E11FA4" w:rsidRDefault="00E11FA4" w:rsidP="00E405F2">
            <w:pPr>
              <w:textAlignment w:val="baseline"/>
              <w:rPr>
                <w:rFonts w:ascii="Calibri" w:hAnsi="Calibri" w:cs="Calibri"/>
                <w:lang w:eastAsia="en-GB"/>
              </w:rPr>
            </w:pPr>
          </w:p>
          <w:p w14:paraId="20F44C82" w14:textId="41926BFC" w:rsidR="00E11FA4" w:rsidRDefault="00E11FA4"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ED380B3" w14:textId="77777777" w:rsidR="00AF1A26" w:rsidRDefault="00AF1A26" w:rsidP="00E11FA4">
            <w:pPr>
              <w:textAlignment w:val="baseline"/>
              <w:rPr>
                <w:rFonts w:ascii="Calibri" w:hAnsi="Calibri" w:cs="Calibri"/>
                <w:lang w:eastAsia="en-GB"/>
              </w:rPr>
            </w:pPr>
          </w:p>
          <w:p w14:paraId="1C035EF5" w14:textId="77777777" w:rsidR="00E11FA4" w:rsidRDefault="00AF1A2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sidR="00250F01">
              <w:rPr>
                <w:rFonts w:ascii="Calibri" w:hAnsi="Calibri" w:cs="Calibri"/>
                <w:lang w:val="en-US" w:eastAsia="en-GB"/>
              </w:rPr>
              <w:t>.</w:t>
            </w:r>
          </w:p>
          <w:p w14:paraId="71C4EEBA" w14:textId="77777777" w:rsidR="003D5D49" w:rsidRDefault="003D5D49" w:rsidP="00250F01">
            <w:pPr>
              <w:textAlignment w:val="baseline"/>
              <w:rPr>
                <w:rFonts w:ascii="Calibri" w:hAnsi="Calibri" w:cs="Calibri"/>
                <w:lang w:val="en-US" w:eastAsia="en-GB"/>
              </w:rPr>
            </w:pPr>
          </w:p>
          <w:p w14:paraId="56AAD6F2" w14:textId="77777777" w:rsidR="003D5D49" w:rsidRDefault="003D5D49"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7"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D32C3FE" w14:textId="77777777" w:rsidR="005D4BB3" w:rsidRDefault="005D4BB3" w:rsidP="00250F01">
            <w:pPr>
              <w:textAlignment w:val="baseline"/>
              <w:rPr>
                <w:rFonts w:ascii="Calibri" w:hAnsi="Calibri" w:cs="Calibri"/>
                <w:lang w:eastAsia="en-GB"/>
              </w:rPr>
            </w:pPr>
          </w:p>
          <w:p w14:paraId="326E7648" w14:textId="77777777" w:rsidR="005D4BB3" w:rsidRDefault="005D4BB3"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8"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1C048BF" w14:textId="77777777" w:rsidR="00BC6F72" w:rsidRDefault="00BC6F72" w:rsidP="00250F01">
            <w:pPr>
              <w:textAlignment w:val="baseline"/>
              <w:rPr>
                <w:rFonts w:ascii="Calibri" w:hAnsi="Calibri" w:cs="Calibri"/>
                <w:lang w:eastAsia="en-GB"/>
              </w:rPr>
            </w:pPr>
          </w:p>
          <w:p w14:paraId="5E4BAAD3" w14:textId="77777777" w:rsidR="00BC6F72" w:rsidRDefault="00BC6F72" w:rsidP="00250F01">
            <w:pPr>
              <w:textAlignment w:val="baseline"/>
              <w:rPr>
                <w:rFonts w:ascii="Calibri" w:hAnsi="Calibri" w:cs="Calibri"/>
                <w:lang w:eastAsia="en-GB"/>
              </w:rPr>
            </w:pPr>
            <w:r w:rsidRPr="00BC6F72">
              <w:rPr>
                <w:rFonts w:ascii="Calibri" w:hAnsi="Calibri" w:cs="Calibri"/>
                <w:lang w:val="en-US" w:eastAsia="en-GB"/>
              </w:rPr>
              <w:t>Cheary</w:t>
            </w:r>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9"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52632A07" w14:textId="77777777" w:rsidR="00544F98" w:rsidRDefault="00544F98" w:rsidP="00250F01">
            <w:pPr>
              <w:textAlignment w:val="baseline"/>
              <w:rPr>
                <w:rFonts w:ascii="Calibri" w:hAnsi="Calibri" w:cs="Calibri"/>
                <w:lang w:eastAsia="en-GB"/>
              </w:rPr>
            </w:pPr>
          </w:p>
          <w:p w14:paraId="5F4AAC0F" w14:textId="77777777" w:rsidR="00544F98" w:rsidRDefault="00544F98" w:rsidP="00250F01">
            <w:pPr>
              <w:textAlignment w:val="baseline"/>
              <w:rPr>
                <w:rFonts w:ascii="Calibri" w:hAnsi="Calibri" w:cs="Calibri"/>
                <w:lang w:eastAsia="en-GB"/>
              </w:rPr>
            </w:pPr>
            <w:r>
              <w:rPr>
                <w:rFonts w:ascii="Calibri" w:hAnsi="Calibri" w:cs="Calibri"/>
                <w:lang w:val="en-US" w:eastAsia="en-GB"/>
              </w:rPr>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50"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42086F7" w14:textId="77777777" w:rsidR="00442F7A" w:rsidRDefault="00442F7A" w:rsidP="00250F01">
            <w:pPr>
              <w:textAlignment w:val="baseline"/>
              <w:rPr>
                <w:rFonts w:ascii="Calibri" w:hAnsi="Calibri" w:cs="Calibri"/>
                <w:lang w:eastAsia="en-GB"/>
              </w:rPr>
            </w:pPr>
          </w:p>
          <w:p w14:paraId="7E0E2E5F" w14:textId="77777777" w:rsidR="00442F7A" w:rsidRDefault="00442F7A" w:rsidP="00250F01">
            <w:pPr>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51"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sidR="00F53A67">
              <w:rPr>
                <w:rFonts w:ascii="Calibri" w:hAnsi="Calibri" w:cs="Calibri"/>
                <w:lang w:val="en-US" w:eastAsia="en-GB"/>
              </w:rPr>
              <w:t>.</w:t>
            </w:r>
          </w:p>
          <w:p w14:paraId="404B4C5B" w14:textId="77777777" w:rsidR="00F53A67" w:rsidRDefault="00F53A67" w:rsidP="00250F01">
            <w:pPr>
              <w:textAlignment w:val="baseline"/>
              <w:rPr>
                <w:rFonts w:ascii="Calibri" w:hAnsi="Calibri" w:cs="Calibri"/>
                <w:lang w:val="en-US" w:eastAsia="en-GB"/>
              </w:rPr>
            </w:pPr>
          </w:p>
          <w:p w14:paraId="1A7E92BD" w14:textId="77777777" w:rsidR="00F53A67" w:rsidRDefault="00F53A67" w:rsidP="00250F01">
            <w:pPr>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52"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DD9B6F2" w14:textId="77777777" w:rsidR="0078228C" w:rsidRDefault="0078228C" w:rsidP="00250F01">
            <w:pPr>
              <w:textAlignment w:val="baseline"/>
              <w:rPr>
                <w:rFonts w:ascii="Calibri" w:hAnsi="Calibri" w:cs="Calibri"/>
                <w:lang w:val="en-US" w:eastAsia="en-GB"/>
              </w:rPr>
            </w:pPr>
          </w:p>
          <w:p w14:paraId="3614675B" w14:textId="77777777" w:rsidR="0078228C" w:rsidRDefault="0078228C" w:rsidP="00250F01">
            <w:pPr>
              <w:textAlignment w:val="baseline"/>
              <w:rPr>
                <w:rFonts w:ascii="Calibri" w:hAnsi="Calibri" w:cs="Calibri"/>
                <w:lang w:val="en-US" w:eastAsia="en-GB"/>
              </w:rPr>
            </w:pPr>
            <w:r w:rsidRPr="0078228C">
              <w:rPr>
                <w:rFonts w:ascii="Calibri" w:hAnsi="Calibri" w:cs="Calibri"/>
                <w:lang w:val="en-US" w:eastAsia="en-GB"/>
              </w:rPr>
              <w:t xml:space="preserve">Eckett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53"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3F29CC8A" w14:textId="77777777" w:rsidR="00BD7464" w:rsidRDefault="00BD7464" w:rsidP="00250F01">
            <w:pPr>
              <w:textAlignment w:val="baseline"/>
              <w:rPr>
                <w:rFonts w:ascii="Calibri" w:hAnsi="Calibri" w:cs="Calibri"/>
                <w:lang w:val="en-US" w:eastAsia="en-GB"/>
              </w:rPr>
            </w:pPr>
          </w:p>
          <w:p w14:paraId="40C92D3A" w14:textId="77777777" w:rsidR="00BD7464" w:rsidRDefault="00BD7464" w:rsidP="00250F01">
            <w:pPr>
              <w:textAlignment w:val="baseline"/>
              <w:rPr>
                <w:rFonts w:ascii="Calibri" w:hAnsi="Calibri" w:cs="Calibri"/>
                <w:lang w:val="en-US" w:eastAsia="en-GB"/>
              </w:rPr>
            </w:pPr>
            <w:r w:rsidRPr="00BD7464">
              <w:rPr>
                <w:rFonts w:ascii="Calibri" w:hAnsi="Calibri" w:cs="Calibri"/>
                <w:lang w:val="en-US" w:eastAsia="en-GB"/>
              </w:rPr>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54"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19508E7A" w14:textId="77777777" w:rsidR="000A63BE" w:rsidRDefault="000A63BE" w:rsidP="00250F01">
            <w:pPr>
              <w:textAlignment w:val="baseline"/>
              <w:rPr>
                <w:rFonts w:ascii="Calibri" w:hAnsi="Calibri" w:cs="Calibri"/>
                <w:lang w:val="en-US" w:eastAsia="en-GB"/>
              </w:rPr>
            </w:pPr>
          </w:p>
          <w:p w14:paraId="1766883A" w14:textId="77777777" w:rsidR="000A63BE" w:rsidRDefault="000A63BE" w:rsidP="00250F01">
            <w:pPr>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5"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28B647E3" w14:textId="77777777" w:rsidR="009D39B1" w:rsidRDefault="009D39B1" w:rsidP="00250F01">
            <w:pPr>
              <w:textAlignment w:val="baseline"/>
              <w:rPr>
                <w:rFonts w:ascii="Calibri" w:hAnsi="Calibri" w:cs="Calibri"/>
                <w:lang w:val="en-US" w:eastAsia="en-GB"/>
              </w:rPr>
            </w:pPr>
          </w:p>
          <w:p w14:paraId="49F0958A" w14:textId="77777777" w:rsidR="009D39B1" w:rsidRDefault="009D39B1" w:rsidP="00250F01">
            <w:pPr>
              <w:textAlignment w:val="baseline"/>
              <w:rPr>
                <w:rFonts w:ascii="Calibri" w:hAnsi="Calibri" w:cs="Calibri"/>
                <w:lang w:val="en-US" w:eastAsia="en-GB"/>
              </w:rPr>
            </w:pPr>
            <w:r>
              <w:rPr>
                <w:rFonts w:ascii="Calibri" w:hAnsi="Calibri" w:cs="Calibri"/>
                <w:lang w:val="en-US" w:eastAsia="en-GB"/>
              </w:rPr>
              <w:lastRenderedPageBreak/>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56"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4460CC52" w14:textId="77777777" w:rsidR="00695CB4" w:rsidRDefault="00695CB4" w:rsidP="00250F01">
            <w:pPr>
              <w:textAlignment w:val="baseline"/>
              <w:rPr>
                <w:rFonts w:ascii="Calibri" w:hAnsi="Calibri" w:cs="Calibri"/>
                <w:lang w:val="en-US" w:eastAsia="en-GB"/>
              </w:rPr>
            </w:pPr>
          </w:p>
          <w:p w14:paraId="6AFC5276" w14:textId="66A91042" w:rsidR="00695CB4" w:rsidRPr="00695CB4" w:rsidRDefault="00695CB4" w:rsidP="00695CB4">
            <w:pPr>
              <w:textAlignment w:val="baseline"/>
              <w:rPr>
                <w:rFonts w:ascii="Calibri" w:hAnsi="Calibri" w:cs="Calibri"/>
                <w:lang w:val="en-US" w:eastAsia="en-GB"/>
              </w:rPr>
            </w:pPr>
            <w:r w:rsidRPr="00695CB4">
              <w:rPr>
                <w:rFonts w:ascii="Calibri" w:hAnsi="Calibri" w:cs="Calibri"/>
                <w:lang w:val="en-US" w:eastAsia="en-GB"/>
              </w:rPr>
              <w:t>Vulpen</w:t>
            </w:r>
            <w:r>
              <w:rPr>
                <w:rFonts w:ascii="Calibri" w:hAnsi="Calibri" w:cs="Calibri"/>
                <w:lang w:val="en-US" w:eastAsia="en-GB"/>
              </w:rPr>
              <w:t xml:space="preserve"> (n.d.) </w:t>
            </w:r>
            <w:r w:rsidRPr="00695CB4">
              <w:rPr>
                <w:rFonts w:ascii="Calibri" w:hAnsi="Calibri" w:cs="Calibri"/>
                <w:i/>
                <w:iCs/>
                <w:lang w:val="en-US" w:eastAsia="en-GB"/>
              </w:rPr>
              <w:t>Succession Planning: Essential Guide for HR</w:t>
            </w:r>
            <w:r>
              <w:rPr>
                <w:rFonts w:ascii="Calibri" w:hAnsi="Calibri" w:cs="Calibri"/>
                <w:i/>
                <w:iCs/>
                <w:lang w:val="en-US" w:eastAsia="en-GB"/>
              </w:rPr>
              <w:t xml:space="preserve">. </w:t>
            </w:r>
            <w:r>
              <w:rPr>
                <w:rFonts w:ascii="Calibri" w:hAnsi="Calibri" w:cs="Calibri"/>
                <w:lang w:val="en-US" w:eastAsia="en-GB"/>
              </w:rPr>
              <w:t xml:space="preserve">Available at </w:t>
            </w:r>
            <w:hyperlink r:id="rId57" w:history="1">
              <w:r w:rsidRPr="00BF0293">
                <w:rPr>
                  <w:rStyle w:val="Hyperlink"/>
                  <w:rFonts w:ascii="Calibri" w:hAnsi="Calibri" w:cs="Calibri"/>
                  <w:lang w:val="en-US" w:eastAsia="en-GB"/>
                </w:rPr>
                <w:t>https://www.aihr.com/blog/succession-planning/</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val="en-GB"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w:lastRenderedPageBreak/>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252B71" w:rsidRDefault="00252B71"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" fillcolor="white [3201]" strokeweight=".5pt">
                <v:textbox>
                  <w:txbxContent>
                    <w:p w14:paraId="0D5A4BDF" w14:textId="77777777" w:rsidR="00252B71" w:rsidRDefault="00252B71" w:rsidP="00F71DD0"/>
                  </w:txbxContent>
                </v:textbox>
              </v:shape>
            </w:pict>
          </mc:Fallback>
        </mc:AlternateContent>
      </w:r>
      <w:r w:rsidR="00822B8D" w:rsidRPr="003313CF">
        <w:rPr>
          <w:rFonts w:ascii="Calibri" w:hAnsi="Calibri" w:cs="Calibri"/>
        </w:rPr>
        <w:t xml:space="preserve">Declaration by Assessor </w:t>
      </w:r>
      <w:bookmarkStart w:id="4"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4"/>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5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59"/>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3957E" w14:textId="77777777" w:rsidR="00D53164" w:rsidRDefault="00D53164" w:rsidP="00CB3ADD">
      <w:r>
        <w:separator/>
      </w:r>
    </w:p>
  </w:endnote>
  <w:endnote w:type="continuationSeparator" w:id="0">
    <w:p w14:paraId="65657B7C" w14:textId="77777777" w:rsidR="00D53164" w:rsidRDefault="00D53164" w:rsidP="00CB3ADD">
      <w:r>
        <w:continuationSeparator/>
      </w:r>
    </w:p>
  </w:endnote>
  <w:endnote w:type="continuationNotice" w:id="1">
    <w:p w14:paraId="6DCF119C" w14:textId="77777777" w:rsidR="00D53164" w:rsidRDefault="00D531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691DE" w14:textId="289B396A" w:rsidR="00252B71" w:rsidRDefault="00252B71">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726AF">
          <w:rPr>
            <w:noProof/>
          </w:rPr>
          <w:t>20</w:t>
        </w:r>
        <w:r>
          <w:rPr>
            <w:noProof/>
          </w:rPr>
          <w:fldChar w:fldCharType="end"/>
        </w:r>
      </w:sdtContent>
    </w:sdt>
  </w:p>
  <w:p w14:paraId="2EF43B00" w14:textId="79CD9C3F" w:rsidR="00252B71" w:rsidRDefault="00252B71"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283A" w14:textId="0DBC8F95" w:rsidR="00252B71" w:rsidRDefault="00252B71">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73ED8" w14:textId="77777777" w:rsidR="00D53164" w:rsidRDefault="00D53164" w:rsidP="00CB3ADD">
      <w:r>
        <w:separator/>
      </w:r>
    </w:p>
  </w:footnote>
  <w:footnote w:type="continuationSeparator" w:id="0">
    <w:p w14:paraId="638DA1C9" w14:textId="77777777" w:rsidR="00D53164" w:rsidRDefault="00D53164" w:rsidP="00CB3ADD">
      <w:r>
        <w:continuationSeparator/>
      </w:r>
    </w:p>
  </w:footnote>
  <w:footnote w:type="continuationNotice" w:id="1">
    <w:p w14:paraId="353F985C" w14:textId="77777777" w:rsidR="00D53164" w:rsidRDefault="00D5316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AF7B" w14:textId="77777777" w:rsidR="00252B71" w:rsidRPr="009F0B2F" w:rsidRDefault="00252B71"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7DDC" w14:textId="6A4B0D0F" w:rsidR="00252B71" w:rsidRDefault="00252B71">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A9578" w14:textId="77777777" w:rsidR="00252B71" w:rsidRPr="009F0B2F" w:rsidRDefault="00252B71"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5"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3"/>
  </w:num>
  <w:num w:numId="3">
    <w:abstractNumId w:val="41"/>
  </w:num>
  <w:num w:numId="4">
    <w:abstractNumId w:val="32"/>
  </w:num>
  <w:num w:numId="5">
    <w:abstractNumId w:val="21"/>
  </w:num>
  <w:num w:numId="6">
    <w:abstractNumId w:val="6"/>
  </w:num>
  <w:num w:numId="7">
    <w:abstractNumId w:val="33"/>
  </w:num>
  <w:num w:numId="8">
    <w:abstractNumId w:val="9"/>
  </w:num>
  <w:num w:numId="9">
    <w:abstractNumId w:val="14"/>
  </w:num>
  <w:num w:numId="10">
    <w:abstractNumId w:val="24"/>
  </w:num>
  <w:num w:numId="11">
    <w:abstractNumId w:val="8"/>
  </w:num>
  <w:num w:numId="12">
    <w:abstractNumId w:val="19"/>
  </w:num>
  <w:num w:numId="13">
    <w:abstractNumId w:val="42"/>
  </w:num>
  <w:num w:numId="14">
    <w:abstractNumId w:val="17"/>
  </w:num>
  <w:num w:numId="15">
    <w:abstractNumId w:val="28"/>
  </w:num>
  <w:num w:numId="16">
    <w:abstractNumId w:val="40"/>
  </w:num>
  <w:num w:numId="17">
    <w:abstractNumId w:val="39"/>
  </w:num>
  <w:num w:numId="18">
    <w:abstractNumId w:val="30"/>
  </w:num>
  <w:num w:numId="19">
    <w:abstractNumId w:val="25"/>
  </w:num>
  <w:num w:numId="20">
    <w:abstractNumId w:val="11"/>
  </w:num>
  <w:num w:numId="21">
    <w:abstractNumId w:val="22"/>
  </w:num>
  <w:num w:numId="22">
    <w:abstractNumId w:val="26"/>
  </w:num>
  <w:num w:numId="23">
    <w:abstractNumId w:val="4"/>
  </w:num>
  <w:num w:numId="24">
    <w:abstractNumId w:val="0"/>
  </w:num>
  <w:num w:numId="25">
    <w:abstractNumId w:val="5"/>
  </w:num>
  <w:num w:numId="26">
    <w:abstractNumId w:val="7"/>
  </w:num>
  <w:num w:numId="27">
    <w:abstractNumId w:val="35"/>
  </w:num>
  <w:num w:numId="28">
    <w:abstractNumId w:val="29"/>
  </w:num>
  <w:num w:numId="29">
    <w:abstractNumId w:val="31"/>
  </w:num>
  <w:num w:numId="30">
    <w:abstractNumId w:val="27"/>
  </w:num>
  <w:num w:numId="31">
    <w:abstractNumId w:val="16"/>
  </w:num>
  <w:num w:numId="32">
    <w:abstractNumId w:val="2"/>
  </w:num>
  <w:num w:numId="33">
    <w:abstractNumId w:val="18"/>
  </w:num>
  <w:num w:numId="34">
    <w:abstractNumId w:val="38"/>
  </w:num>
  <w:num w:numId="35">
    <w:abstractNumId w:val="13"/>
  </w:num>
  <w:num w:numId="36">
    <w:abstractNumId w:val="12"/>
  </w:num>
  <w:num w:numId="37">
    <w:abstractNumId w:val="36"/>
  </w:num>
  <w:num w:numId="38">
    <w:abstractNumId w:val="1"/>
  </w:num>
  <w:num w:numId="39">
    <w:abstractNumId w:val="10"/>
  </w:num>
  <w:num w:numId="40">
    <w:abstractNumId w:val="34"/>
  </w:num>
  <w:num w:numId="41">
    <w:abstractNumId w:val="15"/>
  </w:num>
  <w:num w:numId="42">
    <w:abstractNumId w:val="20"/>
  </w:num>
  <w:num w:numId="43">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2368"/>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AE3"/>
    <w:rsid w:val="00210BFD"/>
    <w:rsid w:val="00210EB6"/>
    <w:rsid w:val="00210F1B"/>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2B71"/>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BB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27171"/>
    <w:rsid w:val="00432301"/>
    <w:rsid w:val="0043258B"/>
    <w:rsid w:val="0043260B"/>
    <w:rsid w:val="00435498"/>
    <w:rsid w:val="00435FE2"/>
    <w:rsid w:val="0043641E"/>
    <w:rsid w:val="004405C8"/>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CB4"/>
    <w:rsid w:val="005A1D3D"/>
    <w:rsid w:val="005A1F16"/>
    <w:rsid w:val="005A2694"/>
    <w:rsid w:val="005A3DE0"/>
    <w:rsid w:val="005A41B5"/>
    <w:rsid w:val="005A4554"/>
    <w:rsid w:val="005A5C6C"/>
    <w:rsid w:val="005A7EDC"/>
    <w:rsid w:val="005B02F7"/>
    <w:rsid w:val="005B4425"/>
    <w:rsid w:val="005C026E"/>
    <w:rsid w:val="005C164D"/>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B4"/>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28C"/>
    <w:rsid w:val="00782DD4"/>
    <w:rsid w:val="00784065"/>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F07D0"/>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52D"/>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5B67"/>
    <w:rsid w:val="008971B0"/>
    <w:rsid w:val="008A146C"/>
    <w:rsid w:val="008A1949"/>
    <w:rsid w:val="008A2EBB"/>
    <w:rsid w:val="008A53CD"/>
    <w:rsid w:val="008A689F"/>
    <w:rsid w:val="008A6C2C"/>
    <w:rsid w:val="008A788D"/>
    <w:rsid w:val="008A7E3D"/>
    <w:rsid w:val="008B1DD9"/>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2A4"/>
    <w:rsid w:val="009C75FB"/>
    <w:rsid w:val="009D07C6"/>
    <w:rsid w:val="009D0C35"/>
    <w:rsid w:val="009D28B6"/>
    <w:rsid w:val="009D39B1"/>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30F"/>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4C32"/>
    <w:rsid w:val="00BC6CE7"/>
    <w:rsid w:val="00BC6EEB"/>
    <w:rsid w:val="00BC6F72"/>
    <w:rsid w:val="00BC73A4"/>
    <w:rsid w:val="00BD237D"/>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6AF"/>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5B42"/>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164"/>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920"/>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4EF2"/>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F0"/>
    <w:rPr>
      <w:rFonts w:ascii="Times New Roman" w:eastAsia="Times New Roman" w:hAnsi="Times New Roman" w:cs="Times New Roman"/>
      <w:lang/>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val="en-GB"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lang w:val="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lang w:val="en-GB"/>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val="en-GB"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val="en-GB"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val="en-GB"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lang w:val="en-GB"/>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lang w:val="en-GB"/>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lang w:val="en-GB"/>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lang w:val="en-GB"/>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lang w:val="en-GB"/>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lang w:val="en-GB"/>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val="en-GB"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lang w:val="en-GB"/>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lang w:val="en-GB"/>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lang w:val="en-GB"/>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lang w:val="en-GB"/>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val="en-GB"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customStyle="1" w:styleId="UnresolvedMention">
    <w:name w:val="Unresolved Mention"/>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26" Type="http://schemas.openxmlformats.org/officeDocument/2006/relationships/hyperlink" Target="https://essmag.co.uk/how-to-bridge-the-current-skills-gap-within-the-energy-sector/" TargetMode="External"/><Relationship Id="rId39" Type="http://schemas.openxmlformats.org/officeDocument/2006/relationships/hyperlink" Target="https://hbr.org/1973/07/why-employees-stay" TargetMode="External"/><Relationship Id="rId21" Type="http://schemas.openxmlformats.org/officeDocument/2006/relationships/hyperlink" Target="https://www.talscale.com/blog/employer-branding-in-recruitment-why-it-is-important" TargetMode="External"/><Relationship Id="rId34" Type="http://schemas.openxmlformats.org/officeDocument/2006/relationships/hyperlink" Target="https://www.linkedin.com/pulse/general-introduction-techniques-hr-planning-gia-linh-nguyen/" TargetMode="External"/><Relationship Id="rId42" Type="http://schemas.openxmlformats.org/officeDocument/2006/relationships/hyperlink" Target="https://www.aihr.com/blog/dysfunctional-turnover/" TargetMode="External"/><Relationship Id="rId47" Type="http://schemas.openxmlformats.org/officeDocument/2006/relationships/hyperlink" Target="https://www.gov.uk/contract-types-and-employer-responsibilities/zero-hour-contracts" TargetMode="External"/><Relationship Id="rId50" Type="http://schemas.openxmlformats.org/officeDocument/2006/relationships/hyperlink" Target="https://www.gov.uk/contract-types-and-employer-responsibilities/agency-staff" TargetMode="External"/><Relationship Id="rId55" Type="http://schemas.openxmlformats.org/officeDocument/2006/relationships/hyperlink" Target="https://www.shrm.org/resourcesandtools/hr-topics/talent-acquisition/pages/new-employee-onboarding-guide.asp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youtube.com/watch?v=JecvLpZFtfA" TargetMode="Externa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hyperlink" Target="https://www.aihr.com/blog/what-drives-employee-turnover" TargetMode="External"/><Relationship Id="rId40" Type="http://schemas.openxmlformats.org/officeDocument/2006/relationships/hyperlink" Target="https://www.cipd.org/en/knowledge/factsheets/talent-factsheet" TargetMode="External"/><Relationship Id="rId45" Type="http://schemas.openxmlformats.org/officeDocument/2006/relationships/hyperlink" Target="https://www.indeed.com/career-advice/finding-a-job/types-of-contracts-employment" TargetMode="External"/><Relationship Id="rId53" Type="http://schemas.openxmlformats.org/officeDocument/2006/relationships/hyperlink" Target="https://www.hrzone.com/lead/culture/a-legal-guide-to-custom-and-practice-for-hr" TargetMode="External"/><Relationship Id="rId58" Type="http://schemas.openxmlformats.org/officeDocument/2006/relationships/image" Target="media/image6.png"/><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andrewwaleslod.co.uk/learning-resources-how-organisations-position-themselves-in-competitive-labour-markets/" TargetMode="Externa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hyperlink" Target="https://www.cipd.org/uk/knowledge/factsheets/turnover-retention-factsheet/" TargetMode="External"/><Relationship Id="rId43" Type="http://schemas.openxmlformats.org/officeDocument/2006/relationships/hyperlink" Target="https://www.forbes.com/sites/johnhall/2019/05/09/the-cost-of-turnover-can-kill-your-business-and-make-things-less-fun/?sh=7b677b457943" TargetMode="External"/><Relationship Id="rId48" Type="http://schemas.openxmlformats.org/officeDocument/2006/relationships/hyperlink" Target="https://www.gov.uk/contract-types-and-employer-responsibilities/fixedterm-contracts" TargetMode="External"/><Relationship Id="rId56" Type="http://schemas.openxmlformats.org/officeDocument/2006/relationships/hyperlink" Target="https://www.hrcloud.com/blog/onboarding-best-practices-the-4-cs" TargetMode="External"/><Relationship Id="rId8" Type="http://schemas.openxmlformats.org/officeDocument/2006/relationships/webSettings" Target="webSettings.xml"/><Relationship Id="rId51" Type="http://schemas.openxmlformats.org/officeDocument/2006/relationships/hyperlink" Target="https://www.acas.org.uk/what-an-employment-contract-is"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hyperlink" Target="https://www.betterup.com/blog/why-employees-leave" TargetMode="External"/><Relationship Id="rId46" Type="http://schemas.openxmlformats.org/officeDocument/2006/relationships/hyperlink" Target="https://www.cipd.org/uk/knowledge/factsheets/terms-conditions-contracts-factsheet/" TargetMode="External"/><Relationship Id="rId59" Type="http://schemas.openxmlformats.org/officeDocument/2006/relationships/header" Target="header3.xml"/><Relationship Id="rId20" Type="http://schemas.openxmlformats.org/officeDocument/2006/relationships/hyperlink" Target="https://www.cipd.org/en/knowledge/factsheets/recruitment-brand-factsheet/" TargetMode="External"/><Relationship Id="rId41" Type="http://schemas.openxmlformats.org/officeDocument/2006/relationships/hyperlink" Target="https://www.aihr.com/blog/what-is-talent-management/" TargetMode="External"/><Relationship Id="rId54" Type="http://schemas.openxmlformats.org/officeDocument/2006/relationships/hyperlink" Target="https://psycnet.apa.org/record/2010-06019-002" TargetMode="External"/><Relationship Id="rId62"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yperlink" Target="https://bizfluent.com/info-8154593-difference-functional-dysfunctional-employee-turnover.html" TargetMode="External"/><Relationship Id="rId49" Type="http://schemas.openxmlformats.org/officeDocument/2006/relationships/hyperlink" Target="https://www.reed.co.uk/career-advice/types-of-employment-contracts/" TargetMode="External"/><Relationship Id="rId57" Type="http://schemas.openxmlformats.org/officeDocument/2006/relationships/hyperlink" Target="https://www.aihr.com/blog/succession-planning/" TargetMode="External"/><Relationship Id="rId10" Type="http://schemas.openxmlformats.org/officeDocument/2006/relationships/endnotes" Target="endnotes.xml"/><Relationship Id="rId31" Type="http://schemas.openxmlformats.org/officeDocument/2006/relationships/hyperlink" Target="https://www.forbes.com/advisor/business/workforce-planning/" TargetMode="External"/><Relationship Id="rId44" Type="http://schemas.openxmlformats.org/officeDocument/2006/relationships/hyperlink" Target="https://lrshrm.shrm.org/blog/2017/10/essential-elements-employee-retention" TargetMode="External"/><Relationship Id="rId52" Type="http://schemas.openxmlformats.org/officeDocument/2006/relationships/hyperlink" Target="https://harperjames.co.uk/article/contracts-express-and-implied-terms/"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A19D7-7A14-41DE-ABCF-EA8919A7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25</Pages>
  <Words>7555</Words>
  <Characters>43064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97</cp:revision>
  <dcterms:created xsi:type="dcterms:W3CDTF">2023-07-27T10:42:00Z</dcterms:created>
  <dcterms:modified xsi:type="dcterms:W3CDTF">2023-09-03T12:04:00Z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