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80"/>
        <w:jc w:val="center"/>
      </w:pPr>
      <w:r>
        <w:rPr>
          <w:b/>
          <w:bCs/>
          <w:color w:val="1F2A44"/>
          <w:sz w:val="42"/>
          <w:szCs w:val="42"/>
        </w:rPr>
        <w:t xml:space="preserve">FOUNDER DECISIONS DOCUMENT</w:t>
      </w:r>
    </w:p>
    <w:p>
      <w:pPr>
        <w:spacing w:after="60"/>
        <w:jc w:val="center"/>
      </w:pPr>
      <w:r>
        <w:rPr>
          <w:b/>
          <w:bCs/>
          <w:color w:val="D68910"/>
          <w:sz w:val="24"/>
          <w:szCs w:val="24"/>
        </w:rPr>
        <w:t xml:space="preserve">(FDD) — Constitutional Source of Truth</w:t>
      </w:r>
    </w:p>
    <w:p>
      <w:pPr>
        <w:spacing w:after="350"/>
        <w:jc w:val="center"/>
      </w:pPr>
      <w:r>
        <w:rPr>
          <w:color w:val="6B7280"/>
          <w:sz w:val="23"/>
          <w:szCs w:val="23"/>
        </w:rPr>
        <w:t xml:space="preserve">Tajribti (تجربتي) — Egypt's Consumer Intelligence Platform</w:t>
      </w:r>
    </w:p>
    <w:p>
      <w:pPr>
        <w:spacing w:before="5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700"/>
        <w:gridCol w:w="6650"/>
      </w:tblGrid>
      <w:tr>
        <w:trPr>
          <w:tblHeader/>
        </w:trPr>
        <w:tc>
          <w:tcPr>
            <w:tcW w:type="dxa" w:w="2700"/>
            <w:shd w:fill="1F2A44" w:val="clear"/>
            <w:tcMar>
              <w:top w:type="dxa" w:w="100"/>
              <w:left w:type="dxa" w:w="120"/>
              <w:bottom w:type="dxa" w:w="100"/>
              <w:right w:type="dxa" w:w="120"/>
            </w:tcMar>
            <w:vAlign w:val="center"/>
          </w:tcPr>
          <w:p>
            <w:r>
              <w:rPr>
                <w:b/>
                <w:bCs/>
                <w:color w:val="FFFFFF"/>
                <w:sz w:val="18"/>
                <w:szCs w:val="18"/>
              </w:rPr>
              <w:t xml:space="preserve">Field</w:t>
            </w:r>
          </w:p>
        </w:tc>
        <w:tc>
          <w:tcPr>
            <w:tcW w:type="dxa" w:w="6650"/>
            <w:shd w:fill="1F2A44" w:val="clear"/>
            <w:tcMar>
              <w:top w:type="dxa" w:w="100"/>
              <w:left w:type="dxa" w:w="120"/>
              <w:bottom w:type="dxa" w:w="100"/>
              <w:right w:type="dxa" w:w="120"/>
            </w:tcMar>
            <w:vAlign w:val="center"/>
          </w:tcPr>
          <w:p>
            <w:r>
              <w:rPr>
                <w:b/>
                <w:bCs/>
                <w:color w:val="FFFFFF"/>
                <w:sz w:val="18"/>
                <w:szCs w:val="18"/>
              </w:rPr>
              <w:t xml:space="preserve">Detail</w:t>
            </w:r>
          </w:p>
        </w:tc>
      </w:tr>
      <w:tr>
        <w:tc>
          <w:tcPr>
            <w:tcW w:type="dxa" w:w="2700"/>
            <w:shd w:fill="FFFFFF" w:val="clear"/>
            <w:tcMar>
              <w:top w:type="dxa" w:w="80"/>
              <w:left w:type="dxa" w:w="110"/>
              <w:bottom w:type="dxa" w:w="80"/>
              <w:right w:type="dxa" w:w="110"/>
            </w:tcMar>
            <w:vAlign w:val="center"/>
          </w:tcPr>
          <w:p>
            <w:r>
              <w:rPr>
                <w:sz w:val="18"/>
                <w:szCs w:val="18"/>
              </w:rPr>
              <w:t xml:space="preserve">Document Type</w:t>
            </w:r>
          </w:p>
        </w:tc>
        <w:tc>
          <w:tcPr>
            <w:tcW w:type="dxa" w:w="6650"/>
            <w:shd w:fill="FFFFFF" w:val="clear"/>
            <w:tcMar>
              <w:top w:type="dxa" w:w="80"/>
              <w:left w:type="dxa" w:w="110"/>
              <w:bottom w:type="dxa" w:w="80"/>
              <w:right w:type="dxa" w:w="110"/>
            </w:tcMar>
            <w:vAlign w:val="center"/>
          </w:tcPr>
          <w:p>
            <w:r>
              <w:rPr>
                <w:sz w:val="18"/>
                <w:szCs w:val="18"/>
              </w:rPr>
              <w:t xml:space="preserve">Founder Decisions Document (FDD) — governs all future PRD, Architecture, UX, Database, Development, and Marketing documents</w:t>
            </w:r>
          </w:p>
        </w:tc>
      </w:tr>
      <w:tr>
        <w:tc>
          <w:tcPr>
            <w:tcW w:type="dxa" w:w="2700"/>
            <w:shd w:fill="F2F2F2" w:val="clear"/>
            <w:tcMar>
              <w:top w:type="dxa" w:w="80"/>
              <w:left w:type="dxa" w:w="110"/>
              <w:bottom w:type="dxa" w:w="80"/>
              <w:right w:type="dxa" w:w="110"/>
            </w:tcMar>
            <w:vAlign w:val="center"/>
          </w:tcPr>
          <w:p>
            <w:r>
              <w:rPr>
                <w:sz w:val="18"/>
                <w:szCs w:val="18"/>
              </w:rPr>
              <w:t xml:space="preserve">Supersedes / builds on</w:t>
            </w:r>
          </w:p>
        </w:tc>
        <w:tc>
          <w:tcPr>
            <w:tcW w:type="dxa" w:w="6650"/>
            <w:shd w:fill="F2F2F2" w:val="clear"/>
            <w:tcMar>
              <w:top w:type="dxa" w:w="80"/>
              <w:left w:type="dxa" w:w="110"/>
              <w:bottom w:type="dxa" w:w="80"/>
              <w:right w:type="dxa" w:w="110"/>
            </w:tcMar>
            <w:vAlign w:val="center"/>
          </w:tcPr>
          <w:p>
            <w:r>
              <w:rPr>
                <w:sz w:val="18"/>
                <w:szCs w:val="18"/>
              </w:rPr>
              <w:t xml:space="preserve">Investment Committee Memo v1.0; Master Execution Blueprint v1.0</w:t>
            </w:r>
          </w:p>
        </w:tc>
      </w:tr>
      <w:tr>
        <w:tc>
          <w:tcPr>
            <w:tcW w:type="dxa" w:w="2700"/>
            <w:shd w:fill="FFFFFF" w:val="clear"/>
            <w:tcMar>
              <w:top w:type="dxa" w:w="80"/>
              <w:left w:type="dxa" w:w="110"/>
              <w:bottom w:type="dxa" w:w="80"/>
              <w:right w:type="dxa" w:w="110"/>
            </w:tcMar>
            <w:vAlign w:val="center"/>
          </w:tcPr>
          <w:p>
            <w:r>
              <w:rPr>
                <w:sz w:val="18"/>
                <w:szCs w:val="18"/>
              </w:rPr>
              <w:t xml:space="preserve">Company</w:t>
            </w:r>
          </w:p>
        </w:tc>
        <w:tc>
          <w:tcPr>
            <w:tcW w:type="dxa" w:w="6650"/>
            <w:shd w:fill="FFFFFF" w:val="clear"/>
            <w:tcMar>
              <w:top w:type="dxa" w:w="80"/>
              <w:left w:type="dxa" w:w="110"/>
              <w:bottom w:type="dxa" w:w="80"/>
              <w:right w:type="dxa" w:w="110"/>
            </w:tcMar>
            <w:vAlign w:val="center"/>
          </w:tcPr>
          <w:p>
            <w:r>
              <w:rPr>
                <w:sz w:val="18"/>
                <w:szCs w:val="18"/>
              </w:rPr>
              <w:t xml:space="preserve">Tajribti (working name, pending trademark/domain clearance — see Open Decisions)</w:t>
            </w:r>
          </w:p>
        </w:tc>
      </w:tr>
      <w:tr>
        <w:tc>
          <w:tcPr>
            <w:tcW w:type="dxa" w:w="2700"/>
            <w:shd w:fill="F2F2F2" w:val="clear"/>
            <w:tcMar>
              <w:top w:type="dxa" w:w="80"/>
              <w:left w:type="dxa" w:w="110"/>
              <w:bottom w:type="dxa" w:w="80"/>
              <w:right w:type="dxa" w:w="110"/>
            </w:tcMar>
            <w:vAlign w:val="center"/>
          </w:tcPr>
          <w:p>
            <w:r>
              <w:rPr>
                <w:sz w:val="18"/>
                <w:szCs w:val="18"/>
              </w:rPr>
              <w:t xml:space="preserve">Country</w:t>
            </w:r>
          </w:p>
        </w:tc>
        <w:tc>
          <w:tcPr>
            <w:tcW w:type="dxa" w:w="6650"/>
            <w:shd w:fill="F2F2F2" w:val="clear"/>
            <w:tcMar>
              <w:top w:type="dxa" w:w="80"/>
              <w:left w:type="dxa" w:w="110"/>
              <w:bottom w:type="dxa" w:w="80"/>
              <w:right w:type="dxa" w:w="110"/>
            </w:tcMar>
            <w:vAlign w:val="center"/>
          </w:tcPr>
          <w:p>
            <w:r>
              <w:rPr>
                <w:sz w:val="18"/>
                <w:szCs w:val="18"/>
              </w:rPr>
              <w:t xml:space="preserve">Arab Republic of Egypt</w:t>
            </w:r>
          </w:p>
        </w:tc>
      </w:tr>
      <w:tr>
        <w:tc>
          <w:tcPr>
            <w:tcW w:type="dxa" w:w="2700"/>
            <w:shd w:fill="FFFFFF" w:val="clear"/>
            <w:tcMar>
              <w:top w:type="dxa" w:w="80"/>
              <w:left w:type="dxa" w:w="110"/>
              <w:bottom w:type="dxa" w:w="80"/>
              <w:right w:type="dxa" w:w="110"/>
            </w:tcMar>
            <w:vAlign w:val="center"/>
          </w:tcPr>
          <w:p>
            <w:r>
              <w:rPr>
                <w:sz w:val="18"/>
                <w:szCs w:val="18"/>
              </w:rPr>
              <w:t xml:space="preserve">Date</w:t>
            </w:r>
          </w:p>
        </w:tc>
        <w:tc>
          <w:tcPr>
            <w:tcW w:type="dxa" w:w="6650"/>
            <w:shd w:fill="FFFFFF" w:val="clear"/>
            <w:tcMar>
              <w:top w:type="dxa" w:w="80"/>
              <w:left w:type="dxa" w:w="110"/>
              <w:bottom w:type="dxa" w:w="80"/>
              <w:right w:type="dxa" w:w="110"/>
            </w:tcMar>
            <w:vAlign w:val="center"/>
          </w:tcPr>
          <w:p>
            <w:r>
              <w:rPr>
                <w:sz w:val="18"/>
                <w:szCs w:val="18"/>
              </w:rPr>
              <w:t xml:space="preserve">26 July 2026</w:t>
            </w:r>
          </w:p>
        </w:tc>
      </w:tr>
      <w:tr>
        <w:tc>
          <w:tcPr>
            <w:tcW w:type="dxa" w:w="2700"/>
            <w:shd w:fill="F2F2F2" w:val="clear"/>
            <w:tcMar>
              <w:top w:type="dxa" w:w="80"/>
              <w:left w:type="dxa" w:w="110"/>
              <w:bottom w:type="dxa" w:w="80"/>
              <w:right w:type="dxa" w:w="110"/>
            </w:tcMar>
            <w:vAlign w:val="center"/>
          </w:tcPr>
          <w:p>
            <w:r>
              <w:rPr>
                <w:sz w:val="18"/>
                <w:szCs w:val="18"/>
              </w:rPr>
              <w:t xml:space="preserve">Version</w:t>
            </w:r>
          </w:p>
        </w:tc>
        <w:tc>
          <w:tcPr>
            <w:tcW w:type="dxa" w:w="6650"/>
            <w:shd w:fill="F2F2F2" w:val="clear"/>
            <w:tcMar>
              <w:top w:type="dxa" w:w="80"/>
              <w:left w:type="dxa" w:w="110"/>
              <w:bottom w:type="dxa" w:w="80"/>
              <w:right w:type="dxa" w:w="110"/>
            </w:tcMar>
            <w:vAlign w:val="center"/>
          </w:tcPr>
          <w:p>
            <w:r>
              <w:rPr>
                <w:sz w:val="18"/>
                <w:szCs w:val="18"/>
              </w:rPr>
              <w:t xml:space="preserve">1.0</w:t>
            </w:r>
          </w:p>
        </w:tc>
      </w:tr>
      <w:tr>
        <w:tc>
          <w:tcPr>
            <w:tcW w:type="dxa" w:w="2700"/>
            <w:shd w:fill="FFFFFF" w:val="clear"/>
            <w:tcMar>
              <w:top w:type="dxa" w:w="80"/>
              <w:left w:type="dxa" w:w="110"/>
              <w:bottom w:type="dxa" w:w="80"/>
              <w:right w:type="dxa" w:w="110"/>
            </w:tcMar>
            <w:vAlign w:val="center"/>
          </w:tcPr>
          <w:p>
            <w:r>
              <w:rPr>
                <w:sz w:val="18"/>
                <w:szCs w:val="18"/>
              </w:rPr>
              <w:t xml:space="preserve">Amendment rule</w:t>
            </w:r>
          </w:p>
        </w:tc>
        <w:tc>
          <w:tcPr>
            <w:tcW w:type="dxa" w:w="6650"/>
            <w:shd w:fill="FFFFFF" w:val="clear"/>
            <w:tcMar>
              <w:top w:type="dxa" w:w="80"/>
              <w:left w:type="dxa" w:w="110"/>
              <w:bottom w:type="dxa" w:w="80"/>
              <w:right w:type="dxa" w:w="110"/>
            </w:tcMar>
            <w:vAlign w:val="center"/>
          </w:tcPr>
          <w:p>
            <w:r>
              <w:rPr>
                <w:sz w:val="18"/>
                <w:szCs w:val="18"/>
              </w:rPr>
              <w:t xml:space="preserve">No future document may contradict this FDD. Changing a decision here requires a formal, versioned amendment to this document itself — not a silent override in a later document.</w:t>
            </w:r>
          </w:p>
        </w:tc>
      </w:tr>
    </w:tbl>
    <w:p>
      <w:pPr>
        <w:spacing w:before="400"/>
      </w:pPr>
    </w:p>
    <w:tbl>
      <w:tblPr>
        <w:tblW w:type="pct" w:w="100%"/>
        <w:tblBorders>
          <w:top w:val="single" w:color="D68910" w:sz="6"/>
          <w:left w:val="single" w:color="D68910" w:sz="6"/>
          <w:bottom w:val="single" w:color="D68910" w:sz="6"/>
          <w:right w:val="single" w:color="D68910" w:sz="6"/>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100"/>
            </w:pPr>
            <w:r>
              <w:rPr>
                <w:b/>
                <w:bCs/>
                <w:color w:val="D68910"/>
                <w:sz w:val="22"/>
                <w:szCs w:val="22"/>
              </w:rPr>
              <w:t xml:space="preserve">STATUS NOTE</w:t>
            </w:r>
          </w:p>
          <w:p>
            <w:pPr>
              <w:spacing w:after="60"/>
            </w:pPr>
            <w:r>
              <w:rPr>
                <w:sz w:val="20"/>
                <w:szCs w:val="20"/>
              </w:rPr>
              <w:t xml:space="preserve">• This FDD encodes founder decisions for how the company will operate once building begins. It does not assert that the Track 0 validation sprint (IC Memo §11) has cleared its Go/No-Go gate — that status is tracked honestly in the Assumptions and Open Decisions sections below, exactly where a constitutional document should carry it.</w:t>
            </w:r>
          </w:p>
          <w:p>
            <w:pPr>
              <w:spacing w:after="60"/>
            </w:pPr>
            <w:r>
              <w:rPr>
                <w:sz w:val="20"/>
                <w:szCs w:val="20"/>
              </w:rPr>
              <w:t xml:space="preserve">• Every decision below is written as final and binding for planning purposes. Capital deployment against these decisions remains governed by the gating rules already established in the IC Memo and Master Execution Blueprint.</w:t>
            </w:r>
          </w:p>
        </w:tc>
      </w:tr>
    </w:tbl>
    <w:p>
      <w:pPr>
        <w:sectPr>
          <w:pgSz w:w="11906" w:h="16838" w:orient="portrait"/>
          <w:pgMar w:top="1080" w:right="1080" w:bottom="1080" w:left="1080" w:header="708" w:footer="708" w:gutter="0"/>
          <w:pgNumType/>
          <w:docGrid w:linePitch="360"/>
        </w:sectPr>
      </w:pPr>
    </w:p>
    <w:p>
      <w:pPr>
        <w:pStyle w:val="Heading1"/>
        <w:pBdr>
          <w:bottom w:val="single" w:color="1F2A44" w:sz="8" w:space="4"/>
        </w:pBdr>
        <w:spacing w:after="200" w:before="400"/>
      </w:pPr>
      <w:r>
        <w:rPr>
          <w:b/>
          <w:bCs/>
          <w:color w:val="1F2A4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080" w:right="1080" w:bottom="1080" w:left="1080" w:header="708" w:footer="708" w:gutter="0"/>
          <w:pgNumType/>
          <w:docGrid w:linePitch="360"/>
        </w:sectPr>
      </w:pPr>
    </w:p>
    <w:p>
      <w:pPr>
        <w:pStyle w:val="Heading1"/>
        <w:pBdr>
          <w:bottom w:val="single" w:color="1F2A44" w:sz="8" w:space="4"/>
        </w:pBdr>
        <w:spacing w:after="200" w:before="400"/>
      </w:pPr>
      <w:r>
        <w:rPr>
          <w:b/>
          <w:bCs/>
          <w:color w:val="1F2A44"/>
          <w:sz w:val="30"/>
          <w:szCs w:val="30"/>
        </w:rPr>
        <w:t xml:space="preserve">Executive Vision</w:t>
      </w:r>
    </w:p>
    <w:p>
      <w:pPr>
        <w:spacing w:after="130"/>
      </w:pPr>
      <w:r>
        <w:rPr>
          <w:b/>
          <w:bCs/>
          <w:color w:val="1F2A44"/>
          <w:sz w:val="21"/>
          <w:szCs w:val="21"/>
        </w:rPr>
        <w:t xml:space="preserve">Mission: </w:t>
      </w:r>
      <w:r>
        <w:rPr>
          <w:sz w:val="21"/>
          <w:szCs w:val="21"/>
        </w:rPr>
        <w:t xml:space="preserve">Replace guesswork in product launches with real-time, consented consumer truth — starting with Egypt's FMCG, beauty, and pharma-OTC sectors.</w:t>
      </w:r>
    </w:p>
    <w:p>
      <w:pPr>
        <w:spacing w:after="130"/>
      </w:pPr>
      <w:r>
        <w:rPr>
          <w:b/>
          <w:bCs/>
          <w:color w:val="1F2A44"/>
          <w:sz w:val="21"/>
          <w:szCs w:val="21"/>
        </w:rPr>
        <w:t xml:space="preserve">Vision: </w:t>
      </w:r>
      <w:r>
        <w:rPr>
          <w:sz w:val="21"/>
          <w:szCs w:val="21"/>
        </w:rPr>
        <w:t xml:space="preserve">To become the default consumer-intelligence layer behind every new product launch in Egypt within 3 years, and across MENA within 5–7 years, contingent on Egypt unit economics being proven first.</w:t>
      </w:r>
    </w:p>
    <w:p>
      <w:pPr>
        <w:spacing w:after="130"/>
      </w:pPr>
      <w:r>
        <w:rPr>
          <w:b/>
          <w:bCs/>
          <w:color w:val="1F2A44"/>
          <w:sz w:val="21"/>
          <w:szCs w:val="21"/>
        </w:rPr>
        <w:t xml:space="preserve">Purpose: </w:t>
      </w:r>
      <w:r>
        <w:rPr>
          <w:sz w:val="21"/>
          <w:szCs w:val="21"/>
        </w:rPr>
        <w:t xml:space="preserve">To give brands a faster, cheaper, more honest way to know whether Egyptian consumers actually want what they are launching — and to give consumers a fair, transparent exchange (real product trial plus real rewards) for their honest feedback.</w:t>
      </w:r>
    </w:p>
    <w:p>
      <w:pPr>
        <w:spacing w:after="130"/>
      </w:pPr>
      <w:r>
        <w:rPr>
          <w:b/>
          <w:bCs/>
          <w:color w:val="1F2A44"/>
          <w:sz w:val="21"/>
          <w:szCs w:val="21"/>
        </w:rPr>
        <w:t xml:space="preserve">North Star: </w:t>
      </w:r>
      <w:r>
        <w:rPr>
          <w:sz w:val="21"/>
          <w:szCs w:val="21"/>
        </w:rPr>
        <w:t xml:space="preserve">Verified, brand-actionable consumer data points delivered per month. Not app installs, not samples distributed — the data is the product.</w:t>
      </w:r>
    </w:p>
    <w:p>
      <w:pPr>
        <w:spacing w:after="130"/>
      </w:pPr>
      <w:r>
        <w:rPr>
          <w:b/>
          <w:bCs/>
          <w:color w:val="1F2A44"/>
          <w:sz w:val="21"/>
          <w:szCs w:val="21"/>
        </w:rPr>
        <w:t xml:space="preserve">Long-term Vision: </w:t>
      </w:r>
      <w:r>
        <w:rPr>
          <w:sz w:val="21"/>
          <w:szCs w:val="21"/>
        </w:rPr>
        <w:t xml:space="preserve">MENA's largest permissioned FMCG/beauty/pharma consumer panel, with vertical expansion into healthcare, telecom, banking, education, and government research once the Egypt business is profitable.</w:t>
      </w:r>
    </w:p>
    <w:p>
      <w:pPr>
        <w:spacing w:after="130"/>
      </w:pPr>
      <w:r>
        <w:rPr>
          <w:b/>
          <w:bCs/>
          <w:color w:val="1F2A44"/>
          <w:sz w:val="21"/>
          <w:szCs w:val="21"/>
        </w:rPr>
        <w:t xml:space="preserve">Exit Vision: </w:t>
      </w:r>
      <w:r>
        <w:rPr>
          <w:sz w:val="21"/>
          <w:szCs w:val="21"/>
        </w:rPr>
        <w:t xml:space="preserve">Two acceptable outcomes, neither assumed as default: (a) strategic acquisition by a global research/analytics player (e.g. NielsenIQ, Kantar, Circana) or a MENA retail/media group seeking proprietary consumer data; or (b) sustained independent profitability as a regional data-services company, following the reference company's own bootstrapped trajectory. A venture-style forced-exit timeline is explicitly not assumed.</w:t>
      </w:r>
    </w:p>
    <w:p>
      <w:r>
        <w:br w:type="page"/>
      </w:r>
    </w:p>
    <w:p>
      <w:pPr>
        <w:pStyle w:val="Heading1"/>
        <w:pBdr>
          <w:bottom w:val="single" w:color="1F2A44" w:sz="8" w:space="4"/>
        </w:pBdr>
        <w:spacing w:after="200" w:before="400"/>
      </w:pPr>
      <w:r>
        <w:rPr>
          <w:b/>
          <w:bCs/>
          <w:color w:val="1F2A44"/>
          <w:sz w:val="30"/>
          <w:szCs w:val="30"/>
        </w:rPr>
        <w:t xml:space="preserve">Business Decisions</w:t>
      </w:r>
    </w:p>
    <w:p>
      <w:pPr>
        <w:spacing w:after="130"/>
      </w:pPr>
      <w:r>
        <w:rPr>
          <w:b/>
          <w:bCs/>
          <w:color w:val="1F2A44"/>
          <w:sz w:val="21"/>
          <w:szCs w:val="21"/>
        </w:rPr>
        <w:t xml:space="preserve">Target Market: </w:t>
      </w:r>
      <w:r>
        <w:rPr>
          <w:sz w:val="21"/>
          <w:szCs w:val="21"/>
        </w:rPr>
        <w:t xml:space="preserve">FMCG, beauty, personal care, and pharma-OTC brands operating in Egypt.</w:t>
      </w:r>
    </w:p>
    <w:p>
      <w:pPr>
        <w:spacing w:after="130"/>
      </w:pPr>
      <w:r>
        <w:rPr>
          <w:b/>
          <w:bCs/>
          <w:color w:val="1F2A44"/>
          <w:sz w:val="21"/>
          <w:szCs w:val="21"/>
        </w:rPr>
        <w:t xml:space="preserve">Customer Segments: </w:t>
      </w:r>
      <w:r>
        <w:rPr>
          <w:sz w:val="21"/>
          <w:szCs w:val="21"/>
        </w:rPr>
        <w:t xml:space="preserve">Primary (paying): brand marketing, innovation, and consumer-insights teams. Secondary (non-paying, data source): Egyptian consumers aged 18–40 in Cairo, Giza, and Alexandria.</w:t>
      </w:r>
    </w:p>
    <w:p>
      <w:pPr>
        <w:spacing w:after="130"/>
      </w:pPr>
      <w:r>
        <w:rPr>
          <w:b/>
          <w:bCs/>
          <w:color w:val="1F2A44"/>
          <w:sz w:val="21"/>
          <w:szCs w:val="21"/>
        </w:rPr>
        <w:t xml:space="preserve">Ideal Customer Profile: </w:t>
      </w:r>
      <w:r>
        <w:rPr>
          <w:sz w:val="21"/>
          <w:szCs w:val="21"/>
        </w:rPr>
        <w:t xml:space="preserve">A mid-to-large FMCG or beauty brand in Egypt launching 3+ new products or variants per year, with an existing marketing budget line for sampling, activations, or research, currently relying on slow, manual, or unmeasured methods.</w:t>
      </w:r>
    </w:p>
    <w:p>
      <w:pPr>
        <w:spacing w:after="130"/>
      </w:pPr>
      <w:r>
        <w:rPr>
          <w:b/>
          <w:bCs/>
          <w:color w:val="1F2A44"/>
          <w:sz w:val="21"/>
          <w:szCs w:val="21"/>
        </w:rPr>
        <w:t xml:space="preserve">Geographic Scope: </w:t>
      </w:r>
      <w:r>
        <w:rPr>
          <w:sz w:val="21"/>
          <w:szCs w:val="21"/>
        </w:rPr>
        <w:t xml:space="preserve">Cairo only in Year 1. Alexandria, Giza, New Cairo, and 6th October in Year 2. Nile Delta, Upper Egypt, and tourist cities in Year 3. GCC expansion only after Egypt unit economics are proven — a hard gate, not a scheduled date.</w:t>
      </w:r>
    </w:p>
    <w:p>
      <w:pPr>
        <w:spacing w:after="130"/>
      </w:pPr>
      <w:r>
        <w:rPr>
          <w:b/>
          <w:bCs/>
          <w:color w:val="1F2A44"/>
          <w:sz w:val="21"/>
          <w:szCs w:val="21"/>
        </w:rPr>
        <w:t xml:space="preserve">Industry Focus: </w:t>
      </w:r>
      <w:r>
        <w:rPr>
          <w:sz w:val="21"/>
          <w:szCs w:val="21"/>
        </w:rPr>
        <w:t xml:space="preserve">FMCG, beauty, personal care, and pharma-OTC only for Years 1–3. Healthcare, insurance, banking, telecom, government, and education are explicitly future-only and out of current scope.</w:t>
      </w:r>
    </w:p>
    <w:p>
      <w:pPr>
        <w:spacing w:after="130"/>
      </w:pPr>
      <w:r>
        <w:rPr>
          <w:b/>
          <w:bCs/>
          <w:color w:val="1F2A44"/>
          <w:sz w:val="21"/>
          <w:szCs w:val="21"/>
        </w:rPr>
        <w:t xml:space="preserve">Pricing Philosophy: </w:t>
      </w:r>
      <w:r>
        <w:rPr>
          <w:sz w:val="21"/>
          <w:szCs w:val="21"/>
        </w:rPr>
        <w:t xml:space="preserve">Brands pay; consumers never pay. Price for the value of the data and insight delivered, not for hours or headcount. Standard packages by default; custom pricing reserved for the Enterprise tier only.</w:t>
      </w:r>
    </w:p>
    <w:p>
      <w:pPr>
        <w:spacing w:after="130"/>
      </w:pPr>
      <w:r>
        <w:rPr>
          <w:b/>
          <w:bCs/>
          <w:color w:val="1F2A44"/>
          <w:sz w:val="21"/>
          <w:szCs w:val="21"/>
        </w:rPr>
        <w:t xml:space="preserve">Revenue Model: </w:t>
      </w:r>
      <w:r>
        <w:rPr>
          <w:sz w:val="21"/>
          <w:szCs w:val="21"/>
        </w:rPr>
        <w:t xml:space="preserve">B2B hybrid of campaign fees, per-sample distribution fees, AI-dashboard subscription, consumer-panel access, and enterprise API access.</w:t>
      </w:r>
    </w:p>
    <w:p>
      <w:pPr>
        <w:spacing w:after="130"/>
      </w:pPr>
      <w:r>
        <w:rPr>
          <w:b/>
          <w:bCs/>
          <w:color w:val="1F2A44"/>
          <w:sz w:val="21"/>
          <w:szCs w:val="21"/>
        </w:rPr>
        <w:t xml:space="preserve">Monetization Strategy: </w:t>
      </w:r>
      <w:r>
        <w:rPr>
          <w:sz w:val="21"/>
          <w:szCs w:val="21"/>
        </w:rPr>
        <w:t xml:space="preserve">Land with a single low-commitment paid campaign; expand into subscription dashboard access, repeat campaigns, and panel access.</w:t>
      </w:r>
    </w:p>
    <w:p>
      <w:pPr>
        <w:spacing w:after="130"/>
      </w:pPr>
      <w:r>
        <w:rPr>
          <w:b/>
          <w:bCs/>
          <w:color w:val="1F2A44"/>
          <w:sz w:val="21"/>
          <w:szCs w:val="21"/>
        </w:rPr>
        <w:t xml:space="preserve">Expansion Strategy: </w:t>
      </w:r>
      <w:r>
        <w:rPr>
          <w:sz w:val="21"/>
          <w:szCs w:val="21"/>
        </w:rPr>
        <w:t xml:space="preserve">Prove Cairo unit economics before replicating to other Egyptian cities. Evaluate regional (GCC) expansion only after Egypt is proven — never on a calendar-driven basis.</w:t>
      </w:r>
    </w:p>
    <w:p>
      <w:r>
        <w:br w:type="page"/>
      </w:r>
    </w:p>
    <w:p>
      <w:pPr>
        <w:pStyle w:val="Heading1"/>
        <w:pBdr>
          <w:bottom w:val="single" w:color="1F2A44" w:sz="8" w:space="4"/>
        </w:pBdr>
        <w:spacing w:after="200" w:before="400"/>
      </w:pPr>
      <w:r>
        <w:rPr>
          <w:b/>
          <w:bCs/>
          <w:color w:val="1F2A44"/>
          <w:sz w:val="30"/>
          <w:szCs w:val="30"/>
        </w:rPr>
        <w:t xml:space="preserve">Product Decisions</w:t>
      </w:r>
    </w:p>
    <w:p>
      <w:pPr>
        <w:spacing w:after="130"/>
      </w:pPr>
      <w:r>
        <w:rPr>
          <w:b/>
          <w:bCs/>
          <w:color w:val="1F2A44"/>
          <w:sz w:val="21"/>
          <w:szCs w:val="21"/>
        </w:rPr>
        <w:t xml:space="preserve">Core Product: </w:t>
      </w:r>
      <w:r>
        <w:rPr>
          <w:sz w:val="21"/>
          <w:szCs w:val="21"/>
        </w:rPr>
        <w:t xml:space="preserve">A two-sided platform: a consumer app for sample discovery, redemption, and feedback, and a brand dashboard for campaign management and insight delivery.</w:t>
      </w:r>
    </w:p>
    <w:p>
      <w:pPr>
        <w:spacing w:after="130"/>
      </w:pPr>
      <w:r>
        <w:rPr>
          <w:b/>
          <w:bCs/>
          <w:color w:val="1F2A44"/>
          <w:sz w:val="21"/>
          <w:szCs w:val="21"/>
        </w:rPr>
        <w:t xml:space="preserve">MVP Definition: </w:t>
      </w:r>
      <w:r>
        <w:rPr>
          <w:sz w:val="21"/>
          <w:szCs w:val="21"/>
        </w:rPr>
        <w:t xml:space="preserve">Admin dashboard, brand dashboard, consumer app, QR-based redemption, a 3–5 question post-trial survey, and basic (non-AI) analytics.</w:t>
      </w:r>
    </w:p>
    <w:p>
      <w:pPr>
        <w:spacing w:after="130"/>
      </w:pPr>
      <w:r>
        <w:rPr>
          <w:b/>
          <w:bCs/>
          <w:color w:val="1F2A44"/>
          <w:sz w:val="21"/>
          <w:szCs w:val="21"/>
        </w:rPr>
        <w:t xml:space="preserve">Products NOT Included (MVP / Year 1): </w:t>
      </w:r>
      <w:r>
        <w:rPr>
          <w:sz w:val="21"/>
          <w:szCs w:val="21"/>
        </w:rPr>
        <w:t xml:space="preserve">Permanent physical kiosks; owned logistics fleet or warehouses; e-commerce/checkout functionality; paid consumer subscriptions; non-FMCG verticals; GCC-market features.</w:t>
      </w:r>
    </w:p>
    <w:p>
      <w:pPr>
        <w:spacing w:after="130"/>
      </w:pPr>
      <w:r>
        <w:rPr>
          <w:b/>
          <w:bCs/>
          <w:color w:val="1F2A44"/>
          <w:sz w:val="21"/>
          <w:szCs w:val="21"/>
        </w:rPr>
        <w:t xml:space="preserve">Future Modules: </w:t>
      </w:r>
      <w:r>
        <w:rPr>
          <w:sz w:val="21"/>
          <w:szCs w:val="21"/>
        </w:rPr>
        <w:t xml:space="preserve">Gamification and rewards engine; referral system; AI insight-narrative generation; predictive purchase-intent scoring; retail media marketplace; enterprise API; consumer panel marketplace.</w:t>
      </w:r>
    </w:p>
    <w:p>
      <w:pPr>
        <w:spacing w:after="130"/>
      </w:pPr>
      <w:r>
        <w:rPr>
          <w:b/>
          <w:bCs/>
          <w:color w:val="1F2A44"/>
          <w:sz w:val="21"/>
          <w:szCs w:val="21"/>
        </w:rPr>
        <w:t xml:space="preserve">AI Strategy: </w:t>
      </w:r>
      <w:r>
        <w:rPr>
          <w:sz w:val="21"/>
          <w:szCs w:val="21"/>
        </w:rPr>
        <w:t xml:space="preserve">AI is an enabler of faster, better insight delivery — not the company's defensible moat. The moat is proprietary consumer data, brand relationships, and execution quality. Use third-party LLM APIs for insight-narrative generation; build proprietary fraud-detection models only once real campaign data exists to train on.</w:t>
      </w:r>
    </w:p>
    <w:p>
      <w:pPr>
        <w:spacing w:after="130"/>
      </w:pPr>
      <w:r>
        <w:rPr>
          <w:b/>
          <w:bCs/>
          <w:color w:val="1F2A44"/>
          <w:sz w:val="21"/>
          <w:szCs w:val="21"/>
        </w:rPr>
        <w:t xml:space="preserve">Automation Strategy: </w:t>
      </w:r>
      <w:r>
        <w:rPr>
          <w:sz w:val="21"/>
          <w:szCs w:val="21"/>
        </w:rPr>
        <w:t xml:space="preserve">Automate every repetitive operational task from day one: campaign creation, consumer segmentation, reward distribution, survey generation, invoicing, notifications, QR validation. Do not automate brand relationship management or campaign strategy — these remain human-led.</w:t>
      </w:r>
    </w:p>
    <w:p>
      <w:pPr>
        <w:spacing w:after="130"/>
      </w:pPr>
      <w:r>
        <w:rPr>
          <w:b/>
          <w:bCs/>
          <w:color w:val="1F2A44"/>
          <w:sz w:val="21"/>
          <w:szCs w:val="21"/>
        </w:rPr>
        <w:t xml:space="preserve">Integrations: </w:t>
      </w:r>
      <w:r>
        <w:rPr>
          <w:sz w:val="21"/>
          <w:szCs w:val="21"/>
        </w:rPr>
        <w:t xml:space="preserve">WhatsApp Business API for notifications; Vodafone Cash and InstaPay for rewards; HubSpot/Salesforce for enterprise CRM; CSV/API export for brand data teams. No integrations beyond this list in Year 1.</w:t>
      </w:r>
    </w:p>
    <w:p>
      <w:r>
        <w:br w:type="page"/>
      </w:r>
    </w:p>
    <w:p>
      <w:pPr>
        <w:pStyle w:val="Heading1"/>
        <w:pBdr>
          <w:bottom w:val="single" w:color="1F2A44" w:sz="8" w:space="4"/>
        </w:pBdr>
        <w:spacing w:after="200" w:before="400"/>
      </w:pPr>
      <w:r>
        <w:rPr>
          <w:b/>
          <w:bCs/>
          <w:color w:val="1F2A44"/>
          <w:sz w:val="30"/>
          <w:szCs w:val="30"/>
        </w:rPr>
        <w:t xml:space="preserve">Technology Decisions</w:t>
      </w:r>
    </w:p>
    <w:p>
      <w:pPr>
        <w:spacing w:after="130"/>
      </w:pPr>
      <w:r>
        <w:rPr>
          <w:b/>
          <w:bCs/>
          <w:color w:val="1F2A44"/>
          <w:sz w:val="21"/>
          <w:szCs w:val="21"/>
        </w:rPr>
        <w:t xml:space="preserve">Technology Philosophy: </w:t>
      </w:r>
      <w:r>
        <w:rPr>
          <w:sz w:val="21"/>
          <w:szCs w:val="21"/>
        </w:rPr>
        <w:t xml:space="preserve">Boring, proven technology for the core stack. Reserve novelty and technical risk for the AI/data layer only, since that is where the differentiation actually lives.</w:t>
      </w:r>
    </w:p>
    <w:p>
      <w:pPr>
        <w:spacing w:after="130"/>
      </w:pPr>
      <w:r>
        <w:rPr>
          <w:b/>
          <w:bCs/>
          <w:color w:val="1F2A44"/>
          <w:sz w:val="21"/>
          <w:szCs w:val="21"/>
        </w:rPr>
        <w:t xml:space="preserve">Cloud Strategy: </w:t>
      </w:r>
      <w:r>
        <w:rPr>
          <w:sz w:val="21"/>
          <w:szCs w:val="21"/>
        </w:rPr>
        <w:t xml:space="preserve">AWS, using the nearest data-residency-compliant region (UAE or Bahrain), pending legal confirmation under Egypt's Personal Data Protection Law. No multi-cloud strategy in Years 1–2.</w:t>
      </w:r>
    </w:p>
    <w:p>
      <w:pPr>
        <w:spacing w:after="130"/>
      </w:pPr>
      <w:r>
        <w:rPr>
          <w:b/>
          <w:bCs/>
          <w:color w:val="1F2A44"/>
          <w:sz w:val="21"/>
          <w:szCs w:val="21"/>
        </w:rPr>
        <w:t xml:space="preserve">Security Philosophy: </w:t>
      </w:r>
      <w:r>
        <w:rPr>
          <w:sz w:val="21"/>
          <w:szCs w:val="21"/>
        </w:rPr>
        <w:t xml:space="preserve">Privacy-by-design is non-negotiable. Encrypt all data at rest and in transit. Collect the minimum data a campaign requires — never more. Consumer data deletion must be self-service.</w:t>
      </w:r>
    </w:p>
    <w:p>
      <w:pPr>
        <w:spacing w:after="130"/>
      </w:pPr>
      <w:r>
        <w:rPr>
          <w:b/>
          <w:bCs/>
          <w:color w:val="1F2A44"/>
          <w:sz w:val="21"/>
          <w:szCs w:val="21"/>
        </w:rPr>
        <w:t xml:space="preserve">Build vs. Buy: </w:t>
      </w:r>
      <w:r>
        <w:rPr>
          <w:sz w:val="21"/>
          <w:szCs w:val="21"/>
        </w:rPr>
        <w:t xml:space="preserve">Buy: payments, cloud infrastructure, LLM APIs, analytics/BI tooling, CRM, monitoring. Build: the sampling-to-survey-to-dashboard pipeline itself, the fraud-detection layer, and the AI insight-narrative logic once trainable.</w:t>
      </w:r>
    </w:p>
    <w:p>
      <w:pPr>
        <w:spacing w:after="130"/>
      </w:pPr>
      <w:r>
        <w:rPr>
          <w:b/>
          <w:bCs/>
          <w:color w:val="1F2A44"/>
          <w:sz w:val="21"/>
          <w:szCs w:val="21"/>
        </w:rPr>
        <w:t xml:space="preserve">Open Source Policy: </w:t>
      </w:r>
      <w:r>
        <w:rPr>
          <w:sz w:val="21"/>
          <w:szCs w:val="21"/>
        </w:rPr>
        <w:t xml:space="preserve">Use open-source infrastructure components freely (PostgreSQL, Redis, Kafka). Do not open-source Tajribti's own application code or models — the data pipeline is the moat.</w:t>
      </w:r>
    </w:p>
    <w:p>
      <w:pPr>
        <w:spacing w:after="130"/>
      </w:pPr>
      <w:r>
        <w:rPr>
          <w:b/>
          <w:bCs/>
          <w:color w:val="1F2A44"/>
          <w:sz w:val="21"/>
          <w:szCs w:val="21"/>
        </w:rPr>
        <w:t xml:space="preserve">AI Providers: </w:t>
      </w:r>
      <w:r>
        <w:rPr>
          <w:sz w:val="21"/>
          <w:szCs w:val="21"/>
        </w:rPr>
        <w:t xml:space="preserve">OpenAI and/or Anthropic APIs for insight generation, deliberately multi-provider to avoid single-vendor lock-in. Azure/Google Vertex AI evaluated only if a specific enterprise client requires a particular compliance certification.</w:t>
      </w:r>
    </w:p>
    <w:p>
      <w:pPr>
        <w:spacing w:after="130"/>
      </w:pPr>
      <w:r>
        <w:rPr>
          <w:b/>
          <w:bCs/>
          <w:color w:val="1F2A44"/>
          <w:sz w:val="21"/>
          <w:szCs w:val="21"/>
        </w:rPr>
        <w:t xml:space="preserve">Scalability Principles: </w:t>
      </w:r>
      <w:r>
        <w:rPr>
          <w:sz w:val="21"/>
          <w:szCs w:val="21"/>
        </w:rPr>
        <w:t xml:space="preserve">Stateless services, horizontal autoscaling, queue-based decoupling of fulfillment, survey, and analytics workloads. Design for roughly 10x current volume at all times — not for hypothetical global scale prematurely.</w:t>
      </w:r>
    </w:p>
    <w:p>
      <w:r>
        <w:br w:type="page"/>
      </w:r>
    </w:p>
    <w:p>
      <w:pPr>
        <w:pStyle w:val="Heading1"/>
        <w:pBdr>
          <w:bottom w:val="single" w:color="1F2A44" w:sz="8" w:space="4"/>
        </w:pBdr>
        <w:spacing w:after="200" w:before="400"/>
      </w:pPr>
      <w:r>
        <w:rPr>
          <w:b/>
          <w:bCs/>
          <w:color w:val="1F2A44"/>
          <w:sz w:val="30"/>
          <w:szCs w:val="30"/>
        </w:rPr>
        <w:t xml:space="preserve">User Experience Decisions</w:t>
      </w:r>
    </w:p>
    <w:p>
      <w:pPr>
        <w:spacing w:after="130"/>
      </w:pPr>
      <w:r>
        <w:rPr>
          <w:b/>
          <w:bCs/>
          <w:color w:val="1F2A44"/>
          <w:sz w:val="21"/>
          <w:szCs w:val="21"/>
        </w:rPr>
        <w:t xml:space="preserve">UX Philosophy: </w:t>
      </w:r>
      <w:r>
        <w:rPr>
          <w:sz w:val="21"/>
          <w:szCs w:val="21"/>
        </w:rPr>
        <w:t xml:space="preserve">Friction is the enemy. Every unnecessary tap or field costs completed surveys — and completed surveys are the actual product.</w:t>
      </w:r>
    </w:p>
    <w:p>
      <w:pPr>
        <w:spacing w:after="130"/>
      </w:pPr>
      <w:r>
        <w:rPr>
          <w:b/>
          <w:bCs/>
          <w:color w:val="1F2A44"/>
          <w:sz w:val="21"/>
          <w:szCs w:val="21"/>
        </w:rPr>
        <w:t xml:space="preserve">Customer Experience Principles: </w:t>
      </w:r>
      <w:r>
        <w:rPr>
          <w:sz w:val="21"/>
          <w:szCs w:val="21"/>
        </w:rPr>
        <w:t xml:space="preserve">Instant clarity for consumers on "what do I get." Instant clarity for brands on "what will this cost and what will I learn."</w:t>
      </w:r>
    </w:p>
    <w:p>
      <w:pPr>
        <w:spacing w:after="130"/>
      </w:pPr>
      <w:r>
        <w:rPr>
          <w:b/>
          <w:bCs/>
          <w:color w:val="1F2A44"/>
          <w:sz w:val="21"/>
          <w:szCs w:val="21"/>
        </w:rPr>
        <w:t xml:space="preserve">Accessibility: </w:t>
      </w:r>
      <w:r>
        <w:rPr>
          <w:sz w:val="21"/>
          <w:szCs w:val="21"/>
        </w:rPr>
        <w:t xml:space="preserve">RTL-first design, readable Arabic typography, support for lower-end Android devices (the majority of the target consumer market), graceful degradation on poor connectivity.</w:t>
      </w:r>
    </w:p>
    <w:p>
      <w:pPr>
        <w:spacing w:after="130"/>
      </w:pPr>
      <w:r>
        <w:rPr>
          <w:b/>
          <w:bCs/>
          <w:color w:val="1F2A44"/>
          <w:sz w:val="21"/>
          <w:szCs w:val="21"/>
        </w:rPr>
        <w:t xml:space="preserve">Mobile Strategy: </w:t>
      </w:r>
      <w:r>
        <w:rPr>
          <w:sz w:val="21"/>
          <w:szCs w:val="21"/>
        </w:rPr>
        <w:t xml:space="preserve">Mobile-first and mobile-only for consumers — no consumer web app. The brand dashboard is desktop-web-first, since brand users work from desks.</w:t>
      </w:r>
    </w:p>
    <w:p>
      <w:pPr>
        <w:spacing w:after="130"/>
      </w:pPr>
      <w:r>
        <w:rPr>
          <w:b/>
          <w:bCs/>
          <w:color w:val="1F2A44"/>
          <w:sz w:val="21"/>
          <w:szCs w:val="21"/>
        </w:rPr>
        <w:t xml:space="preserve">Languages: </w:t>
      </w:r>
      <w:r>
        <w:rPr>
          <w:sz w:val="21"/>
          <w:szCs w:val="21"/>
        </w:rPr>
        <w:t xml:space="preserve">Egyptian-dialect Arabic is the default and primary language everywhere consumer-facing. English is secondary, available as a toggle, primarily for international brand marketing teams.</w:t>
      </w:r>
    </w:p>
    <w:p>
      <w:pPr>
        <w:spacing w:after="130"/>
      </w:pPr>
      <w:r>
        <w:rPr>
          <w:b/>
          <w:bCs/>
          <w:color w:val="1F2A44"/>
          <w:sz w:val="21"/>
          <w:szCs w:val="21"/>
        </w:rPr>
        <w:t xml:space="preserve">Localization: </w:t>
      </w:r>
      <w:r>
        <w:rPr>
          <w:sz w:val="21"/>
          <w:szCs w:val="21"/>
        </w:rPr>
        <w:t xml:space="preserve">Not a translation layer. Payment rails, retail partners, trust signals, and survey tone are natively Egyptian from the first release — not adapted after the fact.</w:t>
      </w:r>
    </w:p>
    <w:p>
      <w:r>
        <w:br w:type="page"/>
      </w:r>
    </w:p>
    <w:p>
      <w:pPr>
        <w:pStyle w:val="Heading1"/>
        <w:pBdr>
          <w:bottom w:val="single" w:color="1F2A44" w:sz="8" w:space="4"/>
        </w:pBdr>
        <w:spacing w:after="200" w:before="400"/>
      </w:pPr>
      <w:r>
        <w:rPr>
          <w:b/>
          <w:bCs/>
          <w:color w:val="1F2A44"/>
          <w:sz w:val="30"/>
          <w:szCs w:val="30"/>
        </w:rPr>
        <w:t xml:space="preserve">Brand Decisions</w:t>
      </w:r>
    </w:p>
    <w:p>
      <w:pPr>
        <w:spacing w:after="130"/>
      </w:pPr>
      <w:r>
        <w:rPr>
          <w:b/>
          <w:bCs/>
          <w:color w:val="1F2A44"/>
          <w:sz w:val="21"/>
          <w:szCs w:val="21"/>
        </w:rPr>
        <w:t xml:space="preserve">Brand Personality: </w:t>
      </w:r>
      <w:r>
        <w:rPr>
          <w:sz w:val="21"/>
          <w:szCs w:val="21"/>
        </w:rPr>
        <w:t xml:space="preserve">Sharp, evidence-driven, trustworthy — the "credible insider," not a hype-driven consumer-startup voice.</w:t>
      </w:r>
    </w:p>
    <w:p>
      <w:pPr>
        <w:spacing w:after="130"/>
      </w:pPr>
      <w:r>
        <w:rPr>
          <w:b/>
          <w:bCs/>
          <w:color w:val="1F2A44"/>
          <w:sz w:val="21"/>
          <w:szCs w:val="21"/>
        </w:rPr>
        <w:t xml:space="preserve">Tone of Voice: </w:t>
      </w:r>
      <w:r>
        <w:rPr>
          <w:sz w:val="21"/>
          <w:szCs w:val="21"/>
        </w:rPr>
        <w:t xml:space="preserve">Direct and plain-language in consumer-facing copy, with zero jargon. Data-forward and precise in brand-facing copy.</w:t>
      </w:r>
    </w:p>
    <w:p>
      <w:pPr>
        <w:spacing w:after="130"/>
      </w:pPr>
      <w:r>
        <w:rPr>
          <w:b/>
          <w:bCs/>
          <w:color w:val="1F2A44"/>
          <w:sz w:val="21"/>
          <w:szCs w:val="21"/>
        </w:rPr>
        <w:t xml:space="preserve">Visual Direction: </w:t>
      </w:r>
      <w:r>
        <w:rPr>
          <w:sz w:val="21"/>
          <w:szCs w:val="21"/>
        </w:rPr>
        <w:t xml:space="preserve">Clean, modern, Arabic-typography-led design language. Avoid generic "startup gradient" aesthetics — the visual identity should read as a credible data company, not a lifestyle app.</w:t>
      </w:r>
    </w:p>
    <w:p>
      <w:pPr>
        <w:spacing w:after="130"/>
      </w:pPr>
      <w:r>
        <w:rPr>
          <w:b/>
          <w:bCs/>
          <w:color w:val="1F2A44"/>
          <w:sz w:val="21"/>
          <w:szCs w:val="21"/>
        </w:rPr>
        <w:t xml:space="preserve">Brand Values: </w:t>
      </w:r>
      <w:r>
        <w:rPr>
          <w:sz w:val="21"/>
          <w:szCs w:val="21"/>
        </w:rPr>
        <w:t xml:space="preserve">Consent, speed, honesty, usefulness.</w:t>
      </w:r>
    </w:p>
    <w:p>
      <w:pPr>
        <w:spacing w:after="130"/>
      </w:pPr>
      <w:r>
        <w:rPr>
          <w:b/>
          <w:bCs/>
          <w:color w:val="1F2A44"/>
          <w:sz w:val="21"/>
          <w:szCs w:val="21"/>
        </w:rPr>
        <w:t xml:space="preserve">Communication Principles: </w:t>
      </w:r>
      <w:r>
        <w:rPr>
          <w:sz w:val="21"/>
          <w:szCs w:val="21"/>
        </w:rPr>
        <w:t xml:space="preserve">Never oversell certainty in insights — always show sample size and confidence context. The brand's credibility depends on never overstating what the data actually shows.</w:t>
      </w:r>
    </w:p>
    <w:p>
      <w:r>
        <w:br w:type="page"/>
      </w:r>
    </w:p>
    <w:p>
      <w:pPr>
        <w:pStyle w:val="Heading1"/>
        <w:pBdr>
          <w:bottom w:val="single" w:color="1F2A44" w:sz="8" w:space="4"/>
        </w:pBdr>
        <w:spacing w:after="200" w:before="400"/>
      </w:pPr>
      <w:r>
        <w:rPr>
          <w:b/>
          <w:bCs/>
          <w:color w:val="1F2A44"/>
          <w:sz w:val="30"/>
          <w:szCs w:val="30"/>
        </w:rPr>
        <w:t xml:space="preserve">Operational Decisions</w:t>
      </w:r>
    </w:p>
    <w:p>
      <w:pPr>
        <w:spacing w:after="130"/>
      </w:pPr>
      <w:r>
        <w:rPr>
          <w:b/>
          <w:bCs/>
          <w:color w:val="1F2A44"/>
          <w:sz w:val="21"/>
          <w:szCs w:val="21"/>
        </w:rPr>
        <w:t xml:space="preserve">Company Structure: </w:t>
      </w:r>
      <w:r>
        <w:rPr>
          <w:sz w:val="21"/>
          <w:szCs w:val="21"/>
        </w:rPr>
        <w:t xml:space="preserve">Egyptian LLC initially, converting to a Joint Stock Company as the business scales.</w:t>
      </w:r>
    </w:p>
    <w:p>
      <w:pPr>
        <w:spacing w:after="130"/>
      </w:pPr>
      <w:r>
        <w:rPr>
          <w:b/>
          <w:bCs/>
          <w:color w:val="1F2A44"/>
          <w:sz w:val="21"/>
          <w:szCs w:val="21"/>
        </w:rPr>
        <w:t xml:space="preserve">Remote vs. Office: </w:t>
      </w:r>
      <w:r>
        <w:rPr>
          <w:sz w:val="21"/>
          <w:szCs w:val="21"/>
        </w:rPr>
        <w:t xml:space="preserve">Remote-first for engineering, product, and data roles. In-person required for Operations/field roles and Sales, since brand relationships in Egypt are relationship-driven.</w:t>
      </w:r>
    </w:p>
    <w:p>
      <w:pPr>
        <w:spacing w:after="130"/>
      </w:pPr>
      <w:r>
        <w:rPr>
          <w:b/>
          <w:bCs/>
          <w:color w:val="1F2A44"/>
          <w:sz w:val="21"/>
          <w:szCs w:val="21"/>
        </w:rPr>
        <w:t xml:space="preserve">Support Strategy: </w:t>
      </w:r>
      <w:r>
        <w:rPr>
          <w:sz w:val="21"/>
          <w:szCs w:val="21"/>
        </w:rPr>
        <w:t xml:space="preserve">In-app support for consumers; a dedicated Customer Success contact for brand accounts. No phone-based consumer support in Year 1, for cost discipline.</w:t>
      </w:r>
    </w:p>
    <w:p>
      <w:pPr>
        <w:spacing w:after="130"/>
      </w:pPr>
      <w:r>
        <w:rPr>
          <w:b/>
          <w:bCs/>
          <w:color w:val="1F2A44"/>
          <w:sz w:val="21"/>
          <w:szCs w:val="21"/>
        </w:rPr>
        <w:t xml:space="preserve">Customer Success Strategy: </w:t>
      </w:r>
      <w:r>
        <w:rPr>
          <w:sz w:val="21"/>
          <w:szCs w:val="21"/>
        </w:rPr>
        <w:t xml:space="preserve">Proactive ROI reporting drives renewal — not reactive ticket-answering. Customer Success's real job is proving campaign value before the renewal conversation happens.</w:t>
      </w:r>
    </w:p>
    <w:p>
      <w:pPr>
        <w:spacing w:after="130"/>
      </w:pPr>
      <w:r>
        <w:rPr>
          <w:b/>
          <w:bCs/>
          <w:color w:val="1F2A44"/>
          <w:sz w:val="21"/>
          <w:szCs w:val="21"/>
        </w:rPr>
        <w:t xml:space="preserve">Sales Strategy: </w:t>
      </w:r>
      <w:r>
        <w:rPr>
          <w:sz w:val="21"/>
          <w:szCs w:val="21"/>
        </w:rPr>
        <w:t xml:space="preserve">Outbound-led, targeting a named account list (~20 companies). Sell measurable results, not software. Land-and-expand motion, not one-off deals.</w:t>
      </w:r>
    </w:p>
    <w:p>
      <w:pPr>
        <w:spacing w:after="130"/>
      </w:pPr>
      <w:r>
        <w:rPr>
          <w:b/>
          <w:bCs/>
          <w:color w:val="1F2A44"/>
          <w:sz w:val="21"/>
          <w:szCs w:val="21"/>
        </w:rPr>
        <w:t xml:space="preserve">Marketing Strategy: </w:t>
      </w:r>
      <w:r>
        <w:rPr>
          <w:sz w:val="21"/>
          <w:szCs w:val="21"/>
        </w:rPr>
        <w:t xml:space="preserve">Consumer-side marketing exists to acquire the data panel, not to build brand awareness for its own sake. Brand-side growth comes primarily from Sales- and CS-generated case studies and referrals, not paid brand advertising.</w:t>
      </w:r>
    </w:p>
    <w:p>
      <w:r>
        <w:br w:type="page"/>
      </w:r>
    </w:p>
    <w:p>
      <w:pPr>
        <w:pStyle w:val="Heading1"/>
        <w:pBdr>
          <w:bottom w:val="single" w:color="1F2A44" w:sz="8" w:space="4"/>
        </w:pBdr>
        <w:spacing w:after="200" w:before="400"/>
      </w:pPr>
      <w:r>
        <w:rPr>
          <w:b/>
          <w:bCs/>
          <w:color w:val="1F2A44"/>
          <w:sz w:val="30"/>
          <w:szCs w:val="30"/>
        </w:rPr>
        <w:t xml:space="preserve">Financial Decisions</w:t>
      </w:r>
    </w:p>
    <w:p>
      <w:pPr>
        <w:spacing w:after="130"/>
      </w:pPr>
      <w:r>
        <w:rPr>
          <w:b/>
          <w:bCs/>
          <w:color w:val="1F2A44"/>
          <w:sz w:val="21"/>
          <w:szCs w:val="21"/>
        </w:rPr>
        <w:t xml:space="preserve">Funding Strategy: </w:t>
      </w:r>
      <w:r>
        <w:rPr>
          <w:sz w:val="21"/>
          <w:szCs w:val="21"/>
        </w:rPr>
        <w:t xml:space="preserve">Capital-efficient by design, following the reference company's own bootstrapped trajectory. Raise only what is needed to hit the next validated milestone — never to build for a hypothetical future.</w:t>
      </w:r>
    </w:p>
    <w:p>
      <w:pPr>
        <w:spacing w:after="130"/>
      </w:pPr>
      <w:r>
        <w:rPr>
          <w:b/>
          <w:bCs/>
          <w:color w:val="1F2A44"/>
          <w:sz w:val="21"/>
          <w:szCs w:val="21"/>
        </w:rPr>
        <w:t xml:space="preserve">Growth Strategy: </w:t>
      </w:r>
      <w:r>
        <w:rPr>
          <w:sz w:val="21"/>
          <w:szCs w:val="21"/>
        </w:rPr>
        <w:t xml:space="preserve">Prove unit economics in Cairo before spending on geographic expansion. Growth is earned by evidence, not scheduled by calendar.</w:t>
      </w:r>
    </w:p>
    <w:p>
      <w:pPr>
        <w:spacing w:after="130"/>
      </w:pPr>
      <w:r>
        <w:rPr>
          <w:b/>
          <w:bCs/>
          <w:color w:val="1F2A44"/>
          <w:sz w:val="21"/>
          <w:szCs w:val="21"/>
        </w:rPr>
        <w:t xml:space="preserve">Profitability Strategy: </w:t>
      </w:r>
      <w:r>
        <w:rPr>
          <w:sz w:val="21"/>
          <w:szCs w:val="21"/>
        </w:rPr>
        <w:t xml:space="preserve">Target a blended ~60% gross margin. Break-even target of 18–24 months post-MVP launch — carried from the IC Memo and explicitly unvalidated until the sprint and early campaigns confirm it.</w:t>
      </w:r>
    </w:p>
    <w:p>
      <w:pPr>
        <w:spacing w:after="130"/>
      </w:pPr>
      <w:r>
        <w:rPr>
          <w:b/>
          <w:bCs/>
          <w:color w:val="1F2A44"/>
          <w:sz w:val="21"/>
          <w:szCs w:val="21"/>
        </w:rPr>
        <w:t xml:space="preserve">Pricing Rules: </w:t>
      </w:r>
      <w:r>
        <w:rPr>
          <w:sz w:val="21"/>
          <w:szCs w:val="21"/>
        </w:rPr>
        <w:t xml:space="preserve">Brands pay; consumers never pay. No discounting below the Starter-tier price floor without CEO approval. Annual contracts preferred over one-off campaigns once product-market fit is demonstrated.</w:t>
      </w:r>
    </w:p>
    <w:p>
      <w:pPr>
        <w:spacing w:after="130"/>
      </w:pPr>
      <w:r>
        <w:rPr>
          <w:b/>
          <w:bCs/>
          <w:color w:val="1F2A44"/>
          <w:sz w:val="21"/>
          <w:szCs w:val="21"/>
        </w:rPr>
        <w:t xml:space="preserve">Budget Philosophy: </w:t>
      </w:r>
      <w:r>
        <w:rPr>
          <w:sz w:val="21"/>
          <w:szCs w:val="21"/>
        </w:rPr>
        <w:t xml:space="preserve">Every department budget ties to a KPI defined in the Master Execution Blueprint. No headcount is added without a named dependency it unblocks.</w:t>
      </w:r>
    </w:p>
    <w:p>
      <w:r>
        <w:br w:type="page"/>
      </w:r>
    </w:p>
    <w:p>
      <w:pPr>
        <w:pStyle w:val="Heading1"/>
        <w:pBdr>
          <w:bottom w:val="single" w:color="1F2A44" w:sz="8" w:space="4"/>
        </w:pBdr>
        <w:spacing w:after="200" w:before="400"/>
      </w:pPr>
      <w:r>
        <w:rPr>
          <w:b/>
          <w:bCs/>
          <w:color w:val="1F2A44"/>
          <w:sz w:val="30"/>
          <w:szCs w:val="30"/>
        </w:rPr>
        <w:t xml:space="preserve">Risk Decisions</w:t>
      </w:r>
    </w:p>
    <w:p>
      <w:pPr>
        <w:spacing w:after="130"/>
      </w:pPr>
      <w:r>
        <w:rPr>
          <w:b/>
          <w:bCs/>
          <w:color w:val="1F2A44"/>
          <w:sz w:val="21"/>
          <w:szCs w:val="21"/>
        </w:rPr>
        <w:t xml:space="preserve">Risks Accepted: </w:t>
      </w:r>
      <w:r>
        <w:rPr>
          <w:sz w:val="21"/>
          <w:szCs w:val="21"/>
        </w:rPr>
        <w:t xml:space="preserve">Early-stage demand uncertainty, being actively tested via the validation sprint. Reliance on a third-party logistics partner rather than an owned fleet. Reliance on third-party LLM APIs rather than proprietary models at launch.</w:t>
      </w:r>
    </w:p>
    <w:p>
      <w:pPr>
        <w:spacing w:after="130"/>
      </w:pPr>
      <w:r>
        <w:rPr>
          <w:b/>
          <w:bCs/>
          <w:color w:val="1F2A44"/>
          <w:sz w:val="21"/>
          <w:szCs w:val="21"/>
        </w:rPr>
        <w:t xml:space="preserve">Risks Rejected: </w:t>
      </w:r>
      <w:r>
        <w:rPr>
          <w:sz w:val="21"/>
          <w:szCs w:val="21"/>
        </w:rPr>
        <w:t xml:space="preserve">No consumer data collection without explicit, specific consent. No owned warehouses or fleet in Year 1. No expansion beyond Cairo before Cairo unit economics are proven. No venture-scale burn rate without venture-scale evidence to justify it.</w:t>
      </w:r>
    </w:p>
    <w:p>
      <w:pPr>
        <w:spacing w:after="130"/>
      </w:pPr>
      <w:r>
        <w:rPr>
          <w:b/>
          <w:bCs/>
          <w:color w:val="1F2A44"/>
          <w:sz w:val="21"/>
          <w:szCs w:val="21"/>
        </w:rPr>
        <w:t xml:space="preserve">Compliance Strategy: </w:t>
      </w:r>
      <w:r>
        <w:rPr>
          <w:sz w:val="21"/>
          <w:szCs w:val="21"/>
        </w:rPr>
        <w:t xml:space="preserve">Compliance with Egypt's Personal Data Protection Law (No. 151 of 2020) is a gating requirement before any consumer data collection begins — not a parallel workstream.</w:t>
      </w:r>
    </w:p>
    <w:p>
      <w:pPr>
        <w:spacing w:after="130"/>
      </w:pPr>
      <w:r>
        <w:rPr>
          <w:b/>
          <w:bCs/>
          <w:color w:val="1F2A44"/>
          <w:sz w:val="21"/>
          <w:szCs w:val="21"/>
        </w:rPr>
        <w:t xml:space="preserve">Legal Strategy: </w:t>
      </w:r>
      <w:r>
        <w:rPr>
          <w:sz w:val="21"/>
          <w:szCs w:val="21"/>
        </w:rPr>
        <w:t xml:space="preserve">External counsel on retainer through Year 1; in-house counsel from Year 3. All brand and consumer contracts are reviewed before use, never after a dispute arises.</w:t>
      </w:r>
    </w:p>
    <w:p>
      <w:pPr>
        <w:spacing w:after="130"/>
      </w:pPr>
      <w:r>
        <w:rPr>
          <w:b/>
          <w:bCs/>
          <w:color w:val="1F2A44"/>
          <w:sz w:val="21"/>
          <w:szCs w:val="21"/>
        </w:rPr>
        <w:t xml:space="preserve">Security Strategy: </w:t>
      </w:r>
      <w:r>
        <w:rPr>
          <w:sz w:val="21"/>
          <w:szCs w:val="21"/>
        </w:rPr>
        <w:t xml:space="preserve">Privacy-by-design, encryption everywhere, quarterly penetration testing from MVP launch, and self-service data deletion for consumers.</w:t>
      </w:r>
    </w:p>
    <w:p>
      <w:r>
        <w:br w:type="page"/>
      </w:r>
    </w:p>
    <w:p>
      <w:pPr>
        <w:pStyle w:val="Heading1"/>
        <w:pBdr>
          <w:bottom w:val="single" w:color="1F2A44" w:sz="8" w:space="4"/>
        </w:pBdr>
        <w:spacing w:after="200" w:before="400"/>
      </w:pPr>
      <w:r>
        <w:rPr>
          <w:b/>
          <w:bCs/>
          <w:color w:val="1F2A44"/>
          <w:sz w:val="30"/>
          <w:szCs w:val="30"/>
        </w:rPr>
        <w:t xml:space="preserve">Success Metrics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50"/>
      </w:tblGrid>
      <w:tr>
        <w:trPr>
          <w:tblHeader/>
        </w:trPr>
        <w:tc>
          <w:tcPr>
            <w:tcW w:type="dxa" w:w="2200"/>
            <w:shd w:fill="1F2A44" w:val="clear"/>
            <w:tcMar>
              <w:top w:type="dxa" w:w="100"/>
              <w:left w:type="dxa" w:w="120"/>
              <w:bottom w:type="dxa" w:w="100"/>
              <w:right w:type="dxa" w:w="120"/>
            </w:tcMar>
            <w:vAlign w:val="center"/>
          </w:tcPr>
          <w:p>
            <w:r>
              <w:rPr>
                <w:b/>
                <w:bCs/>
                <w:color w:val="FFFFFF"/>
                <w:sz w:val="18"/>
                <w:szCs w:val="18"/>
              </w:rPr>
              <w:t xml:space="preserve">Category</w:t>
            </w:r>
          </w:p>
        </w:tc>
        <w:tc>
          <w:tcPr>
            <w:tcW w:type="dxa" w:w="7150"/>
            <w:shd w:fill="1F2A44" w:val="clear"/>
            <w:tcMar>
              <w:top w:type="dxa" w:w="100"/>
              <w:left w:type="dxa" w:w="120"/>
              <w:bottom w:type="dxa" w:w="100"/>
              <w:right w:type="dxa" w:w="120"/>
            </w:tcMar>
            <w:vAlign w:val="center"/>
          </w:tcPr>
          <w:p>
            <w:r>
              <w:rPr>
                <w:b/>
                <w:bCs/>
                <w:color w:val="FFFFFF"/>
                <w:sz w:val="18"/>
                <w:szCs w:val="18"/>
              </w:rPr>
              <w:t xml:space="preserve">Metrics</w:t>
            </w:r>
          </w:p>
        </w:tc>
      </w:tr>
      <w:tr>
        <w:tc>
          <w:tcPr>
            <w:tcW w:type="dxa" w:w="2200"/>
            <w:shd w:fill="FFFFFF" w:val="clear"/>
            <w:tcMar>
              <w:top w:type="dxa" w:w="80"/>
              <w:left w:type="dxa" w:w="110"/>
              <w:bottom w:type="dxa" w:w="80"/>
              <w:right w:type="dxa" w:w="110"/>
            </w:tcMar>
            <w:vAlign w:val="center"/>
          </w:tcPr>
          <w:p>
            <w:r>
              <w:rPr>
                <w:sz w:val="18"/>
                <w:szCs w:val="18"/>
              </w:rPr>
              <w:t xml:space="preserve">North Star KPI</w:t>
            </w:r>
          </w:p>
        </w:tc>
        <w:tc>
          <w:tcPr>
            <w:tcW w:type="dxa" w:w="7150"/>
            <w:shd w:fill="FFFFFF" w:val="clear"/>
            <w:tcMar>
              <w:top w:type="dxa" w:w="80"/>
              <w:left w:type="dxa" w:w="110"/>
              <w:bottom w:type="dxa" w:w="80"/>
              <w:right w:type="dxa" w:w="110"/>
            </w:tcMar>
            <w:vAlign w:val="center"/>
          </w:tcPr>
          <w:p>
            <w:r>
              <w:rPr>
                <w:sz w:val="18"/>
                <w:szCs w:val="18"/>
              </w:rPr>
              <w:t xml:space="preserve">Verified, brand-actionable consumer data points delivered per month</w:t>
            </w:r>
          </w:p>
        </w:tc>
      </w:tr>
      <w:tr>
        <w:tc>
          <w:tcPr>
            <w:tcW w:type="dxa" w:w="2200"/>
            <w:shd w:fill="F2F2F2" w:val="clear"/>
            <w:tcMar>
              <w:top w:type="dxa" w:w="80"/>
              <w:left w:type="dxa" w:w="110"/>
              <w:bottom w:type="dxa" w:w="80"/>
              <w:right w:type="dxa" w:w="110"/>
            </w:tcMar>
            <w:vAlign w:val="center"/>
          </w:tcPr>
          <w:p>
            <w:r>
              <w:rPr>
                <w:sz w:val="18"/>
                <w:szCs w:val="18"/>
              </w:rPr>
              <w:t xml:space="preserve">Business KPIs</w:t>
            </w:r>
          </w:p>
        </w:tc>
        <w:tc>
          <w:tcPr>
            <w:tcW w:type="dxa" w:w="7150"/>
            <w:shd w:fill="F2F2F2" w:val="clear"/>
            <w:tcMar>
              <w:top w:type="dxa" w:w="80"/>
              <w:left w:type="dxa" w:w="110"/>
              <w:bottom w:type="dxa" w:w="80"/>
              <w:right w:type="dxa" w:w="110"/>
            </w:tcMar>
            <w:vAlign w:val="center"/>
          </w:tcPr>
          <w:p>
            <w:r>
              <w:rPr>
                <w:sz w:val="18"/>
                <w:szCs w:val="18"/>
              </w:rPr>
              <w:t xml:space="preserve">MRR/ARR, brand pipeline value, renewal rate</w:t>
            </w:r>
          </w:p>
        </w:tc>
      </w:tr>
      <w:tr>
        <w:tc>
          <w:tcPr>
            <w:tcW w:type="dxa" w:w="2200"/>
            <w:shd w:fill="FFFFFF" w:val="clear"/>
            <w:tcMar>
              <w:top w:type="dxa" w:w="80"/>
              <w:left w:type="dxa" w:w="110"/>
              <w:bottom w:type="dxa" w:w="80"/>
              <w:right w:type="dxa" w:w="110"/>
            </w:tcMar>
            <w:vAlign w:val="center"/>
          </w:tcPr>
          <w:p>
            <w:r>
              <w:rPr>
                <w:sz w:val="18"/>
                <w:szCs w:val="18"/>
              </w:rPr>
              <w:t xml:space="preserve">Financial KPIs</w:t>
            </w:r>
          </w:p>
        </w:tc>
        <w:tc>
          <w:tcPr>
            <w:tcW w:type="dxa" w:w="7150"/>
            <w:shd w:fill="FFFFFF" w:val="clear"/>
            <w:tcMar>
              <w:top w:type="dxa" w:w="80"/>
              <w:left w:type="dxa" w:w="110"/>
              <w:bottom w:type="dxa" w:w="80"/>
              <w:right w:type="dxa" w:w="110"/>
            </w:tcMar>
            <w:vAlign w:val="center"/>
          </w:tcPr>
          <w:p>
            <w:r>
              <w:rPr>
                <w:sz w:val="18"/>
                <w:szCs w:val="18"/>
              </w:rPr>
              <w:t xml:space="preserve">Gross margin, consumer CAC (&lt;$2 target), brand CAC ($2,000–5,000 target), LTV, payback period, runway</w:t>
            </w:r>
          </w:p>
        </w:tc>
      </w:tr>
      <w:tr>
        <w:tc>
          <w:tcPr>
            <w:tcW w:type="dxa" w:w="2200"/>
            <w:shd w:fill="F2F2F2" w:val="clear"/>
            <w:tcMar>
              <w:top w:type="dxa" w:w="80"/>
              <w:left w:type="dxa" w:w="110"/>
              <w:bottom w:type="dxa" w:w="80"/>
              <w:right w:type="dxa" w:w="110"/>
            </w:tcMar>
            <w:vAlign w:val="center"/>
          </w:tcPr>
          <w:p>
            <w:r>
              <w:rPr>
                <w:sz w:val="18"/>
                <w:szCs w:val="18"/>
              </w:rPr>
              <w:t xml:space="preserve">Customer KPIs</w:t>
            </w:r>
          </w:p>
        </w:tc>
        <w:tc>
          <w:tcPr>
            <w:tcW w:type="dxa" w:w="7150"/>
            <w:shd w:fill="F2F2F2" w:val="clear"/>
            <w:tcMar>
              <w:top w:type="dxa" w:w="80"/>
              <w:left w:type="dxa" w:w="110"/>
              <w:bottom w:type="dxa" w:w="80"/>
              <w:right w:type="dxa" w:w="110"/>
            </w:tcMar>
            <w:vAlign w:val="center"/>
          </w:tcPr>
          <w:p>
            <w:r>
              <w:rPr>
                <w:sz w:val="18"/>
                <w:szCs w:val="18"/>
              </w:rPr>
              <w:t xml:space="preserve">Brand NPS, consumer NPS, survey completion rate (80% target), monthly active users</w:t>
            </w:r>
          </w:p>
        </w:tc>
      </w:tr>
      <w:tr>
        <w:tc>
          <w:tcPr>
            <w:tcW w:type="dxa" w:w="2200"/>
            <w:shd w:fill="FFFFFF" w:val="clear"/>
            <w:tcMar>
              <w:top w:type="dxa" w:w="80"/>
              <w:left w:type="dxa" w:w="110"/>
              <w:bottom w:type="dxa" w:w="80"/>
              <w:right w:type="dxa" w:w="110"/>
            </w:tcMar>
            <w:vAlign w:val="center"/>
          </w:tcPr>
          <w:p>
            <w:r>
              <w:rPr>
                <w:sz w:val="18"/>
                <w:szCs w:val="18"/>
              </w:rPr>
              <w:t xml:space="preserve">Product KPIs</w:t>
            </w:r>
          </w:p>
        </w:tc>
        <w:tc>
          <w:tcPr>
            <w:tcW w:type="dxa" w:w="7150"/>
            <w:shd w:fill="FFFFFF" w:val="clear"/>
            <w:tcMar>
              <w:top w:type="dxa" w:w="80"/>
              <w:left w:type="dxa" w:w="110"/>
              <w:bottom w:type="dxa" w:w="80"/>
              <w:right w:type="dxa" w:w="110"/>
            </w:tcMar>
            <w:vAlign w:val="center"/>
          </w:tcPr>
          <w:p>
            <w:r>
              <w:rPr>
                <w:sz w:val="18"/>
                <w:szCs w:val="18"/>
              </w:rPr>
              <w:t xml:space="preserve">Campaign fulfillment SLA, fraud rate, AI insight-generation turnaround time</w:t>
            </w:r>
          </w:p>
        </w:tc>
      </w:tr>
    </w:tbl>
    <w:p>
      <w:r>
        <w:br w:type="page"/>
      </w:r>
    </w:p>
    <w:p>
      <w:pPr>
        <w:pStyle w:val="Heading1"/>
        <w:pBdr>
          <w:bottom w:val="single" w:color="1F2A44" w:sz="8" w:space="4"/>
        </w:pBdr>
        <w:spacing w:after="200" w:before="400"/>
      </w:pPr>
      <w:r>
        <w:rPr>
          <w:b/>
          <w:bCs/>
          <w:color w:val="1F2A44"/>
          <w:sz w:val="30"/>
          <w:szCs w:val="30"/>
        </w:rPr>
        <w:t xml:space="preserve">Founder Non-Negotiables</w:t>
      </w:r>
    </w:p>
    <w:p>
      <w:pPr>
        <w:spacing w:after="120" w:line="270"/>
      </w:pPr>
      <w:r>
        <w:rPr>
          <w:b/>
          <w:bCs/>
          <w:sz w:val="21"/>
          <w:szCs w:val="21"/>
        </w:rPr>
        <w:t xml:space="preserve">These are permanent project rules. No future document — PRD, Architecture, UX, Database, Development, or Marketing — may contradict them.</w:t>
      </w:r>
    </w:p>
    <w:p>
      <w:pPr>
        <w:spacing w:after="90"/>
      </w:pPr>
      <w:r>
        <w:rPr>
          <w:b/>
          <w:bCs/>
          <w:sz w:val="21"/>
          <w:szCs w:val="21"/>
        </w:rPr>
        <w:t xml:space="preserve">1. </w:t>
      </w:r>
      <w:r>
        <w:rPr>
          <w:sz w:val="21"/>
          <w:szCs w:val="21"/>
        </w:rPr>
        <w:t xml:space="preserve">Consumers are never charged, under any circumstance.</w:t>
      </w:r>
    </w:p>
    <w:p>
      <w:pPr>
        <w:spacing w:after="90"/>
      </w:pPr>
      <w:r>
        <w:rPr>
          <w:b/>
          <w:bCs/>
          <w:sz w:val="21"/>
          <w:szCs w:val="21"/>
        </w:rPr>
        <w:t xml:space="preserve">2. </w:t>
      </w:r>
      <w:r>
        <w:rPr>
          <w:sz w:val="21"/>
          <w:szCs w:val="21"/>
        </w:rPr>
        <w:t xml:space="preserve">No consumer data is collected without explicit, specific, revocable consent.</w:t>
      </w:r>
    </w:p>
    <w:p>
      <w:pPr>
        <w:spacing w:after="90"/>
      </w:pPr>
      <w:r>
        <w:rPr>
          <w:b/>
          <w:bCs/>
          <w:sz w:val="21"/>
          <w:szCs w:val="21"/>
        </w:rPr>
        <w:t xml:space="preserve">3. </w:t>
      </w:r>
      <w:r>
        <w:rPr>
          <w:sz w:val="21"/>
          <w:szCs w:val="21"/>
        </w:rPr>
        <w:t xml:space="preserve">No owned logistics fleet or warehouses in Year 1 — fulfillment is outsourced.</w:t>
      </w:r>
    </w:p>
    <w:p>
      <w:pPr>
        <w:spacing w:after="90"/>
      </w:pPr>
      <w:r>
        <w:rPr>
          <w:b/>
          <w:bCs/>
          <w:sz w:val="21"/>
          <w:szCs w:val="21"/>
        </w:rPr>
        <w:t xml:space="preserve">4. </w:t>
      </w:r>
      <w:r>
        <w:rPr>
          <w:sz w:val="21"/>
          <w:szCs w:val="21"/>
        </w:rPr>
        <w:t xml:space="preserve">No permanent physical kiosks — distribution is portable and partner-based.</w:t>
      </w:r>
    </w:p>
    <w:p>
      <w:pPr>
        <w:spacing w:after="90"/>
      </w:pPr>
      <w:r>
        <w:rPr>
          <w:b/>
          <w:bCs/>
          <w:sz w:val="21"/>
          <w:szCs w:val="21"/>
        </w:rPr>
        <w:t xml:space="preserve">5. </w:t>
      </w:r>
      <w:r>
        <w:rPr>
          <w:sz w:val="21"/>
          <w:szCs w:val="21"/>
        </w:rPr>
        <w:t xml:space="preserve">No expansion beyond Cairo until Cairo unit economics are validated.</w:t>
      </w:r>
    </w:p>
    <w:p>
      <w:pPr>
        <w:spacing w:after="90"/>
      </w:pPr>
      <w:r>
        <w:rPr>
          <w:b/>
          <w:bCs/>
          <w:sz w:val="21"/>
          <w:szCs w:val="21"/>
        </w:rPr>
        <w:t xml:space="preserve">6. </w:t>
      </w:r>
      <w:r>
        <w:rPr>
          <w:sz w:val="21"/>
          <w:szCs w:val="21"/>
        </w:rPr>
        <w:t xml:space="preserve">No GCC expansion until Egypt unit economics and retention are proven — a hard gate, not a date.</w:t>
      </w:r>
    </w:p>
    <w:p>
      <w:pPr>
        <w:spacing w:after="90"/>
      </w:pPr>
      <w:r>
        <w:rPr>
          <w:b/>
          <w:bCs/>
          <w:sz w:val="21"/>
          <w:szCs w:val="21"/>
        </w:rPr>
        <w:t xml:space="preserve">7. </w:t>
      </w:r>
      <w:r>
        <w:rPr>
          <w:sz w:val="21"/>
          <w:szCs w:val="21"/>
        </w:rPr>
        <w:t xml:space="preserve">No feature ships without a named KPI it is meant to move.</w:t>
      </w:r>
    </w:p>
    <w:p>
      <w:pPr>
        <w:spacing w:after="90"/>
      </w:pPr>
      <w:r>
        <w:rPr>
          <w:b/>
          <w:bCs/>
          <w:sz w:val="21"/>
          <w:szCs w:val="21"/>
        </w:rPr>
        <w:t xml:space="preserve">8. </w:t>
      </w:r>
      <w:r>
        <w:rPr>
          <w:sz w:val="21"/>
          <w:szCs w:val="21"/>
        </w:rPr>
        <w:t xml:space="preserve">AI-generated insight narratives never overstate certainty — sample size and confidence context are always shown.</w:t>
      </w:r>
    </w:p>
    <w:p>
      <w:pPr>
        <w:spacing w:after="90"/>
      </w:pPr>
      <w:r>
        <w:rPr>
          <w:b/>
          <w:bCs/>
          <w:sz w:val="21"/>
          <w:szCs w:val="21"/>
        </w:rPr>
        <w:t xml:space="preserve">9. </w:t>
      </w:r>
      <w:r>
        <w:rPr>
          <w:sz w:val="21"/>
          <w:szCs w:val="21"/>
        </w:rPr>
        <w:t xml:space="preserve">Egyptian-dialect Arabic is the default language everywhere consumer-facing, always.</w:t>
      </w:r>
    </w:p>
    <w:p>
      <w:pPr>
        <w:spacing w:after="90"/>
      </w:pPr>
      <w:r>
        <w:rPr>
          <w:b/>
          <w:bCs/>
          <w:sz w:val="21"/>
          <w:szCs w:val="21"/>
        </w:rPr>
        <w:t xml:space="preserve">10. </w:t>
      </w:r>
      <w:r>
        <w:rPr>
          <w:sz w:val="21"/>
          <w:szCs w:val="21"/>
        </w:rPr>
        <w:t xml:space="preserve">No capital is spent beyond what the current validated milestone requires.</w:t>
      </w:r>
    </w:p>
    <w:p>
      <w:pPr>
        <w:spacing w:after="90"/>
      </w:pPr>
      <w:r>
        <w:rPr>
          <w:b/>
          <w:bCs/>
          <w:sz w:val="21"/>
          <w:szCs w:val="21"/>
        </w:rPr>
        <w:t xml:space="preserve">11. </w:t>
      </w:r>
      <w:r>
        <w:rPr>
          <w:sz w:val="21"/>
          <w:szCs w:val="21"/>
        </w:rPr>
        <w:t xml:space="preserve">Every department budget must trace to a KPI defined in the Master Execution Blueprint.</w:t>
      </w:r>
    </w:p>
    <w:p>
      <w:pPr>
        <w:spacing w:after="90"/>
      </w:pPr>
      <w:r>
        <w:rPr>
          <w:b/>
          <w:bCs/>
          <w:sz w:val="21"/>
          <w:szCs w:val="21"/>
        </w:rPr>
        <w:t xml:space="preserve">12. </w:t>
      </w:r>
      <w:r>
        <w:rPr>
          <w:sz w:val="21"/>
          <w:szCs w:val="21"/>
        </w:rPr>
        <w:t xml:space="preserve">No later document may contradict this FDD without a formal, versioned amendment to this document itself.</w:t>
      </w:r>
    </w:p>
    <w:p>
      <w:r>
        <w:br w:type="page"/>
      </w:r>
    </w:p>
    <w:p>
      <w:pPr>
        <w:pStyle w:val="Heading1"/>
        <w:pBdr>
          <w:bottom w:val="single" w:color="1F2A44" w:sz="8" w:space="4"/>
        </w:pBdr>
        <w:spacing w:after="200" w:before="400"/>
      </w:pPr>
      <w:r>
        <w:rPr>
          <w:b/>
          <w:bCs/>
          <w:color w:val="1F2A44"/>
          <w:sz w:val="30"/>
          <w:szCs w:val="30"/>
        </w:rPr>
        <w:t xml:space="preserve">Assumptions</w:t>
      </w:r>
    </w:p>
    <w:p>
      <w:pPr>
        <w:pStyle w:val="Heading2"/>
        <w:spacing w:after="130" w:before="260"/>
      </w:pPr>
      <w:r>
        <w:rPr>
          <w:b/>
          <w:bCs/>
          <w:color w:val="1F2A44"/>
          <w:sz w:val="23"/>
          <w:szCs w:val="23"/>
        </w:rPr>
        <w:t xml:space="preserve">Validated</w:t>
      </w:r>
    </w:p>
    <w:p>
      <w:pPr>
        <w:pStyle w:val="ListParagraph"/>
        <w:numPr>
          <w:ilvl w:val="0"/>
          <w:numId w:val="1"/>
        </w:numPr>
        <w:spacing w:after="70"/>
      </w:pPr>
      <w:r>
        <w:rPr>
          <w:sz w:val="21"/>
          <w:szCs w:val="21"/>
        </w:rPr>
        <w:t xml:space="preserve">Samplia's founding year (2013), founders, funding status (unfunded/bootstrapped), and approximate scale — independently verified across multiple third-party sources during the Investment Committee review process.</w:t>
      </w:r>
    </w:p>
    <w:p>
      <w:pPr>
        <w:pStyle w:val="Heading2"/>
        <w:spacing w:after="130" w:before="260"/>
      </w:pPr>
      <w:r>
        <w:rPr>
          <w:b/>
          <w:bCs/>
          <w:color w:val="1F2A44"/>
          <w:sz w:val="23"/>
          <w:szCs w:val="23"/>
        </w:rPr>
        <w:t xml:space="preserve">Unvalidated — Pending the Track 0 Sprint</w:t>
      </w:r>
    </w:p>
    <w:p>
      <w:pPr>
        <w:pStyle w:val="ListParagraph"/>
        <w:numPr>
          <w:ilvl w:val="0"/>
          <w:numId w:val="1"/>
        </w:numPr>
        <w:spacing w:after="70"/>
      </w:pPr>
      <w:r>
        <w:rPr>
          <w:sz w:val="21"/>
          <w:szCs w:val="21"/>
        </w:rPr>
        <w:t xml:space="preserve">Egyptian brand willingness to pay at the proposed price points ($4,000–20,000 per campaign).</w:t>
      </w:r>
    </w:p>
    <w:p>
      <w:pPr>
        <w:pStyle w:val="ListParagraph"/>
        <w:numPr>
          <w:ilvl w:val="0"/>
          <w:numId w:val="1"/>
        </w:numPr>
        <w:spacing w:after="70"/>
      </w:pPr>
      <w:r>
        <w:rPr>
          <w:sz w:val="21"/>
          <w:szCs w:val="21"/>
        </w:rPr>
        <w:t xml:space="preserve">Actual size of Egyptian FMCG sampling, activation, and market-research budgets.</w:t>
      </w:r>
    </w:p>
    <w:p>
      <w:pPr>
        <w:pStyle w:val="ListParagraph"/>
        <w:numPr>
          <w:ilvl w:val="0"/>
          <w:numId w:val="1"/>
        </w:numPr>
        <w:spacing w:after="70"/>
      </w:pPr>
      <w:r>
        <w:rPr>
          <w:sz w:val="21"/>
          <w:szCs w:val="21"/>
        </w:rPr>
        <w:t xml:space="preserve">Consumer willingness to complete surveys at meaningful scale.</w:t>
      </w:r>
    </w:p>
    <w:p>
      <w:pPr>
        <w:pStyle w:val="ListParagraph"/>
        <w:numPr>
          <w:ilvl w:val="0"/>
          <w:numId w:val="1"/>
        </w:numPr>
        <w:spacing w:after="70"/>
      </w:pPr>
      <w:r>
        <w:rPr>
          <w:sz w:val="21"/>
          <w:szCs w:val="21"/>
        </w:rPr>
        <w:t xml:space="preserve">Real consumer acquisition cost in the Egyptian market.</w:t>
      </w:r>
    </w:p>
    <w:p>
      <w:pPr>
        <w:pStyle w:val="ListParagraph"/>
        <w:numPr>
          <w:ilvl w:val="0"/>
          <w:numId w:val="1"/>
        </w:numPr>
        <w:spacing w:after="70"/>
      </w:pPr>
      <w:r>
        <w:rPr>
          <w:sz w:val="21"/>
          <w:szCs w:val="21"/>
        </w:rPr>
        <w:t xml:space="preserve">Whether Marketeers Research or any other regional player already offers a directly competing sampling-to-data mechanic.</w:t>
      </w:r>
    </w:p>
    <w:p>
      <w:pPr>
        <w:pStyle w:val="Heading2"/>
        <w:spacing w:after="130" w:before="260"/>
      </w:pPr>
      <w:r>
        <w:rPr>
          <w:b/>
          <w:bCs/>
          <w:color w:val="1F2A44"/>
          <w:sz w:val="23"/>
          <w:szCs w:val="23"/>
        </w:rPr>
        <w:t xml:space="preserve">Critical Unknowns</w:t>
      </w:r>
    </w:p>
    <w:p>
      <w:pPr>
        <w:pStyle w:val="ListParagraph"/>
        <w:numPr>
          <w:ilvl w:val="0"/>
          <w:numId w:val="1"/>
        </w:numPr>
        <w:spacing w:after="70"/>
      </w:pPr>
      <w:r>
        <w:rPr>
          <w:sz w:val="21"/>
          <w:szCs w:val="21"/>
        </w:rPr>
        <w:t xml:space="preserve">PDPL enforcement practice as applied specifically to consumer-profiling business models.</w:t>
      </w:r>
    </w:p>
    <w:p>
      <w:pPr>
        <w:pStyle w:val="ListParagraph"/>
        <w:numPr>
          <w:ilvl w:val="0"/>
          <w:numId w:val="1"/>
        </w:numPr>
        <w:spacing w:after="70"/>
      </w:pPr>
      <w:r>
        <w:rPr>
          <w:sz w:val="21"/>
          <w:szCs w:val="21"/>
        </w:rPr>
        <w:t xml:space="preserve">AWS/cloud data-residency treatment for Egypt-sourced personal data — pending legal confirmation.</w:t>
      </w:r>
    </w:p>
    <w:p>
      <w:pPr>
        <w:pStyle w:val="ListParagraph"/>
        <w:numPr>
          <w:ilvl w:val="0"/>
          <w:numId w:val="1"/>
        </w:numPr>
        <w:spacing w:after="70"/>
      </w:pPr>
      <w:r>
        <w:rPr>
          <w:sz w:val="21"/>
          <w:szCs w:val="21"/>
        </w:rPr>
        <w:t xml:space="preserve">Samplia's actual unit economics, campaign pricing, and client retention — not publicly available.</w:t>
      </w:r>
    </w:p>
    <w:p>
      <w:r>
        <w:br w:type="page"/>
      </w:r>
    </w:p>
    <w:p>
      <w:pPr>
        <w:pStyle w:val="Heading1"/>
        <w:pBdr>
          <w:bottom w:val="single" w:color="1F2A44" w:sz="8" w:space="4"/>
        </w:pBdr>
        <w:spacing w:after="200" w:before="400"/>
      </w:pPr>
      <w:r>
        <w:rPr>
          <w:b/>
          <w:bCs/>
          <w:color w:val="1F2A44"/>
          <w:sz w:val="30"/>
          <w:szCs w:val="30"/>
        </w:rPr>
        <w:t xml:space="preserve">Open Decisions — Require Founder Approval</w:t>
      </w:r>
    </w:p>
    <w:p>
      <w:pPr>
        <w:pStyle w:val="ListParagraph"/>
        <w:numPr>
          <w:ilvl w:val="0"/>
          <w:numId w:val="1"/>
        </w:numPr>
        <w:spacing w:after="70"/>
      </w:pPr>
      <w:r>
        <w:rPr>
          <w:sz w:val="21"/>
          <w:szCs w:val="21"/>
        </w:rPr>
        <w:t xml:space="preserve">Final legal company name — "Tajribti" is a working name only; trademark and domain clearance are pending.</w:t>
      </w:r>
    </w:p>
    <w:p>
      <w:pPr>
        <w:pStyle w:val="ListParagraph"/>
        <w:numPr>
          <w:ilvl w:val="0"/>
          <w:numId w:val="1"/>
        </w:numPr>
        <w:spacing w:after="70"/>
      </w:pPr>
      <w:r>
        <w:rPr>
          <w:sz w:val="21"/>
          <w:szCs w:val="21"/>
        </w:rPr>
        <w:t xml:space="preserve">Whether the CEO doubles as Product Manager through Year 1, or a dedicated PM is hired immediately upon a GO decision.</w:t>
      </w:r>
    </w:p>
    <w:p>
      <w:pPr>
        <w:pStyle w:val="ListParagraph"/>
        <w:numPr>
          <w:ilvl w:val="0"/>
          <w:numId w:val="1"/>
        </w:numPr>
        <w:spacing w:after="70"/>
      </w:pPr>
      <w:r>
        <w:rPr>
          <w:sz w:val="21"/>
          <w:szCs w:val="21"/>
        </w:rPr>
        <w:t xml:space="preserve">Final cloud region, pending legal confirmation of PDPL data-residency requirements.</w:t>
      </w:r>
    </w:p>
    <w:p>
      <w:pPr>
        <w:pStyle w:val="ListParagraph"/>
        <w:numPr>
          <w:ilvl w:val="0"/>
          <w:numId w:val="1"/>
        </w:numPr>
        <w:spacing w:after="70"/>
      </w:pPr>
      <w:r>
        <w:rPr>
          <w:sz w:val="21"/>
          <w:szCs w:val="21"/>
        </w:rPr>
        <w:t xml:space="preserve">Whether external funding is sought at all, or the company remains bootstrapped in the Samplia tradition — explicitly unresolved and treated as a Board-level decision, not an assumption.</w:t>
      </w:r>
    </w:p>
    <w:p>
      <w:pPr>
        <w:pStyle w:val="ListParagraph"/>
        <w:numPr>
          <w:ilvl w:val="0"/>
          <w:numId w:val="1"/>
        </w:numPr>
        <w:spacing w:after="70"/>
      </w:pPr>
      <w:r>
        <w:rPr>
          <w:sz w:val="21"/>
          <w:szCs w:val="21"/>
        </w:rPr>
        <w:t xml:space="preserve">Exact revenue-mix percentages (illustrative 45/20/15/10/10 split carried from the IC Memo) — to be recalibrated once the validation sprint's pricing findings are in.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Tajribti — Founder Decisions Document (FDD)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2026-07-26T17:23:14.098Z</dcterms:created>
  <dcterms:modified xsi:type="dcterms:W3CDTF">2026-07-26T17:23:14.116Z</dcterms:modified>
</cp:coreProperties>
</file>

<file path=docProps/custom.xml><?xml version="1.0" encoding="utf-8"?>
<Properties xmlns="http://schemas.openxmlformats.org/officeDocument/2006/custom-properties" xmlns:vt="http://schemas.openxmlformats.org/officeDocument/2006/docPropsVTypes"/>
</file>