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50"/>
      </w:pPr>
    </w:p>
    <w:p>
      <w:pPr>
        <w:spacing w:after="80"/>
        <w:jc w:val="center"/>
      </w:pPr>
      <w:r>
        <w:rPr>
          <w:b/>
          <w:bCs/>
          <w:color w:val="1F2A44"/>
          <w:sz w:val="38"/>
          <w:szCs w:val="38"/>
        </w:rPr>
        <w:t xml:space="preserve">TECHNICAL ARCHITECTURE DOCUMENT</w:t>
      </w:r>
    </w:p>
    <w:p>
      <w:pPr>
        <w:spacing w:after="60"/>
        <w:jc w:val="center"/>
      </w:pPr>
      <w:r>
        <w:rPr>
          <w:b/>
          <w:bCs/>
          <w:color w:val="D68910"/>
          <w:sz w:val="24"/>
          <w:szCs w:val="24"/>
        </w:rPr>
        <w:t xml:space="preserve">v1.0 — Production Architecture</w:t>
      </w:r>
    </w:p>
    <w:p>
      <w:pPr>
        <w:spacing w:after="350"/>
        <w:jc w:val="center"/>
      </w:pPr>
      <w:r>
        <w:rPr>
          <w:color w:val="6B7280"/>
          <w:sz w:val="23"/>
          <w:szCs w:val="23"/>
        </w:rPr>
        <w:t xml:space="preserve">Tajribti (تجربتي) — Egypt's Consumer Intelligence Platform</w:t>
      </w:r>
    </w:p>
    <w:p>
      <w:pPr>
        <w:spacing w:before="5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0"/>
        <w:gridCol w:w="6650"/>
      </w:tblGrid>
      <w:tr>
        <w:trPr>
          <w:tblHeader/>
        </w:trPr>
        <w:tc>
          <w:tcPr>
            <w:tcW w:type="dxa" w:w="27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65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Document Type</w:t>
            </w:r>
          </w:p>
        </w:tc>
        <w:tc>
          <w:tcPr>
            <w:tcW w:type="dxa" w:w="6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Technical Architecture Document — official reference for Engineering</w:t>
            </w:r>
          </w:p>
        </w:tc>
      </w:tr>
      <w:tr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Governed by</w:t>
            </w:r>
          </w:p>
        </w:tc>
        <w:tc>
          <w:tcPr>
            <w:tcW w:type="dxa" w:w="6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Founder Decisions Document (FDD) v1.0 and Master PRD v1.0 — this document implements them, it does not alter them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Scope</w:t>
            </w:r>
          </w:p>
        </w:tc>
        <w:tc>
          <w:tcPr>
            <w:tcW w:type="dxa" w:w="6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MVP production architecture (fully specified) + V2 AI architecture (target-state design, not active at MVP launch)</w:t>
            </w:r>
          </w:p>
        </w:tc>
      </w:tr>
      <w:tr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Company</w:t>
            </w:r>
          </w:p>
        </w:tc>
        <w:tc>
          <w:tcPr>
            <w:tcW w:type="dxa" w:w="6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Tajribti (working name)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6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26 July 2026</w:t>
            </w:r>
          </w:p>
        </w:tc>
      </w:tr>
      <w:tr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Version</w:t>
            </w:r>
          </w:p>
        </w:tc>
        <w:tc>
          <w:tcPr>
            <w:tcW w:type="dxa" w:w="6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D68910" w:sz="6"/>
          <w:left w:val="single" w:color="D68910" w:sz="6"/>
          <w:bottom w:val="single" w:color="D68910" w:sz="6"/>
          <w:right w:val="single" w:color="D6891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/>
            </w:pPr>
            <w:r>
              <w:rPr>
                <w:b/>
                <w:bCs/>
                <w:color w:val="D68910"/>
                <w:sz w:val="20"/>
                <w:szCs w:val="20"/>
              </w:rPr>
              <w:t xml:space="preserve">One terminology correction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• The FDD's binding legal framework is Egypt's Personal Data Protection Law (PDPL, Law No. 151/2020) — not GDPR, since the company has no EU operations. Because PDPL shares GDPR's structural principles (consent, access, deletion, minimization), this architecture is built to GDPR-equivalent technical controls as a safe superset — giving future EU/GCC-adjacent optionality without over-engineering. PDPL is the compliance target that must be signed off by counsel; GDPR alignment is a design convenience, not a separate legal requirement.</w:t>
            </w:r>
          </w:p>
        </w:tc>
      </w:tr>
    </w:tbl>
    <w:p>
      <w:pPr>
        <w:sectPr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9"/>
          <w:szCs w:val="29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9"/>
          <w:szCs w:val="29"/>
        </w:rPr>
        <w:t xml:space="preserve">Phase 1 — Architecture Overview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Architectural Style Decision</w:t>
      </w:r>
    </w:p>
    <w:p>
      <w:pPr>
        <w:spacing w:after="120" w:line="268"/>
      </w:pPr>
      <w:r>
        <w:rPr>
          <w:sz w:val="20"/>
          <w:szCs w:val="20"/>
        </w:rPr>
        <w:t xml:space="preserve">Modular monolith (NestJS) for the core API, plus one satellite Python service for AI/data workloads — not full microservices. Rationale: the Year-1 engineering team is 2–3 engineers (per Master Execution Blueprint); microservices operational overhead is not justified at this scale. Every module is built with clear domain boundaries and its own data-access layer so any module (e.g., Fulfillment, Analytics) can be extracted into an independently deployable service later without a rewrite — consistent with the FDD's "design for 10x volume" scalability principle.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System Context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F1626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                     +-------------------------+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  Consumer  -------&gt; |                         |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  (Flutter app)      |                         | &lt;----&gt; SMS/OTP Provider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                     |                         |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  Brand User ------&gt; |     TAJRIBTI PLATFORM   | &lt;----&gt; WhatsApp Business API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  (React dashboard)  |                         |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                     |                         | &lt;----&gt; Vodafone Cash / InstaPay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  Internal Ops/  ---&gt;|                         |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  Support/Admin      |                         | &lt;----&gt; LLM Provider(s) [V2]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  (React portal)     +-------------------------+</w:t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High-Level Architecture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F1626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Client Layer:      Flutter (Consumer)  |  Next.js (Brand Dashboard)  |  Next.js (Admin Portal)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                                   |                    |                    |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                                   v                    v                    v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API Gateway:                 ALB + NestJS API Gateway (auth, rate limiting, routing)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                                                |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Application Layer:   NestJS Modular Monolith (Auth, Consumer, Brand, Campaign,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                      Fulfillment, Survey, Analytics, Notification, Support, Audit)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                                                |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                          +---------------------+----------------------+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                          |                      |                       |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Data Layer:          PostgreSQL (RDS)      Redis (ElastiCache)    S3 (object storage)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                          |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Event/Async:      SQS (inter-module events)  +  BullMQ (background jobs)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                          |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Analytics:          BigQuery / Snowflake warehouse (ETL from Postgres)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                          |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AI Service [V2]:    Python service (FastAPI) — AI Gateway, fraud model, insight generation</w:t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Logical Architecture</w:t>
      </w:r>
    </w:p>
    <w:p>
      <w:pPr>
        <w:spacing w:after="120" w:line="268"/>
      </w:pPr>
      <w:r>
        <w:rPr>
          <w:sz w:val="20"/>
          <w:szCs w:val="20"/>
        </w:rPr>
        <w:t xml:space="preserve">Five layers, strictly one-directional dependency (each layer depends only on the layer below it):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Presentation — Flutter/React UI components, no business logic.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API/Application — NestJS controllers, request validation (class-validator), response shaping.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Domain/Business Logic — module services implementing PRD business rules (state machines, validation rules).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Data Access — repositories/ORM layer (TypeORM), no business logic.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Infrastructure — DB drivers, cache clients, queue clients, third-party SDKs.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Physical Architecture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2600"/>
        <w:gridCol w:w="4750"/>
      </w:tblGrid>
      <w:tr>
        <w:trPr>
          <w:tblHeader/>
        </w:trPr>
        <w:tc>
          <w:tcPr>
            <w:tcW w:type="dxa" w:w="20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26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AWS Service</w:t>
            </w:r>
          </w:p>
        </w:tc>
        <w:tc>
          <w:tcPr>
            <w:tcW w:type="dxa" w:w="475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Compute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ECS Fargate</w:t>
            </w:r>
          </w:p>
        </w:tc>
        <w:tc>
          <w:tcPr>
            <w:tcW w:type="dxa" w:w="4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Containerized NestJS API + Python AI service; no server management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Load Balancing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Application Load Balancer (ALB)</w:t>
            </w:r>
          </w:p>
        </w:tc>
        <w:tc>
          <w:tcPr>
            <w:tcW w:type="dxa" w:w="47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TLS termination, health checks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Relational DB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RDS PostgreSQL (Multi-AZ)</w:t>
            </w:r>
          </w:p>
        </w:tc>
        <w:tc>
          <w:tcPr>
            <w:tcW w:type="dxa" w:w="4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Primary data store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Cache/Queue backing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ElastiCache Redis</w:t>
            </w:r>
          </w:p>
        </w:tc>
        <w:tc>
          <w:tcPr>
            <w:tcW w:type="dxa" w:w="47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Session cache, BullMQ backend, rate-limit counters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Object storage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S3</w:t>
            </w:r>
          </w:p>
        </w:tc>
        <w:tc>
          <w:tcPr>
            <w:tcW w:type="dxa" w:w="4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QR assets, exports, media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Analytics warehouse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BigQuery or Snowflake</w:t>
            </w:r>
          </w:p>
        </w:tc>
        <w:tc>
          <w:tcPr>
            <w:tcW w:type="dxa" w:w="47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Decoupled from transactional DB for heavy reporting queries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Event queue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SQS</w:t>
            </w:r>
          </w:p>
        </w:tc>
        <w:tc>
          <w:tcPr>
            <w:tcW w:type="dxa" w:w="4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Inter-module async events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CDN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CloudFront</w:t>
            </w:r>
          </w:p>
        </w:tc>
        <w:tc>
          <w:tcPr>
            <w:tcW w:type="dxa" w:w="47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Static assets, brand dashboard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Networking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VPC, public/private subnets</w:t>
            </w:r>
          </w:p>
        </w:tc>
        <w:tc>
          <w:tcPr>
            <w:tcW w:type="dxa" w:w="4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DB and cache in private subnets only</w:t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Deployment Architecture</w:t>
      </w:r>
    </w:p>
    <w:p>
      <w:pPr>
        <w:spacing w:after="120" w:line="268"/>
      </w:pPr>
      <w:r>
        <w:rPr>
          <w:sz w:val="20"/>
          <w:szCs w:val="20"/>
        </w:rPr>
        <w:t xml:space="preserve">Three environments — dev (local Docker Compose, mirrors prod services), staging (full AWS replica at smaller instance sizes), production (Multi-AZ, autoscaled). Deployment via ECS rolling updates with health-check-gated rollback; infrastructure defined as code (Terraform), reviewed via pull request like application code.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9"/>
          <w:szCs w:val="29"/>
        </w:rPr>
        <w:t xml:space="preserve">Phase 2 — Frontend Architecture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00"/>
        <w:gridCol w:w="3800"/>
        <w:gridCol w:w="3850"/>
      </w:tblGrid>
      <w:tr>
        <w:trPr>
          <w:tblHeader/>
        </w:trPr>
        <w:tc>
          <w:tcPr>
            <w:tcW w:type="dxa" w:w="17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Aspect</w:t>
            </w:r>
          </w:p>
        </w:tc>
        <w:tc>
          <w:tcPr>
            <w:tcW w:type="dxa" w:w="38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Consumer App (Flutter)</w:t>
            </w:r>
          </w:p>
        </w:tc>
        <w:tc>
          <w:tcPr>
            <w:tcW w:type="dxa" w:w="385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Brand Dashboard &amp; Admin Portal (Next.js)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Framework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Flutter (single codebase, iOS + Android) — per FDD Mobile Strategy</w:t>
            </w:r>
          </w:p>
        </w:tc>
        <w:tc>
          <w:tcPr>
            <w:tcW w:type="dxa" w:w="3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React 18 + Next.js (App Router) — per FDD, desktop-web-first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State management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Riverpod — chosen over Provider/Bloc for testability and low boilerplate at small-team scale</w:t>
            </w:r>
          </w:p>
        </w:tc>
        <w:tc>
          <w:tcPr>
            <w:tcW w:type="dxa" w:w="38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React Query (server state) + Zustand (client state) — avoids Redux boilerplate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Routing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go_router — declarative, deep-link support for notification taps</w:t>
            </w:r>
          </w:p>
        </w:tc>
        <w:tc>
          <w:tcPr>
            <w:tcW w:type="dxa" w:w="3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Next.js file-based App Router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OTP flow, secure token storage (flutter_secure_storage), biometric unlock optional</w:t>
            </w:r>
          </w:p>
        </w:tc>
        <w:tc>
          <w:tcPr>
            <w:tcW w:type="dxa" w:w="38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Email/password (SSO planned V2), httpOnly cookie session, 30-min idle timeout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UI components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Custom design-system package on Material foundations, Arabic-typography-led per FDD Visual Direction</w:t>
            </w:r>
          </w:p>
        </w:tc>
        <w:tc>
          <w:tcPr>
            <w:tcW w:type="dxa" w:w="3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Tailwind CSS + Radix UI primitives, shared design tokens with mobile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Internationalization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ARB files, RTL default (Egyptian-dialect Arabic), English toggle</w:t>
            </w:r>
          </w:p>
        </w:tc>
        <w:tc>
          <w:tcPr>
            <w:tcW w:type="dxa" w:w="38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next-intl, RTL/LTR dir switching at layout root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Performance targets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Cold start &lt;3s on mid-range Android; offline-tolerant QR redemption queue (per PRD edge case)</w:t>
            </w:r>
          </w:p>
        </w:tc>
        <w:tc>
          <w:tcPr>
            <w:tcW w:type="dxa" w:w="3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Lighthouse performance score ≥85; code-split by route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9"/>
          <w:szCs w:val="29"/>
        </w:rPr>
        <w:t xml:space="preserve">Phase 3 — Backend Architecture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Services &amp; Modules</w:t>
      </w:r>
    </w:p>
    <w:p>
      <w:pPr>
        <w:spacing w:after="120" w:line="268"/>
      </w:pPr>
      <w:r>
        <w:rPr>
          <w:sz w:val="20"/>
          <w:szCs w:val="20"/>
        </w:rPr>
        <w:t xml:space="preserve">NestJS modular monolith. Each module owns its domain logic and data-access layer; cross-module communication happens via well-defined service interfaces (synchronous) or SQS events (asynchronous), never via direct database access across module boundaries.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900"/>
        <w:gridCol w:w="7450"/>
      </w:tblGrid>
      <w:tr>
        <w:trPr>
          <w:tblHeader/>
        </w:trPr>
        <w:tc>
          <w:tcPr>
            <w:tcW w:type="dxa" w:w="19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745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Owns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Auth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OTP issuance/verification, JWT issuance, brand SSO (V2), internal 2FA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Consumer</w:t>
            </w:r>
          </w:p>
        </w:tc>
        <w:tc>
          <w:tcPr>
            <w:tcW w:type="dxa" w:w="7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Profile, consent state, data export/deletion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Brand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Brand account, brand users, permissions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Campaign</w:t>
            </w:r>
          </w:p>
        </w:tc>
        <w:tc>
          <w:tcPr>
            <w:tcW w:type="dxa" w:w="7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Campaign lifecycle state machine (Draft→PendingApproval→Approved→Live→Closed)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Fulfillment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QR batch generation/validation, location stock, redemption events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Survey</w:t>
            </w:r>
          </w:p>
        </w:tc>
        <w:tc>
          <w:tcPr>
            <w:tcW w:type="dxa" w:w="7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Survey schema per campaign, response capture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Analytics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Report generation, CSV export, warehouse ETL trigger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Notification</w:t>
            </w:r>
          </w:p>
        </w:tc>
        <w:tc>
          <w:tcPr>
            <w:tcW w:type="dxa" w:w="7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Push/WhatsApp dispatch, frequency-cap enforcement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Support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Ticket lifecycle, internal assignment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Audit</w:t>
            </w:r>
          </w:p>
        </w:tc>
        <w:tc>
          <w:tcPr>
            <w:tcW w:type="dxa" w:w="7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Immutable event logging for all sensitive-data writes</w:t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API Layer</w:t>
      </w:r>
    </w:p>
    <w:p>
      <w:pPr>
        <w:spacing w:after="120" w:line="268"/>
      </w:pPr>
      <w:r>
        <w:rPr>
          <w:sz w:val="20"/>
          <w:szCs w:val="20"/>
        </w:rPr>
        <w:t xml:space="preserve">REST, versioned (/api/v1/...), OpenAPI/Swagger spec auto-generated from NestJS decorators and published for frontend/QA consumption. GraphQL deliberately not adopted for MVP — added complexity not justified by current client needs.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Authentication &amp; Authorization</w:t>
      </w:r>
    </w:p>
    <w:p>
      <w:pPr>
        <w:spacing w:after="120" w:line="268"/>
      </w:pPr>
      <w:r>
        <w:rPr>
          <w:sz w:val="20"/>
          <w:szCs w:val="20"/>
        </w:rPr>
        <w:t xml:space="preserve">AuthN: Passport strategies — custom OTP strategy (consumer), JWT strategy (all authenticated requests), SSO/OAuth2 strategy reserved for V2 brand SSO. AuthZ: NestJS Guards + CASL for attribute-based rules, mapped directly to the Permissions Matrix defined in the Master PRD (Phase 2).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Background Jobs &amp; Queues</w:t>
      </w:r>
    </w:p>
    <w:p>
      <w:pPr>
        <w:spacing w:after="120" w:line="268"/>
      </w:pPr>
      <w:r>
        <w:rPr>
          <w:sz w:val="20"/>
          <w:szCs w:val="20"/>
        </w:rPr>
        <w:t xml:space="preserve">BullMQ (Redis-backed) for internal scheduled/retryable jobs: notification dispatch, report generation, QR batch generation. AWS SQS for cross-module event-driven decoupling: redemption.completed and survey.completed events fire from Fulfillment/Survey modules and are consumed asynchronously by Notification and Analytics — this is what lets the redemption path stay fast even as reporting logic grows more complex.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Caching</w:t>
      </w:r>
    </w:p>
    <w:p>
      <w:pPr>
        <w:spacing w:after="120" w:line="268"/>
      </w:pPr>
      <w:r>
        <w:rPr>
          <w:sz w:val="20"/>
          <w:szCs w:val="20"/>
        </w:rPr>
        <w:t xml:space="preserve">Redis for hot-path reads: campaign discovery feed (TTL 2 min), brand dashboard summary counts (TTL 1 min, invalidated on new redemption/survey event), rate-limit counters. Cache invalidation is event-driven (on relevant SQS events), not purely TTL-based, to avoid stale campaign-status data.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9"/>
          <w:szCs w:val="29"/>
        </w:rPr>
        <w:t xml:space="preserve">Phase 4 — Database Design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Entity-Relationship Summary</w:t>
      </w:r>
    </w:p>
    <w:p>
      <w:pPr>
        <w:spacing w:after="120" w:line="268"/>
      </w:pPr>
      <w:r>
        <w:rPr>
          <w:sz w:val="20"/>
          <w:szCs w:val="20"/>
        </w:rPr>
        <w:t xml:space="preserve">Implements the data model defined in the Master PRD (Phase 7), with engineering-level conventions added below.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F1626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BrandAccount (1) ---- (many) BrandUser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BrandAccount (1) ---- (many) Campaign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Campaign     (1) ---- (many) SampleLocation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SampleLocation(1)---- (many) RedemptionEvent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Consumer     (1) ---- (many) RedemptionEvent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RedemptionEvent(1)---- (1)   SurveyResponse (response bundle)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9FE8B0"/>
                <w:sz w:val="14"/>
                <w:szCs w:val="14"/>
              </w:rPr>
              <w:t xml:space="preserve">* -----------------&gt; AuditLog  (every write to Consumer / SurveyResponse)</w:t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Engineering Conventions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Primary keys: UUID v4 for all entities (avoids sequential-ID enumeration; safe for public-facing IDs like campaign links).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Every entity has created_at, updated_at (UTC, timestamptz); soft-delete flag (deleted_at) on Consumer, Campaign, BrandAccount — audit and support recovery; RedemptionEvent/SurveyResponse are never hard-deleted, only anonymized (per PRD Feature 8 business rule).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All monetary fields stored as integers (smallest currency unit) to avoid floating-point rounding errors.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Key Indexes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7350"/>
      </w:tblGrid>
      <w:tr>
        <w:trPr>
          <w:tblHeader/>
        </w:trPr>
        <w:tc>
          <w:tcPr>
            <w:tcW w:type="dxa" w:w="20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735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Index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consumer</w:t>
            </w:r>
          </w:p>
        </w:tc>
        <w:tc>
          <w:tcPr>
            <w:tcW w:type="dxa" w:w="7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UNIQUE(phone)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redemption_event</w:t>
            </w:r>
          </w:p>
        </w:tc>
        <w:tc>
          <w:tcPr>
            <w:tcW w:type="dxa" w:w="73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UNIQUE(qr_code); INDEX(campaign_id, location_id); INDEX(consumer_id)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campaign</w:t>
            </w:r>
          </w:p>
        </w:tc>
        <w:tc>
          <w:tcPr>
            <w:tcW w:type="dxa" w:w="7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INDEX(brand_account_id); INDEX(status)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survey_response</w:t>
            </w:r>
          </w:p>
        </w:tc>
        <w:tc>
          <w:tcPr>
            <w:tcW w:type="dxa" w:w="73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INDEX(redemption_event_id)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notification</w:t>
            </w:r>
          </w:p>
        </w:tc>
        <w:tc>
          <w:tcPr>
            <w:tcW w:type="dxa" w:w="7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INDEX(recipient_id, sent_at)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audit_log</w:t>
            </w:r>
          </w:p>
        </w:tc>
        <w:tc>
          <w:tcPr>
            <w:tcW w:type="dxa" w:w="73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INDEX(actor_id, timestamp); INDEX(target_entity, timestamp)</w:t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Foreign keys on every relational reference, ON DELETE RESTRICT by default (prevents accidental cascade data loss); explicit ON DELETE CASCADE only where the PRD business rules call for it (e.g., BrandUser rows on BrandAccount hard-close).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CHECK constraint enforcing Campaign.status only transitions through the PRD-defined state machine (enforced at both application and database level — defense in depth).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NOT NULL on all fields marked required in the Master PRD data model.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Migrations</w:t>
      </w:r>
    </w:p>
    <w:p>
      <w:pPr>
        <w:spacing w:after="120" w:line="268"/>
      </w:pPr>
      <w:r>
        <w:rPr>
          <w:sz w:val="20"/>
          <w:szCs w:val="20"/>
        </w:rPr>
        <w:t xml:space="preserve">TypeORM migrations (NestJS-native), one migration per schema change, reviewed in the same pull request as the code that depends on it. Migrations are additive-first and backward-compatible (add-then-backfill-then-remove pattern) to support zero-downtime deploys.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Partitioning</w:t>
      </w:r>
    </w:p>
    <w:p>
      <w:pPr>
        <w:spacing w:after="120" w:line="268"/>
      </w:pPr>
      <w:r>
        <w:rPr>
          <w:sz w:val="20"/>
          <w:szCs w:val="20"/>
        </w:rPr>
        <w:t xml:space="preserve">SurveyResponse and AuditLog are designed with created_at as a partition key from Day 1 (schema-ready), with actual monthly range partitioning activated once table size crosses an operational threshold (not required at MVP launch volume) — avoids premature optimization while avoiding a painful later migration.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Backups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RDS automated daily snapshots, minimum 7-day point-in-time recovery.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Cross-region backup replication weekly, for disaster-recovery per Phase 9.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Quarterly restore drills — a backup that has never been restored is not a verified backup.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9"/>
          <w:szCs w:val="29"/>
        </w:rPr>
        <w:t xml:space="preserve">Phase 5 — Infrastructure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3200"/>
        <w:gridCol w:w="4150"/>
      </w:tblGrid>
      <w:tr>
        <w:trPr>
          <w:tblHeader/>
        </w:trPr>
        <w:tc>
          <w:tcPr>
            <w:tcW w:type="dxa" w:w="20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Concern</w:t>
            </w:r>
          </w:p>
        </w:tc>
        <w:tc>
          <w:tcPr>
            <w:tcW w:type="dxa" w:w="32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415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Cloud provider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AWS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Per FDD Cloud Strategy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Region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Nearest data-residency-compliant region (UAE/Bahrain)</w:t>
            </w:r>
          </w:p>
        </w:tc>
        <w:tc>
          <w:tcPr>
            <w:tcW w:type="dxa" w:w="4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AWS has no native Egypt region; final region pending legal confirmation of PDPL data-residency treatment — see FDD Open Decisions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Compute/hosting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ECS Fargate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Lower operational overhead than EKS/Kubernetes for a 2–3 engineer Year-1 team; revisit only if service count/team size grows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Storage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S3 + RDS Postgres + ElastiCache Redis</w:t>
            </w:r>
          </w:p>
        </w:tc>
        <w:tc>
          <w:tcPr>
            <w:tcW w:type="dxa" w:w="4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Per data model and caching design above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CDN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CloudFront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Fronts S3 and Next.js static assets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DNS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Route 53</w:t>
            </w:r>
          </w:p>
        </w:tc>
        <w:tc>
          <w:tcPr>
            <w:tcW w:type="dxa" w:w="4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AWS-native, integrates with ALB/CloudFront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Transactional email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Amazon SES (or SendGrid as fallback vendor)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Support tickets, brand invites, deletion confirmations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Monitoring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CloudWatch + Grafana/Prometheus</w:t>
            </w:r>
          </w:p>
        </w:tc>
        <w:tc>
          <w:tcPr>
            <w:tcW w:type="dxa" w:w="4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Infra metrics, alerting thresholds tied to NFRs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Error tracking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Sentry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Per FDD Technology Decisions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Logging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Structured JSON logs → CloudWatch Logs</w:t>
            </w:r>
          </w:p>
        </w:tc>
        <w:tc>
          <w:tcPr>
            <w:tcW w:type="dxa" w:w="4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OpenSearch added only when log volume/search needs justify it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Secrets management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AWS Secrets Manager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DB credentials, API keys, JWT signing keys — never committed to source control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CI/CD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GitHub Actions</w:t>
            </w:r>
          </w:p>
        </w:tc>
        <w:tc>
          <w:tcPr>
            <w:tcW w:type="dxa" w:w="4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Lint/test/build on PR; auto-deploy to staging on merge; manual gate to production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Infrastructure as Code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Terraform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Every environment reproducible from code, reviewed like application code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9"/>
          <w:szCs w:val="29"/>
        </w:rPr>
        <w:t xml:space="preserve">Phase 6 — Security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715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OTP (consumer), email/password + future SSO (brand), mandatory 2FA (internal staff)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Authorization</w:t>
            </w:r>
          </w:p>
        </w:tc>
        <w:tc>
          <w:tcPr>
            <w:tcW w:type="dxa" w:w="7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RBAC via NestJS Guards + CASL, mapped to the Master PRD Permissions Matrix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Encryption in transit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TLS 1.2+ enforced on all endpoints, HSTS enabled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Encryption at rest</w:t>
            </w:r>
          </w:p>
        </w:tc>
        <w:tc>
          <w:tcPr>
            <w:tcW w:type="dxa" w:w="7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AES-256 for RDS and S3; envelope encryption via AWS KMS for the phone-number field specifically, as the single most sensitive PII attribute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Audit logging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Immutable AuditLog table (application-level) + AWS CloudTrail (infrastructure-level)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Rate limiting</w:t>
            </w:r>
          </w:p>
        </w:tc>
        <w:tc>
          <w:tcPr>
            <w:tcW w:type="dxa" w:w="7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NestJS throttler guard; OTP request endpoint capped at 3 requests / 10 minutes per number (per PRD edge case); general API limits per IP/token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Input validation via class-validator; parameterized queries via ORM (SQL-injection safe by default); CSRF protection on the web dashboard; Content-Security-Policy headers; dependency scanning (Dependabot/Snyk) in CI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Data protection compliance</w:t>
            </w:r>
          </w:p>
        </w:tc>
        <w:tc>
          <w:tcPr>
            <w:tcW w:type="dxa" w:w="7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Primary and binding: Egypt PDPL (Law 151/2020). Technical controls built to a GDPR-equivalent standard as a safe superset (see cover-page note) — legal sign-off is against PDPL specifically, per FDD Legal Strategy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Penetration testing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Quarterly, starting from MVP launch, per FDD Security Strategy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Data minimization</w:t>
            </w:r>
          </w:p>
        </w:tc>
        <w:tc>
          <w:tcPr>
            <w:tcW w:type="dxa" w:w="7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Enforced at the schema level — no field exists in the data model that isn't tied to a named PRD feature requirement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9"/>
          <w:szCs w:val="29"/>
        </w:rPr>
        <w:t xml:space="preserve">Phase 7 — AI Architecture (V2 Target-State)</w:t>
      </w:r>
    </w:p>
    <w:tbl>
      <w:tblPr>
        <w:tblW w:type="pct" w:w="100%"/>
        <w:tblBorders>
          <w:top w:val="single" w:color="D68910" w:sz="6"/>
          <w:left w:val="single" w:color="D68910" w:sz="6"/>
          <w:bottom w:val="single" w:color="D68910" w:sz="6"/>
          <w:right w:val="single" w:color="D6891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/>
            </w:pPr>
            <w:r>
              <w:rPr>
                <w:b/>
                <w:bCs/>
                <w:color w:val="D68910"/>
                <w:sz w:val="21"/>
                <w:szCs w:val="21"/>
              </w:rPr>
              <w:t xml:space="preserve">Scope note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• Per the FDD and Master PRD, AI features are explicitly out of MVP scope. This section specifies the target architecture so V2 engineering can begin without re-planning — it does not imply AI is active at MVP launch.</w:t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LLM Strategy</w:t>
      </w:r>
    </w:p>
    <w:p>
      <w:pPr>
        <w:spacing w:after="120" w:line="268"/>
      </w:pPr>
      <w:r>
        <w:rPr>
          <w:sz w:val="20"/>
          <w:szCs w:val="20"/>
        </w:rPr>
        <w:t xml:space="preserve">Multi-provider by design — OpenAI and Anthropic, per FDD AI Providers decision, to avoid single-vendor lock-in. Provider selection is routed through an internal AI Gateway service (Python/FastAPI), not hardcoded into application code.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Prompt Layer</w:t>
      </w:r>
    </w:p>
    <w:p>
      <w:pPr>
        <w:spacing w:after="120" w:line="268"/>
      </w:pPr>
      <w:r>
        <w:rPr>
          <w:sz w:val="20"/>
          <w:szCs w:val="20"/>
        </w:rPr>
        <w:t xml:space="preserve">Versioned prompt templates stored in a dedicated prompt-management module (not inline in application code), with structured JSON-mode output schemas so the frontend consumes typed data, not free text requiring parsing.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RAG / Embeddings / Vector Database</w:t>
      </w:r>
    </w:p>
    <w:p>
      <w:pPr>
        <w:spacing w:after="120" w:line="268"/>
      </w:pPr>
      <w:r>
        <w:rPr>
          <w:sz w:val="20"/>
          <w:szCs w:val="20"/>
        </w:rPr>
        <w:t xml:space="preserve">Not required for the V2 insight-narrative use case — the underlying knowledge is the campaign's own structured survey data (already in Postgres/warehouse), not an external document corpus. RAG, embeddings, and a vector database are explicitly deferred to a Future-vision "ask your data" conversational feature only if that becomes a validated product need — avoids speculative infrastructure spend.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Knowledge Management</w:t>
      </w:r>
    </w:p>
    <w:p>
      <w:pPr>
        <w:spacing w:after="120" w:line="268"/>
      </w:pPr>
      <w:r>
        <w:rPr>
          <w:sz w:val="20"/>
          <w:szCs w:val="20"/>
        </w:rPr>
        <w:t xml:space="preserve">The analytics warehouse (BigQuery/Snowflake) is the source of truth for AI-consumable data; no separate knowledge base is built at this stage.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AI Routing</w:t>
      </w:r>
    </w:p>
    <w:p>
      <w:pPr>
        <w:spacing w:after="120" w:line="268"/>
      </w:pPr>
      <w:r>
        <w:rPr>
          <w:sz w:val="20"/>
          <w:szCs w:val="20"/>
        </w:rPr>
        <w:t xml:space="preserve">The AI Gateway selects a provider per request based on task type, cost, and latency requirements, with automatic fallback to a secondary provider if the primary fails or rate-limits.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AI Cost Optimization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Cache repeated or highly similar insight-generation requests.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Use smaller/cheaper models for simple summarization; reserve larger models for complex segmentation narratives.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Batch-process non-real-time report generation rather than synchronous per-request calls.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Token-usage monitoring dashboard tied directly to the Finance KPIs defined in the FDD Budget Philosophy.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9"/>
          <w:szCs w:val="29"/>
        </w:rPr>
        <w:t xml:space="preserve">Phase 8 — Integration Architecture</w:t>
      </w:r>
    </w:p>
    <w:p>
      <w:pPr>
        <w:spacing w:after="120" w:line="268"/>
      </w:pPr>
      <w:r>
        <w:rPr>
          <w:sz w:val="20"/>
          <w:szCs w:val="20"/>
        </w:rPr>
        <w:t xml:space="preserve">Every external integration sits behind an internal Integration Gateway layer with circuit breakers and retry logic, so a third-party outage degrades gracefully rather than cascading into the core platform.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900"/>
        <w:gridCol w:w="3800"/>
        <w:gridCol w:w="3650"/>
      </w:tblGrid>
      <w:tr>
        <w:trPr>
          <w:tblHeader/>
        </w:trPr>
        <w:tc>
          <w:tcPr>
            <w:tcW w:type="dxa" w:w="19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38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Provider(s)</w:t>
            </w:r>
          </w:p>
        </w:tc>
        <w:tc>
          <w:tcPr>
            <w:tcW w:type="dxa" w:w="365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Abstraction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Payments/rewards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Vodafone Cash, InstaPay</w:t>
            </w:r>
          </w:p>
        </w:tc>
        <w:tc>
          <w:tcPr>
            <w:tcW w:type="dxa" w:w="3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Internal PaymentProvider interface — providers swappable without touching business logic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Email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Amazon SES (primary), SendGrid (fallback)</w:t>
            </w:r>
          </w:p>
        </w:tc>
        <w:tc>
          <w:tcPr>
            <w:tcW w:type="dxa" w:w="3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Internal EmailProvider interface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SMS/OTP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Regional Egyptian SMS gateway or Twilio Verify (evaluate for carrier deliverability in Egypt specifically)</w:t>
            </w:r>
          </w:p>
        </w:tc>
        <w:tc>
          <w:tcPr>
            <w:tcW w:type="dxa" w:w="3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Internal OtpProvider interface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WhatsApp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WhatsApp Business API via a Business Solution Provider (e.g., 360dialog/Twilio)</w:t>
            </w:r>
          </w:p>
        </w:tc>
        <w:tc>
          <w:tcPr>
            <w:tcW w:type="dxa" w:w="3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Internal NotificationChannel interface, shared with push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CRM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HubSpot / Salesforce</w:t>
            </w:r>
          </w:p>
        </w:tc>
        <w:tc>
          <w:tcPr>
            <w:tcW w:type="dxa" w:w="3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V2 — read/write sync for Enterprise-tier brand accounts only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ERP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Not in MVP/V1 scope</w:t>
            </w:r>
          </w:p>
        </w:tc>
        <w:tc>
          <w:tcPr>
            <w:tcW w:type="dxa" w:w="3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Finance operates manually per FDD; revisit only if invoicing volume justifies it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Product analytics (internal)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Amplitude or Mixpanel</w:t>
            </w:r>
          </w:p>
        </w:tc>
        <w:tc>
          <w:tcPr>
            <w:tcW w:type="dxa" w:w="3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Feeds the Product KPIs defined in the FDD/PRD — distinct from brand-facing campaign analytics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9"/>
          <w:szCs w:val="29"/>
        </w:rPr>
        <w:t xml:space="preserve">Phase 9 — Scalability, Availability &amp; Disaster Recovery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695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API performance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p95 &lt; 500ms (read), &lt; 1.5s (write) — per Master PRD NFRs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Uptime</w:t>
            </w:r>
          </w:p>
        </w:tc>
        <w:tc>
          <w:tcPr>
            <w:tcW w:type="dxa" w:w="69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99.5% at MVP (single-region); 99.9% target from V1 as brand-contract value scales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Horizontal scaling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ECS Fargate autoscaling on CPU/memory/request-count; all services stateless — mandatory per FDD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Caching strategy</w:t>
            </w:r>
          </w:p>
        </w:tc>
        <w:tc>
          <w:tcPr>
            <w:tcW w:type="dxa" w:w="69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Redis for hot-path reads; CloudFront for static assets; HTTP cache headers on semi-static API responses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Recovery Time Objective (RTO)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4 hours at MVP (single-region + cross-region backups)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Recovery Point Objective (RPO)</w:t>
            </w:r>
          </w:p>
        </w:tc>
        <w:tc>
          <w:tcPr>
            <w:tcW w:type="dxa" w:w="69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1 hour at MVP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High availability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Multi-AZ RDS; ECS services across ≥2 Availability Zones; ALB health checks with automatic unhealthy-instance replacement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Multi-region strategy</w:t>
            </w:r>
          </w:p>
        </w:tc>
        <w:tc>
          <w:tcPr>
            <w:tcW w:type="dxa" w:w="69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Deferred — revisit active-passive multi-region only once brand-contract scale justifies the added infrastructure cost, consistent with FDD capital-efficiency principle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9"/>
          <w:szCs w:val="29"/>
        </w:rPr>
        <w:t xml:space="preserve">Phase 10 — Engineering Standards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Coding Standards</w:t>
      </w:r>
    </w:p>
    <w:p>
      <w:pPr>
        <w:spacing w:after="120" w:line="268"/>
      </w:pPr>
      <w:r>
        <w:rPr>
          <w:sz w:val="20"/>
          <w:szCs w:val="20"/>
        </w:rPr>
        <w:t xml:space="preserve">TypeScript strict mode across Node/NestJS/React; ESLint + Prettier enforced in CI (build fails on violation). Dart/Flutter lint rules for mobile. Python: Black + Ruff for the AI/data service.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Repository Structure</w:t>
      </w:r>
    </w:p>
    <w:p>
      <w:pPr>
        <w:spacing w:after="120" w:line="268"/>
      </w:pPr>
      <w:r>
        <w:rPr>
          <w:sz w:val="20"/>
          <w:szCs w:val="20"/>
        </w:rPr>
        <w:t xml:space="preserve">Monorepo (Nx or Turborepo) containing: consumer-app (Flutter, separate mobile toolchain but versioned alongside), brand-dashboard, admin-portal, backend-api, ai-service, and shared packages (design tokens, TypeScript types, generated API client from the OpenAPI spec). Rationale: a small team needs cross-cutting changes — e.g. a shared type or design-token update — to land atomically across projects, not as a chain of cross-repo PRs.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Testing Strategy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00"/>
        <w:gridCol w:w="3600"/>
        <w:gridCol w:w="4050"/>
      </w:tblGrid>
      <w:tr>
        <w:trPr>
          <w:tblHeader/>
        </w:trPr>
        <w:tc>
          <w:tcPr>
            <w:tcW w:type="dxa" w:w="17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6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  <w:tc>
          <w:tcPr>
            <w:tcW w:type="dxa" w:w="405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Unit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Jest (Node/React), Flutter test framework, Pytest (AI service)</w:t>
            </w:r>
          </w:p>
        </w:tc>
        <w:tc>
          <w:tcPr>
            <w:tcW w:type="dxa" w:w="4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≥70% coverage on business-logic modules at MVP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Integration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API tests against a test database (Testcontainers)</w:t>
            </w:r>
          </w:p>
        </w:tc>
        <w:tc>
          <w:tcPr>
            <w:tcW w:type="dxa" w:w="40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All endpoints defined in the Master PRD API list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End-to-end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Playwright (web), Flutter integration_test (mobile)</w:t>
            </w:r>
          </w:p>
        </w:tc>
        <w:tc>
          <w:tcPr>
            <w:tcW w:type="dxa" w:w="4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Critical paths only: OTP login, QR redemption, survey completion, campaign creation, campaign approval</w:t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Release Strategy</w:t>
      </w:r>
    </w:p>
    <w:p>
      <w:pPr>
        <w:spacing w:after="120" w:line="268"/>
      </w:pPr>
      <w:r>
        <w:rPr>
          <w:sz w:val="20"/>
          <w:szCs w:val="20"/>
        </w:rPr>
        <w:t xml:space="preserve">Trunk-based development with short-lived feature branches; feature flags for gradual rollout of risk-bearing changes; mandatory staging sign-off before production promotion; rollback via ECS task-definition revert, not forward-fix-only.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Versioning</w:t>
      </w:r>
    </w:p>
    <w:p>
      <w:pPr>
        <w:spacing w:after="120" w:line="268"/>
      </w:pPr>
      <w:r>
        <w:rPr>
          <w:sz w:val="20"/>
          <w:szCs w:val="20"/>
        </w:rPr>
        <w:t xml:space="preserve">API: Semantic Versioning at the route level (/api/v1, /v2 introduced only for breaking changes, with a published deprecation window). Mobile app: versioned to app-store release cadence, with a minimum-supported-version enforcement check at API level.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Documentation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OpenAPI/Swagger spec auto-published from code — always current, never hand-maintained separately.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Architecture Decision Records (ADRs) for every significant technical choice, starting with this document as ADR-000.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README-driven onboarding in every repository — a new engineer should be able to run the full stack locally from the README alone.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9"/>
          <w:szCs w:val="29"/>
        </w:rPr>
        <w:t xml:space="preserve">Governance</w:t>
      </w:r>
    </w:p>
    <w:tbl>
      <w:tblPr>
        <w:tblW w:type="pct" w:w="100%"/>
        <w:tblBorders>
          <w:top w:val="single" w:color="D68910" w:sz="6"/>
          <w:left w:val="single" w:color="D68910" w:sz="6"/>
          <w:bottom w:val="single" w:color="D68910" w:sz="6"/>
          <w:right w:val="single" w:color="D6891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/>
            </w:pPr>
            <w:r>
              <w:rPr>
                <w:b/>
                <w:bCs/>
                <w:color w:val="D68910"/>
                <w:sz w:val="21"/>
                <w:szCs w:val="21"/>
              </w:rPr>
              <w:t xml:space="preserve">Traceability rule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• Every architectural decision in this document implements a requirement from the Master PRD, which in turn implements a decision from the Founder Decisions Document. If engineering discovers a conflict between this document and either upstream document during implementation, the conflict is resolved by amending the source document — never by silently reinterpreting it at the code level.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Tajribti — Technical Architecture Document v1.0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2026-07-26T17:34:44.974Z</dcterms:created>
  <dcterms:modified xsi:type="dcterms:W3CDTF">2026-07-26T17:34:44.975Z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