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50"/>
      </w:pPr>
    </w:p>
    <w:p>
      <w:pPr>
        <w:spacing w:after="80"/>
        <w:jc w:val="center"/>
      </w:pPr>
      <w:r>
        <w:rPr>
          <w:b/>
          <w:bCs/>
          <w:color w:val="1F2A44"/>
          <w:sz w:val="36"/>
          <w:szCs w:val="36"/>
        </w:rPr>
        <w:t xml:space="preserve">MASTER DELIVERY PLAN</w:t>
      </w:r>
    </w:p>
    <w:p>
      <w:pPr>
        <w:spacing w:after="60"/>
        <w:jc w:val="center"/>
      </w:pPr>
      <w:r>
        <w:rPr>
          <w:b/>
          <w:bCs/>
          <w:color w:val="D68910"/>
          <w:sz w:val="22"/>
          <w:szCs w:val="22"/>
        </w:rPr>
        <w:t xml:space="preserve">PMO Execution Package v1.0 — MVP Delivery</w:t>
      </w:r>
    </w:p>
    <w:p>
      <w:pPr>
        <w:spacing w:after="300"/>
        <w:jc w:val="center"/>
      </w:pPr>
      <w:r>
        <w:rPr>
          <w:color w:val="6B7280"/>
          <w:sz w:val="22"/>
          <w:szCs w:val="22"/>
        </w:rPr>
        <w:t xml:space="preserve">Tajribti (تجربتي) — Egypt's Consumer Intelligence Platform</w:t>
      </w:r>
    </w:p>
    <w:p>
      <w:pPr>
        <w:spacing w:before="45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700"/>
        <w:gridCol w:w="6650"/>
      </w:tblGrid>
      <w:tr>
        <w:trPr>
          <w:tblHeader/>
        </w:trPr>
        <w:tc>
          <w:tcPr>
            <w:tcW w:type="dxa" w:w="27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66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2700"/>
            <w:shd w:fill="FFFFFF" w:val="clear"/>
            <w:tcMar>
              <w:top w:type="dxa" w:w="55"/>
              <w:left w:type="dxa" w:w="80"/>
              <w:bottom w:type="dxa" w:w="55"/>
              <w:right w:type="dxa" w:w="80"/>
            </w:tcMar>
            <w:vAlign w:val="center"/>
          </w:tcPr>
          <w:p>
            <w:r>
              <w:rPr>
                <w:sz w:val="15"/>
                <w:szCs w:val="15"/>
              </w:rPr>
              <w:t xml:space="preserve">Document Type</w:t>
            </w:r>
          </w:p>
        </w:tc>
        <w:tc>
          <w:tcPr>
            <w:tcW w:type="dxa" w:w="6650"/>
            <w:shd w:fill="FFFFFF" w:val="clear"/>
            <w:tcMar>
              <w:top w:type="dxa" w:w="55"/>
              <w:left w:type="dxa" w:w="80"/>
              <w:bottom w:type="dxa" w:w="55"/>
              <w:right w:type="dxa" w:w="80"/>
            </w:tcMar>
            <w:vAlign w:val="center"/>
          </w:tcPr>
          <w:p>
            <w:r>
              <w:rPr>
                <w:sz w:val="15"/>
                <w:szCs w:val="15"/>
              </w:rPr>
              <w:t xml:space="preserve">Master Delivery Plan — 20 PMO deliverables consolidated into one governed package</w:t>
            </w:r>
          </w:p>
        </w:tc>
      </w:tr>
      <w:tr>
        <w:tc>
          <w:tcPr>
            <w:tcW w:type="dxa" w:w="2700"/>
            <w:shd w:fill="F2F2F2" w:val="clear"/>
            <w:tcMar>
              <w:top w:type="dxa" w:w="55"/>
              <w:left w:type="dxa" w:w="80"/>
              <w:bottom w:type="dxa" w:w="55"/>
              <w:right w:type="dxa" w:w="80"/>
            </w:tcMar>
            <w:vAlign w:val="center"/>
          </w:tcPr>
          <w:p>
            <w:r>
              <w:rPr>
                <w:sz w:val="15"/>
                <w:szCs w:val="15"/>
              </w:rPr>
              <w:t xml:space="preserve">Governed by</w:t>
            </w:r>
          </w:p>
        </w:tc>
        <w:tc>
          <w:tcPr>
            <w:tcW w:type="dxa" w:w="6650"/>
            <w:shd w:fill="F2F2F2" w:val="clear"/>
            <w:tcMar>
              <w:top w:type="dxa" w:w="55"/>
              <w:left w:type="dxa" w:w="80"/>
              <w:bottom w:type="dxa" w:w="55"/>
              <w:right w:type="dxa" w:w="80"/>
            </w:tcMar>
            <w:vAlign w:val="center"/>
          </w:tcPr>
          <w:p>
            <w:r>
              <w:rPr>
                <w:sz w:val="15"/>
                <w:szCs w:val="15"/>
              </w:rPr>
              <w:t xml:space="preserve">IC Memo v1.0, Founder Decisions Document v1.0, Master PRD v1.0, Technical Architecture v1.0</w:t>
            </w:r>
          </w:p>
        </w:tc>
      </w:tr>
      <w:tr>
        <w:tc>
          <w:tcPr>
            <w:tcW w:type="dxa" w:w="2700"/>
            <w:shd w:fill="FFFFFF" w:val="clear"/>
            <w:tcMar>
              <w:top w:type="dxa" w:w="55"/>
              <w:left w:type="dxa" w:w="80"/>
              <w:bottom w:type="dxa" w:w="55"/>
              <w:right w:type="dxa" w:w="80"/>
            </w:tcMar>
            <w:vAlign w:val="center"/>
          </w:tcPr>
          <w:p>
            <w:r>
              <w:rPr>
                <w:sz w:val="15"/>
                <w:szCs w:val="15"/>
              </w:rPr>
              <w:t xml:space="preserve">Scope</w:t>
            </w:r>
          </w:p>
        </w:tc>
        <w:tc>
          <w:tcPr>
            <w:tcW w:type="dxa" w:w="6650"/>
            <w:shd w:fill="FFFFFF" w:val="clear"/>
            <w:tcMar>
              <w:top w:type="dxa" w:w="55"/>
              <w:left w:type="dxa" w:w="80"/>
              <w:bottom w:type="dxa" w:w="55"/>
              <w:right w:type="dxa" w:w="80"/>
            </w:tcMar>
            <w:vAlign w:val="center"/>
          </w:tcPr>
          <w:p>
            <w:r>
              <w:rPr>
                <w:sz w:val="15"/>
                <w:szCs w:val="15"/>
              </w:rPr>
              <w:t xml:space="preserve">Sprint 0 through Production (MVP + V1), fully planned; V2/Future release-level only</w:t>
            </w:r>
          </w:p>
        </w:tc>
      </w:tr>
      <w:tr>
        <w:tc>
          <w:tcPr>
            <w:tcW w:type="dxa" w:w="2700"/>
            <w:shd w:fill="F2F2F2" w:val="clear"/>
            <w:tcMar>
              <w:top w:type="dxa" w:w="55"/>
              <w:left w:type="dxa" w:w="80"/>
              <w:bottom w:type="dxa" w:w="55"/>
              <w:right w:type="dxa" w:w="80"/>
            </w:tcMar>
            <w:vAlign w:val="center"/>
          </w:tcPr>
          <w:p>
            <w:r>
              <w:rPr>
                <w:sz w:val="15"/>
                <w:szCs w:val="15"/>
              </w:rPr>
              <w:t xml:space="preserve">Company</w:t>
            </w:r>
          </w:p>
        </w:tc>
        <w:tc>
          <w:tcPr>
            <w:tcW w:type="dxa" w:w="6650"/>
            <w:shd w:fill="F2F2F2" w:val="clear"/>
            <w:tcMar>
              <w:top w:type="dxa" w:w="55"/>
              <w:left w:type="dxa" w:w="80"/>
              <w:bottom w:type="dxa" w:w="55"/>
              <w:right w:type="dxa" w:w="80"/>
            </w:tcMar>
            <w:vAlign w:val="center"/>
          </w:tcPr>
          <w:p>
            <w:r>
              <w:rPr>
                <w:sz w:val="15"/>
                <w:szCs w:val="15"/>
              </w:rPr>
              <w:t xml:space="preserve">Tajribti (working name)</w:t>
            </w:r>
          </w:p>
        </w:tc>
      </w:tr>
      <w:tr>
        <w:tc>
          <w:tcPr>
            <w:tcW w:type="dxa" w:w="2700"/>
            <w:shd w:fill="FFFFFF" w:val="clear"/>
            <w:tcMar>
              <w:top w:type="dxa" w:w="55"/>
              <w:left w:type="dxa" w:w="80"/>
              <w:bottom w:type="dxa" w:w="55"/>
              <w:right w:type="dxa" w:w="80"/>
            </w:tcMar>
            <w:vAlign w:val="center"/>
          </w:tcPr>
          <w:p>
            <w:r>
              <w:rPr>
                <w:sz w:val="15"/>
                <w:szCs w:val="15"/>
              </w:rPr>
              <w:t xml:space="preserve">Date</w:t>
            </w:r>
          </w:p>
        </w:tc>
        <w:tc>
          <w:tcPr>
            <w:tcW w:type="dxa" w:w="6650"/>
            <w:shd w:fill="FFFFFF" w:val="clear"/>
            <w:tcMar>
              <w:top w:type="dxa" w:w="55"/>
              <w:left w:type="dxa" w:w="80"/>
              <w:bottom w:type="dxa" w:w="55"/>
              <w:right w:type="dxa" w:w="80"/>
            </w:tcMar>
            <w:vAlign w:val="center"/>
          </w:tcPr>
          <w:p>
            <w:r>
              <w:rPr>
                <w:sz w:val="15"/>
                <w:szCs w:val="15"/>
              </w:rPr>
              <w:t xml:space="preserve">26 July 2026</w:t>
            </w:r>
          </w:p>
        </w:tc>
      </w:tr>
      <w:tr>
        <w:tc>
          <w:tcPr>
            <w:tcW w:type="dxa" w:w="2700"/>
            <w:shd w:fill="F2F2F2" w:val="clear"/>
            <w:tcMar>
              <w:top w:type="dxa" w:w="55"/>
              <w:left w:type="dxa" w:w="80"/>
              <w:bottom w:type="dxa" w:w="55"/>
              <w:right w:type="dxa" w:w="80"/>
            </w:tcMar>
            <w:vAlign w:val="center"/>
          </w:tcPr>
          <w:p>
            <w:r>
              <w:rPr>
                <w:sz w:val="15"/>
                <w:szCs w:val="15"/>
              </w:rPr>
              <w:t xml:space="preserve">Version</w:t>
            </w:r>
          </w:p>
        </w:tc>
        <w:tc>
          <w:tcPr>
            <w:tcW w:type="dxa" w:w="6650"/>
            <w:shd w:fill="F2F2F2" w:val="clear"/>
            <w:tcMar>
              <w:top w:type="dxa" w:w="55"/>
              <w:left w:type="dxa" w:w="80"/>
              <w:bottom w:type="dxa" w:w="55"/>
              <w:right w:type="dxa" w:w="80"/>
            </w:tcMar>
            <w:vAlign w:val="center"/>
          </w:tcPr>
          <w:p>
            <w:r>
              <w:rPr>
                <w:sz w:val="15"/>
                <w:szCs w:val="15"/>
              </w:rPr>
              <w:t xml:space="preserve">1.0</w:t>
            </w:r>
          </w:p>
        </w:tc>
      </w:tr>
    </w:tbl>
    <w:p>
      <w:pPr>
        <w:spacing w:before="350"/>
      </w:pP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40"/>
              <w:left w:type="dxa" w:w="180"/>
              <w:bottom w:type="dxa" w:w="140"/>
              <w:right w:type="dxa" w:w="180"/>
            </w:tcMar>
          </w:tcPr>
          <w:p>
            <w:pPr>
              <w:spacing w:after="80"/>
            </w:pPr>
            <w:r>
              <w:rPr>
                <w:b/>
                <w:bCs/>
                <w:color w:val="D68910"/>
                <w:sz w:val="19"/>
                <w:szCs w:val="19"/>
              </w:rPr>
              <w:t xml:space="preserve">Scope calibration — read first</w:t>
            </w:r>
          </w:p>
          <w:p>
            <w:pPr>
              <w:spacing w:after="45"/>
            </w:pPr>
            <w:r>
              <w:rPr>
                <w:sz w:val="18"/>
                <w:szCs w:val="18"/>
              </w:rPr>
              <w:t xml:space="preserve">• Full 20-field backlog specification and worked WBS decomposition are provided in complete depth for the 12 features on the MVP critical path (the same set fully specified in the Master PRD).</w:t>
            </w:r>
          </w:p>
          <w:p>
            <w:pPr>
              <w:spacing w:after="45"/>
            </w:pPr>
            <w:r>
              <w:rPr>
                <w:sz w:val="18"/>
                <w:szCs w:val="18"/>
              </w:rPr>
              <w:t xml:space="preserve">• Remaining MVP/V1 features are backlog-ready (ID, Epic, priority, points, sprint, dependencies) but receive full Definition-of-Ready grooming in the sprint immediately before they are built — standard PMO practice, not a gap.</w:t>
            </w:r>
          </w:p>
          <w:p>
            <w:pPr>
              <w:spacing w:after="45"/>
            </w:pPr>
            <w:r>
              <w:rPr>
                <w:sz w:val="18"/>
                <w:szCs w:val="18"/>
              </w:rPr>
              <w:t xml:space="preserve">• See Section 18 (Critical Risks Before Development) for the one dependency every plan in this document rests on.</w:t>
            </w:r>
          </w:p>
        </w:tc>
      </w:tr>
    </w:tbl>
    <w:p>
      <w:pPr>
        <w:sectPr>
          <w:pgSz w:w="11906" w:h="16838" w:orient="portrait"/>
          <w:pgMar w:top="1000" w:right="1000" w:bottom="1000" w:left="1000" w:header="708" w:footer="708" w:gutter="0"/>
          <w:pgNumType/>
          <w:docGrid w:linePitch="360"/>
        </w:sectPr>
      </w:pPr>
    </w:p>
    <w:p>
      <w:pPr>
        <w:pStyle w:val="Heading1"/>
        <w:pBdr>
          <w:bottom w:val="single" w:color="1F2A44" w:sz="8" w:space="4"/>
        </w:pBdr>
        <w:spacing w:after="190" w:before="380"/>
      </w:pPr>
      <w:r>
        <w:rPr>
          <w:b/>
          <w:bCs/>
          <w:color w:val="1F2A4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00" w:right="1000" w:bottom="1000" w:left="1000" w:header="708" w:footer="708" w:gutter="0"/>
          <w:pgNumType/>
          <w:docGrid w:linePitch="360"/>
        </w:sectPr>
      </w:pPr>
    </w:p>
    <w:p>
      <w:pPr>
        <w:pStyle w:val="Heading1"/>
        <w:pBdr>
          <w:bottom w:val="single" w:color="1F2A44" w:sz="8" w:space="4"/>
        </w:pBdr>
        <w:spacing w:after="190" w:before="380"/>
      </w:pPr>
      <w:r>
        <w:rPr>
          <w:b/>
          <w:bCs/>
          <w:color w:val="1F2A44"/>
          <w:sz w:val="28"/>
          <w:szCs w:val="28"/>
        </w:rPr>
        <w:t xml:space="preserve">1. Master Work Breakdown Structure (WBS)</w:t>
      </w:r>
    </w:p>
    <w:p>
      <w:pPr>
        <w:pStyle w:val="Heading2"/>
        <w:spacing w:after="120" w:before="240"/>
      </w:pPr>
      <w:r>
        <w:rPr>
          <w:b/>
          <w:bCs/>
          <w:color w:val="1F2A44"/>
          <w:sz w:val="22"/>
          <w:szCs w:val="22"/>
        </w:rPr>
        <w:t xml:space="preserve">Decomposition Hierarchy</w:t>
      </w:r>
    </w:p>
    <w:p>
      <w:pPr>
        <w:spacing w:after="110" w:line="260"/>
      </w:pPr>
      <w:r>
        <w:rPr>
          <w:sz w:val="19"/>
          <w:szCs w:val="19"/>
        </w:rPr>
        <w:t xml:space="preserve">Programs → Projects → Epics → Features → User Stories → Tasks → Subtasks. No item below the Feature level exceeds one developer-sprint.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7650"/>
      </w:tblGrid>
      <w:tr>
        <w:trPr>
          <w:tblHeader/>
        </w:trPr>
        <w:tc>
          <w:tcPr>
            <w:tcW w:type="dxa" w:w="1700"/>
            <w:shd w:fill="1F2A44" w:val="clear"/>
            <w:tcMar>
              <w:top w:type="dxa" w:w="70"/>
              <w:left w:type="dxa" w:w="90"/>
              <w:bottom w:type="dxa" w:w="70"/>
              <w:right w:type="dxa" w:w="90"/>
            </w:tcMar>
            <w:vAlign w:val="center"/>
          </w:tcPr>
          <w:p>
            <w:r>
              <w:rPr>
                <w:b/>
                <w:bCs/>
                <w:color w:val="FFFFFF"/>
                <w:sz w:val="15"/>
                <w:szCs w:val="15"/>
              </w:rPr>
              <w:t xml:space="preserve">Level</w:t>
            </w:r>
          </w:p>
        </w:tc>
        <w:tc>
          <w:tcPr>
            <w:tcW w:type="dxa" w:w="7650"/>
            <w:shd w:fill="1F2A44" w:val="clear"/>
            <w:tcMar>
              <w:top w:type="dxa" w:w="70"/>
              <w:left w:type="dxa" w:w="90"/>
              <w:bottom w:type="dxa" w:w="70"/>
              <w:right w:type="dxa" w:w="90"/>
            </w:tcMar>
            <w:vAlign w:val="center"/>
          </w:tcPr>
          <w:p>
            <w:r>
              <w:rPr>
                <w:b/>
                <w:bCs/>
                <w:color w:val="FFFFFF"/>
                <w:sz w:val="15"/>
                <w:szCs w:val="15"/>
              </w:rPr>
              <w:t xml:space="preserve">This Project's Instance</w:t>
            </w:r>
          </w:p>
        </w:tc>
      </w:tr>
      <w:tr>
        <w:tc>
          <w:tcPr>
            <w:tcW w:type="dxa" w:w="1700"/>
            <w:shd w:fill="FFFFFF" w:val="clear"/>
            <w:tcMar>
              <w:top w:type="dxa" w:w="55"/>
              <w:left w:type="dxa" w:w="80"/>
              <w:bottom w:type="dxa" w:w="55"/>
              <w:right w:type="dxa" w:w="80"/>
            </w:tcMar>
            <w:vAlign w:val="center"/>
          </w:tcPr>
          <w:p>
            <w:r>
              <w:rPr>
                <w:sz w:val="15"/>
                <w:szCs w:val="15"/>
              </w:rPr>
              <w:t xml:space="preserve">Program</w:t>
            </w:r>
          </w:p>
        </w:tc>
        <w:tc>
          <w:tcPr>
            <w:tcW w:type="dxa" w:w="7650"/>
            <w:shd w:fill="FFFFFF" w:val="clear"/>
            <w:tcMar>
              <w:top w:type="dxa" w:w="55"/>
              <w:left w:type="dxa" w:w="80"/>
              <w:bottom w:type="dxa" w:w="55"/>
              <w:right w:type="dxa" w:w="80"/>
            </w:tcMar>
            <w:vAlign w:val="center"/>
          </w:tcPr>
          <w:p>
            <w:r>
              <w:rPr>
                <w:sz w:val="15"/>
                <w:szCs w:val="15"/>
              </w:rPr>
              <w:t xml:space="preserve">Tajribti Platform (Egypt Launch)</w:t>
            </w:r>
          </w:p>
        </w:tc>
      </w:tr>
      <w:tr>
        <w:tc>
          <w:tcPr>
            <w:tcW w:type="dxa" w:w="1700"/>
            <w:shd w:fill="F2F2F2" w:val="clear"/>
            <w:tcMar>
              <w:top w:type="dxa" w:w="55"/>
              <w:left w:type="dxa" w:w="80"/>
              <w:bottom w:type="dxa" w:w="55"/>
              <w:right w:type="dxa" w:w="80"/>
            </w:tcMar>
            <w:vAlign w:val="center"/>
          </w:tcPr>
          <w:p>
            <w:r>
              <w:rPr>
                <w:sz w:val="15"/>
                <w:szCs w:val="15"/>
              </w:rPr>
              <w:t xml:space="preserve">Projects</w:t>
            </w:r>
          </w:p>
        </w:tc>
        <w:tc>
          <w:tcPr>
            <w:tcW w:type="dxa" w:w="7650"/>
            <w:shd w:fill="F2F2F2" w:val="clear"/>
            <w:tcMar>
              <w:top w:type="dxa" w:w="55"/>
              <w:left w:type="dxa" w:w="80"/>
              <w:bottom w:type="dxa" w:w="55"/>
              <w:right w:type="dxa" w:w="80"/>
            </w:tcMar>
            <w:vAlign w:val="center"/>
          </w:tcPr>
          <w:p>
            <w:r>
              <w:rPr>
                <w:sz w:val="15"/>
                <w:szCs w:val="15"/>
              </w:rPr>
              <w:t xml:space="preserve">P1 Consumer App · P2 Brand Dashboard · P3 Admin Portal · P4 Platform/Backend · P5 Infrastructure &amp; DevOps · P6 AI Layer (V2)</w:t>
            </w:r>
          </w:p>
        </w:tc>
      </w:tr>
      <w:tr>
        <w:tc>
          <w:tcPr>
            <w:tcW w:type="dxa" w:w="1700"/>
            <w:shd w:fill="FFFFFF" w:val="clear"/>
            <w:tcMar>
              <w:top w:type="dxa" w:w="55"/>
              <w:left w:type="dxa" w:w="80"/>
              <w:bottom w:type="dxa" w:w="55"/>
              <w:right w:type="dxa" w:w="80"/>
            </w:tcMar>
            <w:vAlign w:val="center"/>
          </w:tcPr>
          <w:p>
            <w:r>
              <w:rPr>
                <w:sz w:val="15"/>
                <w:szCs w:val="15"/>
              </w:rPr>
              <w:t xml:space="preserve">Epics (12)</w:t>
            </w:r>
          </w:p>
        </w:tc>
        <w:tc>
          <w:tcPr>
            <w:tcW w:type="dxa" w:w="7650"/>
            <w:shd w:fill="FFFFFF" w:val="clear"/>
            <w:tcMar>
              <w:top w:type="dxa" w:w="55"/>
              <w:left w:type="dxa" w:w="80"/>
              <w:bottom w:type="dxa" w:w="55"/>
              <w:right w:type="dxa" w:w="80"/>
            </w:tcMar>
            <w:vAlign w:val="center"/>
          </w:tcPr>
          <w:p>
            <w:r>
              <w:rPr>
                <w:sz w:val="15"/>
                <w:szCs w:val="15"/>
              </w:rPr>
              <w:t xml:space="preserve">EPIC-01 Identity &amp; Auth · EPIC-02 Consumer Experience · EPIC-03 Campaign Management · EPIC-04 Fulfillment &amp; Redemption · EPIC-05 Survey &amp; Data Capture · EPIC-06 Analytics &amp; Reporting · EPIC-07 Notifications · EPIC-08 Support · EPIC-09 Consent &amp; Privacy · EPIC-10 Admin/Ops Console · EPIC-11 DevOps &amp; Infra Foundation · EPIC-12 Security Foundation</w:t>
            </w:r>
          </w:p>
        </w:tc>
      </w:tr>
      <w:tr>
        <w:tc>
          <w:tcPr>
            <w:tcW w:type="dxa" w:w="1700"/>
            <w:shd w:fill="F2F2F2" w:val="clear"/>
            <w:tcMar>
              <w:top w:type="dxa" w:w="55"/>
              <w:left w:type="dxa" w:w="80"/>
              <w:bottom w:type="dxa" w:w="55"/>
              <w:right w:type="dxa" w:w="80"/>
            </w:tcMar>
            <w:vAlign w:val="center"/>
          </w:tcPr>
          <w:p>
            <w:r>
              <w:rPr>
                <w:sz w:val="15"/>
                <w:szCs w:val="15"/>
              </w:rPr>
              <w:t xml:space="preserve">Features</w:t>
            </w:r>
          </w:p>
        </w:tc>
        <w:tc>
          <w:tcPr>
            <w:tcW w:type="dxa" w:w="7650"/>
            <w:shd w:fill="F2F2F2" w:val="clear"/>
            <w:tcMar>
              <w:top w:type="dxa" w:w="55"/>
              <w:left w:type="dxa" w:w="80"/>
              <w:bottom w:type="dxa" w:w="55"/>
              <w:right w:type="dxa" w:w="80"/>
            </w:tcMar>
            <w:vAlign w:val="center"/>
          </w:tcPr>
          <w:p>
            <w:r>
              <w:rPr>
                <w:sz w:val="15"/>
                <w:szCs w:val="15"/>
              </w:rPr>
              <w:t xml:space="preserve">22 features per Master PRD Phase 3 (e.g. QR Redemption, Campaign Creation Wizard, Basic Analytics Report)</w:t>
            </w:r>
          </w:p>
        </w:tc>
      </w:tr>
      <w:tr>
        <w:tc>
          <w:tcPr>
            <w:tcW w:type="dxa" w:w="1700"/>
            <w:shd w:fill="FFFFFF" w:val="clear"/>
            <w:tcMar>
              <w:top w:type="dxa" w:w="55"/>
              <w:left w:type="dxa" w:w="80"/>
              <w:bottom w:type="dxa" w:w="55"/>
              <w:right w:type="dxa" w:w="80"/>
            </w:tcMar>
            <w:vAlign w:val="center"/>
          </w:tcPr>
          <w:p>
            <w:r>
              <w:rPr>
                <w:sz w:val="15"/>
                <w:szCs w:val="15"/>
              </w:rPr>
              <w:t xml:space="preserve">User Stories</w:t>
            </w:r>
          </w:p>
        </w:tc>
        <w:tc>
          <w:tcPr>
            <w:tcW w:type="dxa" w:w="7650"/>
            <w:shd w:fill="FFFFFF" w:val="clear"/>
            <w:tcMar>
              <w:top w:type="dxa" w:w="55"/>
              <w:left w:type="dxa" w:w="80"/>
              <w:bottom w:type="dxa" w:w="55"/>
              <w:right w:type="dxa" w:w="80"/>
            </w:tcMar>
            <w:vAlign w:val="center"/>
          </w:tcPr>
          <w:p>
            <w:r>
              <w:rPr>
                <w:sz w:val="15"/>
                <w:szCs w:val="15"/>
              </w:rPr>
              <w:t xml:space="preserve">Per Master PRD Phase 5, plus additional stories generated below for engineering/QA/DevOps work not user-facing</w:t>
            </w:r>
          </w:p>
        </w:tc>
      </w:tr>
      <w:tr>
        <w:tc>
          <w:tcPr>
            <w:tcW w:type="dxa" w:w="1700"/>
            <w:shd w:fill="F2F2F2" w:val="clear"/>
            <w:tcMar>
              <w:top w:type="dxa" w:w="55"/>
              <w:left w:type="dxa" w:w="80"/>
              <w:bottom w:type="dxa" w:w="55"/>
              <w:right w:type="dxa" w:w="80"/>
            </w:tcMar>
            <w:vAlign w:val="center"/>
          </w:tcPr>
          <w:p>
            <w:r>
              <w:rPr>
                <w:sz w:val="15"/>
                <w:szCs w:val="15"/>
              </w:rPr>
              <w:t xml:space="preserve">Tasks</w:t>
            </w:r>
          </w:p>
        </w:tc>
        <w:tc>
          <w:tcPr>
            <w:tcW w:type="dxa" w:w="7650"/>
            <w:shd w:fill="F2F2F2" w:val="clear"/>
            <w:tcMar>
              <w:top w:type="dxa" w:w="55"/>
              <w:left w:type="dxa" w:w="80"/>
              <w:bottom w:type="dxa" w:w="55"/>
              <w:right w:type="dxa" w:w="80"/>
            </w:tcMar>
            <w:vAlign w:val="center"/>
          </w:tcPr>
          <w:p>
            <w:r>
              <w:rPr>
                <w:sz w:val="15"/>
                <w:szCs w:val="15"/>
              </w:rPr>
              <w:t xml:space="preserve">Sub-feature engineering units (e.g. "Implement QR uniqueness constraint"), sized 0.5–3 days</w:t>
            </w:r>
          </w:p>
        </w:tc>
      </w:tr>
      <w:tr>
        <w:tc>
          <w:tcPr>
            <w:tcW w:type="dxa" w:w="1700"/>
            <w:shd w:fill="FFFFFF" w:val="clear"/>
            <w:tcMar>
              <w:top w:type="dxa" w:w="55"/>
              <w:left w:type="dxa" w:w="80"/>
              <w:bottom w:type="dxa" w:w="55"/>
              <w:right w:type="dxa" w:w="80"/>
            </w:tcMar>
            <w:vAlign w:val="center"/>
          </w:tcPr>
          <w:p>
            <w:r>
              <w:rPr>
                <w:sz w:val="15"/>
                <w:szCs w:val="15"/>
              </w:rPr>
              <w:t xml:space="preserve">Subtasks</w:t>
            </w:r>
          </w:p>
        </w:tc>
        <w:tc>
          <w:tcPr>
            <w:tcW w:type="dxa" w:w="7650"/>
            <w:shd w:fill="FFFFFF" w:val="clear"/>
            <w:tcMar>
              <w:top w:type="dxa" w:w="55"/>
              <w:left w:type="dxa" w:w="80"/>
              <w:bottom w:type="dxa" w:w="55"/>
              <w:right w:type="dxa" w:w="80"/>
            </w:tcMar>
            <w:vAlign w:val="center"/>
          </w:tcPr>
          <w:p>
            <w:r>
              <w:rPr>
                <w:sz w:val="15"/>
                <w:szCs w:val="15"/>
              </w:rPr>
              <w:t xml:space="preserve">Atomic units within a task (e.g. "Write DB migration for qr_code unique index"), sized hours</w:t>
            </w:r>
          </w:p>
        </w:tc>
      </w:tr>
    </w:tbl>
    <w:p>
      <w:pPr>
        <w:pStyle w:val="Heading2"/>
        <w:spacing w:after="120" w:before="240"/>
      </w:pPr>
      <w:r>
        <w:rPr>
          <w:b/>
          <w:bCs/>
          <w:color w:val="1F2A44"/>
          <w:sz w:val="22"/>
          <w:szCs w:val="22"/>
        </w:rPr>
        <w:t xml:space="preserve">Worked Example — Full Decomposition of One Feature (Feature 5: QR Redemption)</w:t>
      </w:r>
    </w:p>
    <w:p>
      <w:pPr>
        <w:spacing w:after="110" w:line="260"/>
      </w:pPr>
      <w:r>
        <w:rPr>
          <w:sz w:val="19"/>
          <w:szCs w:val="19"/>
        </w:rPr>
        <w:t xml:space="preserve">Shown in full to demonstrate the decomposition standard applied consistently across all 22 features.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7650"/>
      </w:tblGrid>
      <w:tr>
        <w:trPr>
          <w:tblHeader/>
        </w:trPr>
        <w:tc>
          <w:tcPr>
            <w:tcW w:type="dxa" w:w="1700"/>
            <w:shd w:fill="1F2A44" w:val="clear"/>
            <w:tcMar>
              <w:top w:type="dxa" w:w="70"/>
              <w:left w:type="dxa" w:w="90"/>
              <w:bottom w:type="dxa" w:w="70"/>
              <w:right w:type="dxa" w:w="90"/>
            </w:tcMar>
            <w:vAlign w:val="center"/>
          </w:tcPr>
          <w:p>
            <w:r>
              <w:rPr>
                <w:b/>
                <w:bCs/>
                <w:color w:val="FFFFFF"/>
                <w:sz w:val="15"/>
                <w:szCs w:val="15"/>
              </w:rPr>
              <w:t xml:space="preserve">Level</w:t>
            </w:r>
          </w:p>
        </w:tc>
        <w:tc>
          <w:tcPr>
            <w:tcW w:type="dxa" w:w="7650"/>
            <w:shd w:fill="1F2A44" w:val="clear"/>
            <w:tcMar>
              <w:top w:type="dxa" w:w="70"/>
              <w:left w:type="dxa" w:w="90"/>
              <w:bottom w:type="dxa" w:w="70"/>
              <w:right w:type="dxa" w:w="90"/>
            </w:tcMar>
            <w:vAlign w:val="center"/>
          </w:tcPr>
          <w:p>
            <w:r>
              <w:rPr>
                <w:b/>
                <w:bCs/>
                <w:color w:val="FFFFFF"/>
                <w:sz w:val="15"/>
                <w:szCs w:val="15"/>
              </w:rPr>
              <w:t xml:space="preserve">Item</w:t>
            </w:r>
          </w:p>
        </w:tc>
      </w:tr>
      <w:tr>
        <w:tc>
          <w:tcPr>
            <w:tcW w:type="dxa" w:w="1700"/>
            <w:shd w:fill="FFFFFF" w:val="clear"/>
            <w:tcMar>
              <w:top w:type="dxa" w:w="55"/>
              <w:left w:type="dxa" w:w="80"/>
              <w:bottom w:type="dxa" w:w="55"/>
              <w:right w:type="dxa" w:w="80"/>
            </w:tcMar>
            <w:vAlign w:val="center"/>
          </w:tcPr>
          <w:p>
            <w:r>
              <w:rPr>
                <w:sz w:val="15"/>
                <w:szCs w:val="15"/>
              </w:rPr>
              <w:t xml:space="preserve">Epic</w:t>
            </w:r>
          </w:p>
        </w:tc>
        <w:tc>
          <w:tcPr>
            <w:tcW w:type="dxa" w:w="7650"/>
            <w:shd w:fill="FFFFFF" w:val="clear"/>
            <w:tcMar>
              <w:top w:type="dxa" w:w="55"/>
              <w:left w:type="dxa" w:w="80"/>
              <w:bottom w:type="dxa" w:w="55"/>
              <w:right w:type="dxa" w:w="80"/>
            </w:tcMar>
            <w:vAlign w:val="center"/>
          </w:tcPr>
          <w:p>
            <w:r>
              <w:rPr>
                <w:sz w:val="15"/>
                <w:szCs w:val="15"/>
              </w:rPr>
              <w:t xml:space="preserve">EPIC-04 Fulfillment &amp; Redemption</w:t>
            </w:r>
          </w:p>
        </w:tc>
      </w:tr>
      <w:tr>
        <w:tc>
          <w:tcPr>
            <w:tcW w:type="dxa" w:w="1700"/>
            <w:shd w:fill="F2F2F2" w:val="clear"/>
            <w:tcMar>
              <w:top w:type="dxa" w:w="55"/>
              <w:left w:type="dxa" w:w="80"/>
              <w:bottom w:type="dxa" w:w="55"/>
              <w:right w:type="dxa" w:w="80"/>
            </w:tcMar>
            <w:vAlign w:val="center"/>
          </w:tcPr>
          <w:p>
            <w:r>
              <w:rPr>
                <w:sz w:val="15"/>
                <w:szCs w:val="15"/>
              </w:rPr>
              <w:t xml:space="preserve">Feature</w:t>
            </w:r>
          </w:p>
        </w:tc>
        <w:tc>
          <w:tcPr>
            <w:tcW w:type="dxa" w:w="7650"/>
            <w:shd w:fill="F2F2F2" w:val="clear"/>
            <w:tcMar>
              <w:top w:type="dxa" w:w="55"/>
              <w:left w:type="dxa" w:w="80"/>
              <w:bottom w:type="dxa" w:w="55"/>
              <w:right w:type="dxa" w:w="80"/>
            </w:tcMar>
            <w:vAlign w:val="center"/>
          </w:tcPr>
          <w:p>
            <w:r>
              <w:rPr>
                <w:sz w:val="15"/>
                <w:szCs w:val="15"/>
              </w:rPr>
              <w:t xml:space="preserve">F-05 QR Redemption (P0)</w:t>
            </w:r>
          </w:p>
        </w:tc>
      </w:tr>
      <w:tr>
        <w:tc>
          <w:tcPr>
            <w:tcW w:type="dxa" w:w="1700"/>
            <w:shd w:fill="FFFFFF" w:val="clear"/>
            <w:tcMar>
              <w:top w:type="dxa" w:w="55"/>
              <w:left w:type="dxa" w:w="80"/>
              <w:bottom w:type="dxa" w:w="55"/>
              <w:right w:type="dxa" w:w="80"/>
            </w:tcMar>
            <w:vAlign w:val="center"/>
          </w:tcPr>
          <w:p>
            <w:r>
              <w:rPr>
                <w:sz w:val="15"/>
                <w:szCs w:val="15"/>
              </w:rPr>
              <w:t xml:space="preserve">User Story</w:t>
            </w:r>
          </w:p>
        </w:tc>
        <w:tc>
          <w:tcPr>
            <w:tcW w:type="dxa" w:w="7650"/>
            <w:shd w:fill="FFFFFF" w:val="clear"/>
            <w:tcMar>
              <w:top w:type="dxa" w:w="55"/>
              <w:left w:type="dxa" w:w="80"/>
              <w:bottom w:type="dxa" w:w="55"/>
              <w:right w:type="dxa" w:w="80"/>
            </w:tcMar>
            <w:vAlign w:val="center"/>
          </w:tcPr>
          <w:p>
            <w:r>
              <w:rPr>
                <w:sz w:val="15"/>
                <w:szCs w:val="15"/>
              </w:rPr>
              <w:t xml:space="preserve">US-05.1: As a consumer at a sampling location, I want to scan a QR code and immediately get my sample, so that I don't have to explain myself to field staff (Master PRD Phase 5)</w:t>
            </w:r>
          </w:p>
        </w:tc>
      </w:tr>
      <w:tr>
        <w:tc>
          <w:tcPr>
            <w:tcW w:type="dxa" w:w="1700"/>
            <w:shd w:fill="F2F2F2" w:val="clear"/>
            <w:tcMar>
              <w:top w:type="dxa" w:w="55"/>
              <w:left w:type="dxa" w:w="80"/>
              <w:bottom w:type="dxa" w:w="55"/>
              <w:right w:type="dxa" w:w="80"/>
            </w:tcMar>
            <w:vAlign w:val="center"/>
          </w:tcPr>
          <w:p>
            <w:r>
              <w:rPr>
                <w:sz w:val="15"/>
                <w:szCs w:val="15"/>
              </w:rPr>
              <w:t xml:space="preserve">Task 1</w:t>
            </w:r>
          </w:p>
        </w:tc>
        <w:tc>
          <w:tcPr>
            <w:tcW w:type="dxa" w:w="7650"/>
            <w:shd w:fill="F2F2F2" w:val="clear"/>
            <w:tcMar>
              <w:top w:type="dxa" w:w="55"/>
              <w:left w:type="dxa" w:w="80"/>
              <w:bottom w:type="dxa" w:w="55"/>
              <w:right w:type="dxa" w:w="80"/>
            </w:tcMar>
            <w:vAlign w:val="center"/>
          </w:tcPr>
          <w:p>
            <w:r>
              <w:rPr>
                <w:sz w:val="15"/>
                <w:szCs w:val="15"/>
              </w:rPr>
              <w:t xml:space="preserve">Design and implement QR code generation service (unique per campaign-location-time-window)</w:t>
            </w:r>
          </w:p>
        </w:tc>
      </w:tr>
      <w:tr>
        <w:tc>
          <w:tcPr>
            <w:tcW w:type="dxa" w:w="1700"/>
            <w:shd w:fill="FFFFFF" w:val="clear"/>
            <w:tcMar>
              <w:top w:type="dxa" w:w="55"/>
              <w:left w:type="dxa" w:w="80"/>
              <w:bottom w:type="dxa" w:w="55"/>
              <w:right w:type="dxa" w:w="80"/>
            </w:tcMar>
            <w:vAlign w:val="center"/>
          </w:tcPr>
          <w:p>
            <w:r>
              <w:rPr>
                <w:sz w:val="15"/>
                <w:szCs w:val="15"/>
              </w:rPr>
              <w:t xml:space="preserve">Subtasks (Task 1)</w:t>
            </w:r>
          </w:p>
        </w:tc>
        <w:tc>
          <w:tcPr>
            <w:tcW w:type="dxa" w:w="7650"/>
            <w:shd w:fill="FFFFFF" w:val="clear"/>
            <w:tcMar>
              <w:top w:type="dxa" w:w="55"/>
              <w:left w:type="dxa" w:w="80"/>
              <w:bottom w:type="dxa" w:w="55"/>
              <w:right w:type="dxa" w:w="80"/>
            </w:tcMar>
            <w:vAlign w:val="center"/>
          </w:tcPr>
          <w:p>
            <w:r>
              <w:rPr>
                <w:sz w:val="15"/>
                <w:szCs w:val="15"/>
              </w:rPr>
              <w:t xml:space="preserve">1.1 Define QR payload schema · 1.2 Implement generation endpoint · 1.3 Unit test uniqueness collision handling · 1.4 Load-test batch generation for 10,000 codes</w:t>
            </w:r>
          </w:p>
        </w:tc>
      </w:tr>
      <w:tr>
        <w:tc>
          <w:tcPr>
            <w:tcW w:type="dxa" w:w="1700"/>
            <w:shd w:fill="F2F2F2" w:val="clear"/>
            <w:tcMar>
              <w:top w:type="dxa" w:w="55"/>
              <w:left w:type="dxa" w:w="80"/>
              <w:bottom w:type="dxa" w:w="55"/>
              <w:right w:type="dxa" w:w="80"/>
            </w:tcMar>
            <w:vAlign w:val="center"/>
          </w:tcPr>
          <w:p>
            <w:r>
              <w:rPr>
                <w:sz w:val="15"/>
                <w:szCs w:val="15"/>
              </w:rPr>
              <w:t xml:space="preserve">Task 2</w:t>
            </w:r>
          </w:p>
        </w:tc>
        <w:tc>
          <w:tcPr>
            <w:tcW w:type="dxa" w:w="7650"/>
            <w:shd w:fill="F2F2F2" w:val="clear"/>
            <w:tcMar>
              <w:top w:type="dxa" w:w="55"/>
              <w:left w:type="dxa" w:w="80"/>
              <w:bottom w:type="dxa" w:w="55"/>
              <w:right w:type="dxa" w:w="80"/>
            </w:tcMar>
            <w:vAlign w:val="center"/>
          </w:tcPr>
          <w:p>
            <w:r>
              <w:rPr>
                <w:sz w:val="15"/>
                <w:szCs w:val="15"/>
              </w:rPr>
              <w:t xml:space="preserve">Implement redemption endpoint with stock/validity checks</w:t>
            </w:r>
          </w:p>
        </w:tc>
      </w:tr>
      <w:tr>
        <w:tc>
          <w:tcPr>
            <w:tcW w:type="dxa" w:w="1700"/>
            <w:shd w:fill="FFFFFF" w:val="clear"/>
            <w:tcMar>
              <w:top w:type="dxa" w:w="55"/>
              <w:left w:type="dxa" w:w="80"/>
              <w:bottom w:type="dxa" w:w="55"/>
              <w:right w:type="dxa" w:w="80"/>
            </w:tcMar>
            <w:vAlign w:val="center"/>
          </w:tcPr>
          <w:p>
            <w:r>
              <w:rPr>
                <w:sz w:val="15"/>
                <w:szCs w:val="15"/>
              </w:rPr>
              <w:t xml:space="preserve">Subtasks (Task 2)</w:t>
            </w:r>
          </w:p>
        </w:tc>
        <w:tc>
          <w:tcPr>
            <w:tcW w:type="dxa" w:w="7650"/>
            <w:shd w:fill="FFFFFF" w:val="clear"/>
            <w:tcMar>
              <w:top w:type="dxa" w:w="55"/>
              <w:left w:type="dxa" w:w="80"/>
              <w:bottom w:type="dxa" w:w="55"/>
              <w:right w:type="dxa" w:w="80"/>
            </w:tcMar>
            <w:vAlign w:val="center"/>
          </w:tcPr>
          <w:p>
            <w:r>
              <w:rPr>
                <w:sz w:val="15"/>
                <w:szCs w:val="15"/>
              </w:rPr>
              <w:t xml:space="preserve">2.1 Write DB migration for redemption_event table + qr_code unique index · 2.2 Implement POST /redemptions endpoint · 2.3 Implement stock-depletion check and error response · 2.4 Implement already-redeemed error response · 2.5 Write integration tests for all three outcomes</w:t>
            </w:r>
          </w:p>
        </w:tc>
      </w:tr>
      <w:tr>
        <w:tc>
          <w:tcPr>
            <w:tcW w:type="dxa" w:w="1700"/>
            <w:shd w:fill="F2F2F2" w:val="clear"/>
            <w:tcMar>
              <w:top w:type="dxa" w:w="55"/>
              <w:left w:type="dxa" w:w="80"/>
              <w:bottom w:type="dxa" w:w="55"/>
              <w:right w:type="dxa" w:w="80"/>
            </w:tcMar>
            <w:vAlign w:val="center"/>
          </w:tcPr>
          <w:p>
            <w:r>
              <w:rPr>
                <w:sz w:val="15"/>
                <w:szCs w:val="15"/>
              </w:rPr>
              <w:t xml:space="preserve">Task 3</w:t>
            </w:r>
          </w:p>
        </w:tc>
        <w:tc>
          <w:tcPr>
            <w:tcW w:type="dxa" w:w="7650"/>
            <w:shd w:fill="F2F2F2" w:val="clear"/>
            <w:tcMar>
              <w:top w:type="dxa" w:w="55"/>
              <w:left w:type="dxa" w:w="80"/>
              <w:bottom w:type="dxa" w:w="55"/>
              <w:right w:type="dxa" w:w="80"/>
            </w:tcMar>
            <w:vAlign w:val="center"/>
          </w:tcPr>
          <w:p>
            <w:r>
              <w:rPr>
                <w:sz w:val="15"/>
                <w:szCs w:val="15"/>
              </w:rPr>
              <w:t xml:space="preserve">Consumer app — QR scanner screen</w:t>
            </w:r>
          </w:p>
        </w:tc>
      </w:tr>
      <w:tr>
        <w:tc>
          <w:tcPr>
            <w:tcW w:type="dxa" w:w="1700"/>
            <w:shd w:fill="FFFFFF" w:val="clear"/>
            <w:tcMar>
              <w:top w:type="dxa" w:w="55"/>
              <w:left w:type="dxa" w:w="80"/>
              <w:bottom w:type="dxa" w:w="55"/>
              <w:right w:type="dxa" w:w="80"/>
            </w:tcMar>
            <w:vAlign w:val="center"/>
          </w:tcPr>
          <w:p>
            <w:r>
              <w:rPr>
                <w:sz w:val="15"/>
                <w:szCs w:val="15"/>
              </w:rPr>
              <w:t xml:space="preserve">Subtasks (Task 3)</w:t>
            </w:r>
          </w:p>
        </w:tc>
        <w:tc>
          <w:tcPr>
            <w:tcW w:type="dxa" w:w="7650"/>
            <w:shd w:fill="FFFFFF" w:val="clear"/>
            <w:tcMar>
              <w:top w:type="dxa" w:w="55"/>
              <w:left w:type="dxa" w:w="80"/>
              <w:bottom w:type="dxa" w:w="55"/>
              <w:right w:type="dxa" w:w="80"/>
            </w:tcMar>
            <w:vAlign w:val="center"/>
          </w:tcPr>
          <w:p>
            <w:r>
              <w:rPr>
                <w:sz w:val="15"/>
                <w:szCs w:val="15"/>
              </w:rPr>
              <w:t xml:space="preserve">3.1 Build camera/scanner UI component · 3.2 Wire scan result to redemption API call · 3.3 Build success/already-used/out-of-stock UI states · 3.4 Implement offline-queue fallback per PRD edge case</w:t>
            </w:r>
          </w:p>
        </w:tc>
      </w:tr>
      <w:tr>
        <w:tc>
          <w:tcPr>
            <w:tcW w:type="dxa" w:w="1700"/>
            <w:shd w:fill="F2F2F2" w:val="clear"/>
            <w:tcMar>
              <w:top w:type="dxa" w:w="55"/>
              <w:left w:type="dxa" w:w="80"/>
              <w:bottom w:type="dxa" w:w="55"/>
              <w:right w:type="dxa" w:w="80"/>
            </w:tcMar>
            <w:vAlign w:val="center"/>
          </w:tcPr>
          <w:p>
            <w:r>
              <w:rPr>
                <w:sz w:val="15"/>
                <w:szCs w:val="15"/>
              </w:rPr>
              <w:t xml:space="preserve">Task 4</w:t>
            </w:r>
          </w:p>
        </w:tc>
        <w:tc>
          <w:tcPr>
            <w:tcW w:type="dxa" w:w="7650"/>
            <w:shd w:fill="F2F2F2" w:val="clear"/>
            <w:tcMar>
              <w:top w:type="dxa" w:w="55"/>
              <w:left w:type="dxa" w:w="80"/>
              <w:bottom w:type="dxa" w:w="55"/>
              <w:right w:type="dxa" w:w="80"/>
            </w:tcMar>
            <w:vAlign w:val="center"/>
          </w:tcPr>
          <w:p>
            <w:r>
              <w:rPr>
                <w:sz w:val="15"/>
                <w:szCs w:val="15"/>
              </w:rPr>
              <w:t xml:space="preserve">Field Ops — redemption counter view</w:t>
            </w:r>
          </w:p>
        </w:tc>
      </w:tr>
      <w:tr>
        <w:tc>
          <w:tcPr>
            <w:tcW w:type="dxa" w:w="1700"/>
            <w:shd w:fill="FFFFFF" w:val="clear"/>
            <w:tcMar>
              <w:top w:type="dxa" w:w="55"/>
              <w:left w:type="dxa" w:w="80"/>
              <w:bottom w:type="dxa" w:w="55"/>
              <w:right w:type="dxa" w:w="80"/>
            </w:tcMar>
            <w:vAlign w:val="center"/>
          </w:tcPr>
          <w:p>
            <w:r>
              <w:rPr>
                <w:sz w:val="15"/>
                <w:szCs w:val="15"/>
              </w:rPr>
              <w:t xml:space="preserve">Subtasks (Task 4)</w:t>
            </w:r>
          </w:p>
        </w:tc>
        <w:tc>
          <w:tcPr>
            <w:tcW w:type="dxa" w:w="7650"/>
            <w:shd w:fill="FFFFFF" w:val="clear"/>
            <w:tcMar>
              <w:top w:type="dxa" w:w="55"/>
              <w:left w:type="dxa" w:w="80"/>
              <w:bottom w:type="dxa" w:w="55"/>
              <w:right w:type="dxa" w:w="80"/>
            </w:tcMar>
            <w:vAlign w:val="center"/>
          </w:tcPr>
          <w:p>
            <w:r>
              <w:rPr>
                <w:sz w:val="15"/>
                <w:szCs w:val="15"/>
              </w:rPr>
              <w:t xml:space="preserve">4.1 Build real-time stock/redemption counter component · 4.2 Wire to live event stream · 4.3 Low-stock alert trigger</w:t>
            </w:r>
          </w:p>
        </w:tc>
      </w:tr>
      <w:tr>
        <w:tc>
          <w:tcPr>
            <w:tcW w:type="dxa" w:w="1700"/>
            <w:shd w:fill="F2F2F2" w:val="clear"/>
            <w:tcMar>
              <w:top w:type="dxa" w:w="55"/>
              <w:left w:type="dxa" w:w="80"/>
              <w:bottom w:type="dxa" w:w="55"/>
              <w:right w:type="dxa" w:w="80"/>
            </w:tcMar>
            <w:vAlign w:val="center"/>
          </w:tcPr>
          <w:p>
            <w:r>
              <w:rPr>
                <w:sz w:val="15"/>
                <w:szCs w:val="15"/>
              </w:rPr>
              <w:t xml:space="preserve">Task 5</w:t>
            </w:r>
          </w:p>
        </w:tc>
        <w:tc>
          <w:tcPr>
            <w:tcW w:type="dxa" w:w="7650"/>
            <w:shd w:fill="F2F2F2" w:val="clear"/>
            <w:tcMar>
              <w:top w:type="dxa" w:w="55"/>
              <w:left w:type="dxa" w:w="80"/>
              <w:bottom w:type="dxa" w:w="55"/>
              <w:right w:type="dxa" w:w="80"/>
            </w:tcMar>
            <w:vAlign w:val="center"/>
          </w:tcPr>
          <w:p>
            <w:r>
              <w:rPr>
                <w:sz w:val="15"/>
                <w:szCs w:val="15"/>
              </w:rPr>
              <w:t xml:space="preserve">QA &amp; Documentation</w:t>
            </w:r>
          </w:p>
        </w:tc>
      </w:tr>
      <w:tr>
        <w:tc>
          <w:tcPr>
            <w:tcW w:type="dxa" w:w="1700"/>
            <w:shd w:fill="FFFFFF" w:val="clear"/>
            <w:tcMar>
              <w:top w:type="dxa" w:w="55"/>
              <w:left w:type="dxa" w:w="80"/>
              <w:bottom w:type="dxa" w:w="55"/>
              <w:right w:type="dxa" w:w="80"/>
            </w:tcMar>
            <w:vAlign w:val="center"/>
          </w:tcPr>
          <w:p>
            <w:r>
              <w:rPr>
                <w:sz w:val="15"/>
                <w:szCs w:val="15"/>
              </w:rPr>
              <w:t xml:space="preserve">Subtasks (Task 5)</w:t>
            </w:r>
          </w:p>
        </w:tc>
        <w:tc>
          <w:tcPr>
            <w:tcW w:type="dxa" w:w="7650"/>
            <w:shd w:fill="FFFFFF" w:val="clear"/>
            <w:tcMar>
              <w:top w:type="dxa" w:w="55"/>
              <w:left w:type="dxa" w:w="80"/>
              <w:bottom w:type="dxa" w:w="55"/>
              <w:right w:type="dxa" w:w="80"/>
            </w:tcMar>
            <w:vAlign w:val="center"/>
          </w:tcPr>
          <w:p>
            <w:r>
              <w:rPr>
                <w:sz w:val="15"/>
                <w:szCs w:val="15"/>
              </w:rPr>
              <w:t xml:space="preserve">5.1 Write E2E test (Playwright/Flutter integration_test) · 5.2 Update OpenAPI spec · 5.3 Add ADR if any deviation from Technical Architecture occurred</w:t>
            </w:r>
          </w:p>
        </w:tc>
      </w:tr>
    </w:tbl>
    <w:p>
      <w:pPr>
        <w:pStyle w:val="Heading2"/>
        <w:spacing w:after="120" w:before="240"/>
      </w:pPr>
      <w:r>
        <w:rPr>
          <w:b/>
          <w:bCs/>
          <w:color w:val="1F2A44"/>
          <w:sz w:val="22"/>
          <w:szCs w:val="22"/>
        </w:rPr>
        <w:t xml:space="preserve">Epic → Feature Summary (all 22 features)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5300"/>
        <w:gridCol w:w="1650"/>
      </w:tblGrid>
      <w:tr>
        <w:trPr>
          <w:tblHeader/>
        </w:trPr>
        <w:tc>
          <w:tcPr>
            <w:tcW w:type="dxa" w:w="2400"/>
            <w:shd w:fill="1F2A44" w:val="clear"/>
            <w:tcMar>
              <w:top w:type="dxa" w:w="70"/>
              <w:left w:type="dxa" w:w="90"/>
              <w:bottom w:type="dxa" w:w="70"/>
              <w:right w:type="dxa" w:w="90"/>
            </w:tcMar>
            <w:vAlign w:val="center"/>
          </w:tcPr>
          <w:p>
            <w:r>
              <w:rPr>
                <w:b/>
                <w:bCs/>
                <w:color w:val="FFFFFF"/>
                <w:sz w:val="15"/>
                <w:szCs w:val="15"/>
              </w:rPr>
              <w:t xml:space="preserve">Epic</w:t>
            </w:r>
          </w:p>
        </w:tc>
        <w:tc>
          <w:tcPr>
            <w:tcW w:type="dxa" w:w="5300"/>
            <w:shd w:fill="1F2A44" w:val="clear"/>
            <w:tcMar>
              <w:top w:type="dxa" w:w="70"/>
              <w:left w:type="dxa" w:w="90"/>
              <w:bottom w:type="dxa" w:w="70"/>
              <w:right w:type="dxa" w:w="90"/>
            </w:tcMar>
            <w:vAlign w:val="center"/>
          </w:tcPr>
          <w:p>
            <w:r>
              <w:rPr>
                <w:b/>
                <w:bCs/>
                <w:color w:val="FFFFFF"/>
                <w:sz w:val="15"/>
                <w:szCs w:val="15"/>
              </w:rPr>
              <w:t xml:space="preserve">Features (PRD #)</w:t>
            </w:r>
          </w:p>
        </w:tc>
        <w:tc>
          <w:tcPr>
            <w:tcW w:type="dxa" w:w="1650"/>
            <w:shd w:fill="1F2A44" w:val="clear"/>
            <w:tcMar>
              <w:top w:type="dxa" w:w="70"/>
              <w:left w:type="dxa" w:w="90"/>
              <w:bottom w:type="dxa" w:w="70"/>
              <w:right w:type="dxa" w:w="90"/>
            </w:tcMar>
            <w:vAlign w:val="center"/>
          </w:tcPr>
          <w:p>
            <w:r>
              <w:rPr>
                <w:b/>
                <w:bCs/>
                <w:color w:val="FFFFFF"/>
                <w:sz w:val="15"/>
                <w:szCs w:val="15"/>
              </w:rPr>
              <w:t xml:space="preserve">Priority Mix</w:t>
            </w:r>
          </w:p>
        </w:tc>
      </w:tr>
      <w:tr>
        <w:tc>
          <w:tcPr>
            <w:tcW w:type="dxa" w:w="2400"/>
            <w:shd w:fill="FFFFFF" w:val="clear"/>
            <w:tcMar>
              <w:top w:type="dxa" w:w="55"/>
              <w:left w:type="dxa" w:w="80"/>
              <w:bottom w:type="dxa" w:w="55"/>
              <w:right w:type="dxa" w:w="80"/>
            </w:tcMar>
            <w:vAlign w:val="center"/>
          </w:tcPr>
          <w:p>
            <w:r>
              <w:rPr>
                <w:sz w:val="15"/>
                <w:szCs w:val="15"/>
              </w:rPr>
              <w:t xml:space="preserve">EPIC-01 Identity &amp; Auth</w:t>
            </w:r>
          </w:p>
        </w:tc>
        <w:tc>
          <w:tcPr>
            <w:tcW w:type="dxa" w:w="5300"/>
            <w:shd w:fill="FFFFFF" w:val="clear"/>
            <w:tcMar>
              <w:top w:type="dxa" w:w="55"/>
              <w:left w:type="dxa" w:w="80"/>
              <w:bottom w:type="dxa" w:w="55"/>
              <w:right w:type="dxa" w:w="80"/>
            </w:tcMar>
            <w:vAlign w:val="center"/>
          </w:tcPr>
          <w:p>
            <w:r>
              <w:rPr>
                <w:sz w:val="15"/>
                <w:szCs w:val="15"/>
              </w:rPr>
              <w:t xml:space="preserve">F-01 OTP Login</w:t>
            </w:r>
          </w:p>
        </w:tc>
        <w:tc>
          <w:tcPr>
            <w:tcW w:type="dxa" w:w="1650"/>
            <w:shd w:fill="FFFFFF" w:val="clear"/>
            <w:tcMar>
              <w:top w:type="dxa" w:w="55"/>
              <w:left w:type="dxa" w:w="80"/>
              <w:bottom w:type="dxa" w:w="55"/>
              <w:right w:type="dxa" w:w="80"/>
            </w:tcMar>
            <w:vAlign w:val="center"/>
          </w:tcPr>
          <w:p>
            <w:r>
              <w:rPr>
                <w:sz w:val="15"/>
                <w:szCs w:val="15"/>
              </w:rPr>
              <w:t xml:space="preserve">P0</w:t>
            </w:r>
          </w:p>
        </w:tc>
      </w:tr>
      <w:tr>
        <w:tc>
          <w:tcPr>
            <w:tcW w:type="dxa" w:w="2400"/>
            <w:shd w:fill="F2F2F2" w:val="clear"/>
            <w:tcMar>
              <w:top w:type="dxa" w:w="55"/>
              <w:left w:type="dxa" w:w="80"/>
              <w:bottom w:type="dxa" w:w="55"/>
              <w:right w:type="dxa" w:w="80"/>
            </w:tcMar>
            <w:vAlign w:val="center"/>
          </w:tcPr>
          <w:p>
            <w:r>
              <w:rPr>
                <w:sz w:val="15"/>
                <w:szCs w:val="15"/>
              </w:rPr>
              <w:t xml:space="preserve">EPIC-02 Consumer Experience</w:t>
            </w:r>
          </w:p>
        </w:tc>
        <w:tc>
          <w:tcPr>
            <w:tcW w:type="dxa" w:w="5300"/>
            <w:shd w:fill="F2F2F2" w:val="clear"/>
            <w:tcMar>
              <w:top w:type="dxa" w:w="55"/>
              <w:left w:type="dxa" w:w="80"/>
              <w:bottom w:type="dxa" w:w="55"/>
              <w:right w:type="dxa" w:w="80"/>
            </w:tcMar>
            <w:vAlign w:val="center"/>
          </w:tcPr>
          <w:p>
            <w:r>
              <w:rPr>
                <w:sz w:val="15"/>
                <w:szCs w:val="15"/>
              </w:rPr>
              <w:t xml:space="preserve">F-02 Profile Setup, F-03 Campaign Discovery, F-09 Rewards Wallet, F-10 Referral, F-11 Communities</w:t>
            </w:r>
          </w:p>
        </w:tc>
        <w:tc>
          <w:tcPr>
            <w:tcW w:type="dxa" w:w="1650"/>
            <w:shd w:fill="F2F2F2" w:val="clear"/>
            <w:tcMar>
              <w:top w:type="dxa" w:w="55"/>
              <w:left w:type="dxa" w:w="80"/>
              <w:bottom w:type="dxa" w:w="55"/>
              <w:right w:type="dxa" w:w="80"/>
            </w:tcMar>
            <w:vAlign w:val="center"/>
          </w:tcPr>
          <w:p>
            <w:r>
              <w:rPr>
                <w:sz w:val="15"/>
                <w:szCs w:val="15"/>
              </w:rPr>
              <w:t xml:space="preserve">3×P0, 2×P1/P2</w:t>
            </w:r>
          </w:p>
        </w:tc>
      </w:tr>
      <w:tr>
        <w:tc>
          <w:tcPr>
            <w:tcW w:type="dxa" w:w="2400"/>
            <w:shd w:fill="FFFFFF" w:val="clear"/>
            <w:tcMar>
              <w:top w:type="dxa" w:w="55"/>
              <w:left w:type="dxa" w:w="80"/>
              <w:bottom w:type="dxa" w:w="55"/>
              <w:right w:type="dxa" w:w="80"/>
            </w:tcMar>
            <w:vAlign w:val="center"/>
          </w:tcPr>
          <w:p>
            <w:r>
              <w:rPr>
                <w:sz w:val="15"/>
                <w:szCs w:val="15"/>
              </w:rPr>
              <w:t xml:space="preserve">EPIC-03 Campaign Management</w:t>
            </w:r>
          </w:p>
        </w:tc>
        <w:tc>
          <w:tcPr>
            <w:tcW w:type="dxa" w:w="5300"/>
            <w:shd w:fill="FFFFFF" w:val="clear"/>
            <w:tcMar>
              <w:top w:type="dxa" w:w="55"/>
              <w:left w:type="dxa" w:w="80"/>
              <w:bottom w:type="dxa" w:w="55"/>
              <w:right w:type="dxa" w:w="80"/>
            </w:tcMar>
            <w:vAlign w:val="center"/>
          </w:tcPr>
          <w:p>
            <w:r>
              <w:rPr>
                <w:sz w:val="15"/>
                <w:szCs w:val="15"/>
              </w:rPr>
              <w:t xml:space="preserve">F-13 Campaign Wizard, F-12 Brand Onboarding, F-16 Brand User Mgmt, F-17 Invoice View</w:t>
            </w:r>
          </w:p>
        </w:tc>
        <w:tc>
          <w:tcPr>
            <w:tcW w:type="dxa" w:w="1650"/>
            <w:shd w:fill="FFFFFF" w:val="clear"/>
            <w:tcMar>
              <w:top w:type="dxa" w:w="55"/>
              <w:left w:type="dxa" w:w="80"/>
              <w:bottom w:type="dxa" w:w="55"/>
              <w:right w:type="dxa" w:w="80"/>
            </w:tcMar>
            <w:vAlign w:val="center"/>
          </w:tcPr>
          <w:p>
            <w:r>
              <w:rPr>
                <w:sz w:val="15"/>
                <w:szCs w:val="15"/>
              </w:rPr>
              <w:t xml:space="preserve">3×P0, 1×P1</w:t>
            </w:r>
          </w:p>
        </w:tc>
      </w:tr>
      <w:tr>
        <w:tc>
          <w:tcPr>
            <w:tcW w:type="dxa" w:w="2400"/>
            <w:shd w:fill="F2F2F2" w:val="clear"/>
            <w:tcMar>
              <w:top w:type="dxa" w:w="55"/>
              <w:left w:type="dxa" w:w="80"/>
              <w:bottom w:type="dxa" w:w="55"/>
              <w:right w:type="dxa" w:w="80"/>
            </w:tcMar>
            <w:vAlign w:val="center"/>
          </w:tcPr>
          <w:p>
            <w:r>
              <w:rPr>
                <w:sz w:val="15"/>
                <w:szCs w:val="15"/>
              </w:rPr>
              <w:t xml:space="preserve">EPIC-04 Fulfillment &amp; Redemption</w:t>
            </w:r>
          </w:p>
        </w:tc>
        <w:tc>
          <w:tcPr>
            <w:tcW w:type="dxa" w:w="5300"/>
            <w:shd w:fill="F2F2F2" w:val="clear"/>
            <w:tcMar>
              <w:top w:type="dxa" w:w="55"/>
              <w:left w:type="dxa" w:w="80"/>
              <w:bottom w:type="dxa" w:w="55"/>
              <w:right w:type="dxa" w:w="80"/>
            </w:tcMar>
            <w:vAlign w:val="center"/>
          </w:tcPr>
          <w:p>
            <w:r>
              <w:rPr>
                <w:sz w:val="15"/>
                <w:szCs w:val="15"/>
              </w:rPr>
              <w:t xml:space="preserve">F-05 QR Redemption, F-20 Campaign Config &amp; Approval</w:t>
            </w:r>
          </w:p>
        </w:tc>
        <w:tc>
          <w:tcPr>
            <w:tcW w:type="dxa" w:w="1650"/>
            <w:shd w:fill="F2F2F2" w:val="clear"/>
            <w:tcMar>
              <w:top w:type="dxa" w:w="55"/>
              <w:left w:type="dxa" w:w="80"/>
              <w:bottom w:type="dxa" w:w="55"/>
              <w:right w:type="dxa" w:w="80"/>
            </w:tcMar>
            <w:vAlign w:val="center"/>
          </w:tcPr>
          <w:p>
            <w:r>
              <w:rPr>
                <w:sz w:val="15"/>
                <w:szCs w:val="15"/>
              </w:rPr>
              <w:t xml:space="preserve">2×P0</w:t>
            </w:r>
          </w:p>
        </w:tc>
      </w:tr>
      <w:tr>
        <w:tc>
          <w:tcPr>
            <w:tcW w:type="dxa" w:w="2400"/>
            <w:shd w:fill="FFFFFF" w:val="clear"/>
            <w:tcMar>
              <w:top w:type="dxa" w:w="55"/>
              <w:left w:type="dxa" w:w="80"/>
              <w:bottom w:type="dxa" w:w="55"/>
              <w:right w:type="dxa" w:w="80"/>
            </w:tcMar>
            <w:vAlign w:val="center"/>
          </w:tcPr>
          <w:p>
            <w:r>
              <w:rPr>
                <w:sz w:val="15"/>
                <w:szCs w:val="15"/>
              </w:rPr>
              <w:t xml:space="preserve">EPIC-05 Survey &amp; Data Capture</w:t>
            </w:r>
          </w:p>
        </w:tc>
        <w:tc>
          <w:tcPr>
            <w:tcW w:type="dxa" w:w="5300"/>
            <w:shd w:fill="FFFFFF" w:val="clear"/>
            <w:tcMar>
              <w:top w:type="dxa" w:w="55"/>
              <w:left w:type="dxa" w:w="80"/>
              <w:bottom w:type="dxa" w:w="55"/>
              <w:right w:type="dxa" w:w="80"/>
            </w:tcMar>
            <w:vAlign w:val="center"/>
          </w:tcPr>
          <w:p>
            <w:r>
              <w:rPr>
                <w:sz w:val="15"/>
                <w:szCs w:val="15"/>
              </w:rPr>
              <w:t xml:space="preserve">F-06 Post-Trial Survey</w:t>
            </w:r>
          </w:p>
        </w:tc>
        <w:tc>
          <w:tcPr>
            <w:tcW w:type="dxa" w:w="1650"/>
            <w:shd w:fill="FFFFFF" w:val="clear"/>
            <w:tcMar>
              <w:top w:type="dxa" w:w="55"/>
              <w:left w:type="dxa" w:w="80"/>
              <w:bottom w:type="dxa" w:w="55"/>
              <w:right w:type="dxa" w:w="80"/>
            </w:tcMar>
            <w:vAlign w:val="center"/>
          </w:tcPr>
          <w:p>
            <w:r>
              <w:rPr>
                <w:sz w:val="15"/>
                <w:szCs w:val="15"/>
              </w:rPr>
              <w:t xml:space="preserve">1×P0</w:t>
            </w:r>
          </w:p>
        </w:tc>
      </w:tr>
      <w:tr>
        <w:tc>
          <w:tcPr>
            <w:tcW w:type="dxa" w:w="2400"/>
            <w:shd w:fill="F2F2F2" w:val="clear"/>
            <w:tcMar>
              <w:top w:type="dxa" w:w="55"/>
              <w:left w:type="dxa" w:w="80"/>
              <w:bottom w:type="dxa" w:w="55"/>
              <w:right w:type="dxa" w:w="80"/>
            </w:tcMar>
            <w:vAlign w:val="center"/>
          </w:tcPr>
          <w:p>
            <w:r>
              <w:rPr>
                <w:sz w:val="15"/>
                <w:szCs w:val="15"/>
              </w:rPr>
              <w:t xml:space="preserve">EPIC-06 Analytics &amp; Reporting</w:t>
            </w:r>
          </w:p>
        </w:tc>
        <w:tc>
          <w:tcPr>
            <w:tcW w:type="dxa" w:w="5300"/>
            <w:shd w:fill="F2F2F2" w:val="clear"/>
            <w:tcMar>
              <w:top w:type="dxa" w:w="55"/>
              <w:left w:type="dxa" w:w="80"/>
              <w:bottom w:type="dxa" w:w="55"/>
              <w:right w:type="dxa" w:w="80"/>
            </w:tcMar>
            <w:vAlign w:val="center"/>
          </w:tcPr>
          <w:p>
            <w:r>
              <w:rPr>
                <w:sz w:val="15"/>
                <w:szCs w:val="15"/>
              </w:rPr>
              <w:t xml:space="preserve">F-14 Live Monitoring, F-15 Basic Analytics Report, F-18 AI Insight Narratives</w:t>
            </w:r>
          </w:p>
        </w:tc>
        <w:tc>
          <w:tcPr>
            <w:tcW w:type="dxa" w:w="1650"/>
            <w:shd w:fill="F2F2F2" w:val="clear"/>
            <w:tcMar>
              <w:top w:type="dxa" w:w="55"/>
              <w:left w:type="dxa" w:w="80"/>
              <w:bottom w:type="dxa" w:w="55"/>
              <w:right w:type="dxa" w:w="80"/>
            </w:tcMar>
            <w:vAlign w:val="center"/>
          </w:tcPr>
          <w:p>
            <w:r>
              <w:rPr>
                <w:sz w:val="15"/>
                <w:szCs w:val="15"/>
              </w:rPr>
              <w:t xml:space="preserve">2×P0, 1×P2</w:t>
            </w:r>
          </w:p>
        </w:tc>
      </w:tr>
      <w:tr>
        <w:tc>
          <w:tcPr>
            <w:tcW w:type="dxa" w:w="2400"/>
            <w:shd w:fill="FFFFFF" w:val="clear"/>
            <w:tcMar>
              <w:top w:type="dxa" w:w="55"/>
              <w:left w:type="dxa" w:w="80"/>
              <w:bottom w:type="dxa" w:w="55"/>
              <w:right w:type="dxa" w:w="80"/>
            </w:tcMar>
            <w:vAlign w:val="center"/>
          </w:tcPr>
          <w:p>
            <w:r>
              <w:rPr>
                <w:sz w:val="15"/>
                <w:szCs w:val="15"/>
              </w:rPr>
              <w:t xml:space="preserve">EPIC-07 Notifications</w:t>
            </w:r>
          </w:p>
        </w:tc>
        <w:tc>
          <w:tcPr>
            <w:tcW w:type="dxa" w:w="5300"/>
            <w:shd w:fill="FFFFFF" w:val="clear"/>
            <w:tcMar>
              <w:top w:type="dxa" w:w="55"/>
              <w:left w:type="dxa" w:w="80"/>
              <w:bottom w:type="dxa" w:w="55"/>
              <w:right w:type="dxa" w:w="80"/>
            </w:tcMar>
            <w:vAlign w:val="center"/>
          </w:tcPr>
          <w:p>
            <w:r>
              <w:rPr>
                <w:sz w:val="15"/>
                <w:szCs w:val="15"/>
              </w:rPr>
              <w:t xml:space="preserve">F-04 Push Notification</w:t>
            </w:r>
          </w:p>
        </w:tc>
        <w:tc>
          <w:tcPr>
            <w:tcW w:type="dxa" w:w="1650"/>
            <w:shd w:fill="FFFFFF" w:val="clear"/>
            <w:tcMar>
              <w:top w:type="dxa" w:w="55"/>
              <w:left w:type="dxa" w:w="80"/>
              <w:bottom w:type="dxa" w:w="55"/>
              <w:right w:type="dxa" w:w="80"/>
            </w:tcMar>
            <w:vAlign w:val="center"/>
          </w:tcPr>
          <w:p>
            <w:r>
              <w:rPr>
                <w:sz w:val="15"/>
                <w:szCs w:val="15"/>
              </w:rPr>
              <w:t xml:space="preserve">1×P0</w:t>
            </w:r>
          </w:p>
        </w:tc>
      </w:tr>
      <w:tr>
        <w:tc>
          <w:tcPr>
            <w:tcW w:type="dxa" w:w="2400"/>
            <w:shd w:fill="F2F2F2" w:val="clear"/>
            <w:tcMar>
              <w:top w:type="dxa" w:w="55"/>
              <w:left w:type="dxa" w:w="80"/>
              <w:bottom w:type="dxa" w:w="55"/>
              <w:right w:type="dxa" w:w="80"/>
            </w:tcMar>
            <w:vAlign w:val="center"/>
          </w:tcPr>
          <w:p>
            <w:r>
              <w:rPr>
                <w:sz w:val="15"/>
                <w:szCs w:val="15"/>
              </w:rPr>
              <w:t xml:space="preserve">EPIC-08 Support</w:t>
            </w:r>
          </w:p>
        </w:tc>
        <w:tc>
          <w:tcPr>
            <w:tcW w:type="dxa" w:w="5300"/>
            <w:shd w:fill="F2F2F2" w:val="clear"/>
            <w:tcMar>
              <w:top w:type="dxa" w:w="55"/>
              <w:left w:type="dxa" w:w="80"/>
              <w:bottom w:type="dxa" w:w="55"/>
              <w:right w:type="dxa" w:w="80"/>
            </w:tcMar>
            <w:vAlign w:val="center"/>
          </w:tcPr>
          <w:p>
            <w:r>
              <w:rPr>
                <w:sz w:val="15"/>
                <w:szCs w:val="15"/>
              </w:rPr>
              <w:t xml:space="preserve">F-07 Consumer Support, F-22 Ticket Management (internal)</w:t>
            </w:r>
          </w:p>
        </w:tc>
        <w:tc>
          <w:tcPr>
            <w:tcW w:type="dxa" w:w="1650"/>
            <w:shd w:fill="F2F2F2" w:val="clear"/>
            <w:tcMar>
              <w:top w:type="dxa" w:w="55"/>
              <w:left w:type="dxa" w:w="80"/>
              <w:bottom w:type="dxa" w:w="55"/>
              <w:right w:type="dxa" w:w="80"/>
            </w:tcMar>
            <w:vAlign w:val="center"/>
          </w:tcPr>
          <w:p>
            <w:r>
              <w:rPr>
                <w:sz w:val="15"/>
                <w:szCs w:val="15"/>
              </w:rPr>
              <w:t xml:space="preserve">2×P0</w:t>
            </w:r>
          </w:p>
        </w:tc>
      </w:tr>
      <w:tr>
        <w:tc>
          <w:tcPr>
            <w:tcW w:type="dxa" w:w="2400"/>
            <w:shd w:fill="FFFFFF" w:val="clear"/>
            <w:tcMar>
              <w:top w:type="dxa" w:w="55"/>
              <w:left w:type="dxa" w:w="80"/>
              <w:bottom w:type="dxa" w:w="55"/>
              <w:right w:type="dxa" w:w="80"/>
            </w:tcMar>
            <w:vAlign w:val="center"/>
          </w:tcPr>
          <w:p>
            <w:r>
              <w:rPr>
                <w:sz w:val="15"/>
                <w:szCs w:val="15"/>
              </w:rPr>
              <w:t xml:space="preserve">EPIC-09 Consent &amp; Privacy</w:t>
            </w:r>
          </w:p>
        </w:tc>
        <w:tc>
          <w:tcPr>
            <w:tcW w:type="dxa" w:w="5300"/>
            <w:shd w:fill="FFFFFF" w:val="clear"/>
            <w:tcMar>
              <w:top w:type="dxa" w:w="55"/>
              <w:left w:type="dxa" w:w="80"/>
              <w:bottom w:type="dxa" w:w="55"/>
              <w:right w:type="dxa" w:w="80"/>
            </w:tcMar>
            <w:vAlign w:val="center"/>
          </w:tcPr>
          <w:p>
            <w:r>
              <w:rPr>
                <w:sz w:val="15"/>
                <w:szCs w:val="15"/>
              </w:rPr>
              <w:t xml:space="preserve">F-08 Consent &amp; Privacy Center</w:t>
            </w:r>
          </w:p>
        </w:tc>
        <w:tc>
          <w:tcPr>
            <w:tcW w:type="dxa" w:w="1650"/>
            <w:shd w:fill="FFFFFF" w:val="clear"/>
            <w:tcMar>
              <w:top w:type="dxa" w:w="55"/>
              <w:left w:type="dxa" w:w="80"/>
              <w:bottom w:type="dxa" w:w="55"/>
              <w:right w:type="dxa" w:w="80"/>
            </w:tcMar>
            <w:vAlign w:val="center"/>
          </w:tcPr>
          <w:p>
            <w:r>
              <w:rPr>
                <w:sz w:val="15"/>
                <w:szCs w:val="15"/>
              </w:rPr>
              <w:t xml:space="preserve">1×P0 — non-negotiable per FDD</w:t>
            </w:r>
          </w:p>
        </w:tc>
      </w:tr>
      <w:tr>
        <w:tc>
          <w:tcPr>
            <w:tcW w:type="dxa" w:w="2400"/>
            <w:shd w:fill="F2F2F2" w:val="clear"/>
            <w:tcMar>
              <w:top w:type="dxa" w:w="55"/>
              <w:left w:type="dxa" w:w="80"/>
              <w:bottom w:type="dxa" w:w="55"/>
              <w:right w:type="dxa" w:w="80"/>
            </w:tcMar>
            <w:vAlign w:val="center"/>
          </w:tcPr>
          <w:p>
            <w:r>
              <w:rPr>
                <w:sz w:val="15"/>
                <w:szCs w:val="15"/>
              </w:rPr>
              <w:t xml:space="preserve">EPIC-10 Admin/Ops Console</w:t>
            </w:r>
          </w:p>
        </w:tc>
        <w:tc>
          <w:tcPr>
            <w:tcW w:type="dxa" w:w="5300"/>
            <w:shd w:fill="F2F2F2" w:val="clear"/>
            <w:tcMar>
              <w:top w:type="dxa" w:w="55"/>
              <w:left w:type="dxa" w:w="80"/>
              <w:bottom w:type="dxa" w:w="55"/>
              <w:right w:type="dxa" w:w="80"/>
            </w:tcMar>
            <w:vAlign w:val="center"/>
          </w:tcPr>
          <w:p>
            <w:r>
              <w:rPr>
                <w:sz w:val="15"/>
                <w:szCs w:val="15"/>
              </w:rPr>
              <w:t xml:space="preserve">F-21 Fraud Review Queue, F-19 Enterprise API/CRM</w:t>
            </w:r>
          </w:p>
        </w:tc>
        <w:tc>
          <w:tcPr>
            <w:tcW w:type="dxa" w:w="1650"/>
            <w:shd w:fill="F2F2F2" w:val="clear"/>
            <w:tcMar>
              <w:top w:type="dxa" w:w="55"/>
              <w:left w:type="dxa" w:w="80"/>
              <w:bottom w:type="dxa" w:w="55"/>
              <w:right w:type="dxa" w:w="80"/>
            </w:tcMar>
            <w:vAlign w:val="center"/>
          </w:tcPr>
          <w:p>
            <w:r>
              <w:rPr>
                <w:sz w:val="15"/>
                <w:szCs w:val="15"/>
              </w:rPr>
              <w:t xml:space="preserve">1×P0(manual)/P1(auto), 1×P2</w:t>
            </w:r>
          </w:p>
        </w:tc>
      </w:tr>
      <w:tr>
        <w:tc>
          <w:tcPr>
            <w:tcW w:type="dxa" w:w="2400"/>
            <w:shd w:fill="FFFFFF" w:val="clear"/>
            <w:tcMar>
              <w:top w:type="dxa" w:w="55"/>
              <w:left w:type="dxa" w:w="80"/>
              <w:bottom w:type="dxa" w:w="55"/>
              <w:right w:type="dxa" w:w="80"/>
            </w:tcMar>
            <w:vAlign w:val="center"/>
          </w:tcPr>
          <w:p>
            <w:r>
              <w:rPr>
                <w:sz w:val="15"/>
                <w:szCs w:val="15"/>
              </w:rPr>
              <w:t xml:space="preserve">EPIC-11 DevOps &amp; Infra Foundation</w:t>
            </w:r>
          </w:p>
        </w:tc>
        <w:tc>
          <w:tcPr>
            <w:tcW w:type="dxa" w:w="5300"/>
            <w:shd w:fill="FFFFFF" w:val="clear"/>
            <w:tcMar>
              <w:top w:type="dxa" w:w="55"/>
              <w:left w:type="dxa" w:w="80"/>
              <w:bottom w:type="dxa" w:w="55"/>
              <w:right w:type="dxa" w:w="80"/>
            </w:tcMar>
            <w:vAlign w:val="center"/>
          </w:tcPr>
          <w:p>
            <w:r>
              <w:rPr>
                <w:sz w:val="15"/>
                <w:szCs w:val="15"/>
              </w:rPr>
              <w:t xml:space="preserve">Non-PRD engineering epic — see Section 8</w:t>
            </w:r>
          </w:p>
        </w:tc>
        <w:tc>
          <w:tcPr>
            <w:tcW w:type="dxa" w:w="1650"/>
            <w:shd w:fill="FFFFFF" w:val="clear"/>
            <w:tcMar>
              <w:top w:type="dxa" w:w="55"/>
              <w:left w:type="dxa" w:w="80"/>
              <w:bottom w:type="dxa" w:w="55"/>
              <w:right w:type="dxa" w:w="80"/>
            </w:tcMar>
            <w:vAlign w:val="center"/>
          </w:tcPr>
          <w:p>
            <w:r>
              <w:rPr>
                <w:sz w:val="15"/>
                <w:szCs w:val="15"/>
              </w:rPr>
              <w:t xml:space="preserve">P0, all pre-Sprint-1</w:t>
            </w:r>
          </w:p>
        </w:tc>
      </w:tr>
      <w:tr>
        <w:tc>
          <w:tcPr>
            <w:tcW w:type="dxa" w:w="2400"/>
            <w:shd w:fill="F2F2F2" w:val="clear"/>
            <w:tcMar>
              <w:top w:type="dxa" w:w="55"/>
              <w:left w:type="dxa" w:w="80"/>
              <w:bottom w:type="dxa" w:w="55"/>
              <w:right w:type="dxa" w:w="80"/>
            </w:tcMar>
            <w:vAlign w:val="center"/>
          </w:tcPr>
          <w:p>
            <w:r>
              <w:rPr>
                <w:sz w:val="15"/>
                <w:szCs w:val="15"/>
              </w:rPr>
              <w:t xml:space="preserve">EPIC-12 Security Foundation</w:t>
            </w:r>
          </w:p>
        </w:tc>
        <w:tc>
          <w:tcPr>
            <w:tcW w:type="dxa" w:w="5300"/>
            <w:shd w:fill="F2F2F2" w:val="clear"/>
            <w:tcMar>
              <w:top w:type="dxa" w:w="55"/>
              <w:left w:type="dxa" w:w="80"/>
              <w:bottom w:type="dxa" w:w="55"/>
              <w:right w:type="dxa" w:w="80"/>
            </w:tcMar>
            <w:vAlign w:val="center"/>
          </w:tcPr>
          <w:p>
            <w:r>
              <w:rPr>
                <w:sz w:val="15"/>
                <w:szCs w:val="15"/>
              </w:rPr>
              <w:t xml:space="preserve">Non-PRD engineering epic — see Section 11</w:t>
            </w:r>
          </w:p>
        </w:tc>
        <w:tc>
          <w:tcPr>
            <w:tcW w:type="dxa" w:w="1650"/>
            <w:shd w:fill="F2F2F2" w:val="clear"/>
            <w:tcMar>
              <w:top w:type="dxa" w:w="55"/>
              <w:left w:type="dxa" w:w="80"/>
              <w:bottom w:type="dxa" w:w="55"/>
              <w:right w:type="dxa" w:w="80"/>
            </w:tcMar>
            <w:vAlign w:val="center"/>
          </w:tcPr>
          <w:p>
            <w:r>
              <w:rPr>
                <w:sz w:val="15"/>
                <w:szCs w:val="15"/>
              </w:rPr>
              <w:t xml:space="preserve">P0, all pre-Sprint-1</w:t>
            </w:r>
          </w:p>
        </w:tc>
      </w:tr>
    </w:tbl>
    <w:p>
      <w:r>
        <w:br w:type="page"/>
      </w:r>
    </w:p>
    <w:p>
      <w:pPr>
        <w:pStyle w:val="Heading1"/>
        <w:pBdr>
          <w:bottom w:val="single" w:color="1F2A44" w:sz="8" w:space="4"/>
        </w:pBdr>
        <w:spacing w:after="190" w:before="380"/>
      </w:pPr>
      <w:r>
        <w:rPr>
          <w:b/>
          <w:bCs/>
          <w:color w:val="1F2A44"/>
          <w:sz w:val="28"/>
          <w:szCs w:val="28"/>
        </w:rPr>
        <w:t xml:space="preserve">2. Product Backlog</w:t>
      </w:r>
    </w:p>
    <w:p>
      <w:pPr>
        <w:spacing w:after="110" w:line="260"/>
      </w:pPr>
      <w:r>
        <w:rPr>
          <w:sz w:val="19"/>
          <w:szCs w:val="19"/>
        </w:rPr>
        <w:t xml:space="preserve">Full 20-field specification for the 12 MVP critical-path items. Remaining backlog items follow in summary form.</w:t>
      </w:r>
    </w:p>
    <w:p>
      <w:pPr>
        <w:spacing w:after="60" w:before="160"/>
      </w:pPr>
      <w:r>
        <w:rPr>
          <w:b/>
          <w:bCs/>
          <w:color w:val="1F2A44"/>
          <w:sz w:val="20"/>
          <w:szCs w:val="20"/>
        </w:rPr>
        <w:t xml:space="preserve">TJ-001 — OTP Registration/Login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EPIC-01</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F-01</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High — no consumer funnel exists without this</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 (SMS provider integration, rate limiting)</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5</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24h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1 + Mobile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SMS/OTP provider contract signed (Sprint 0)</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1 AC (4 criteria)</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Code merged, unit+integration tests passing, OpenAPI updated, deployed to staging,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SMS provider sandbox credentials available; UX mockup approved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 — SMS deliverability on Egyptian carriers unverified until Sprint 0 spike</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1</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manual test on 3 carriers</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API docs, runbook for OTP provider outage</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Secrets Manager entry for provider API key</w:t>
            </w:r>
          </w:p>
        </w:tc>
      </w:tr>
    </w:tbl>
    <w:p>
      <w:pPr>
        <w:spacing w:after="60" w:before="160"/>
      </w:pPr>
      <w:r>
        <w:rPr>
          <w:b/>
          <w:bCs/>
          <w:color w:val="1F2A44"/>
          <w:sz w:val="20"/>
          <w:szCs w:val="20"/>
        </w:rPr>
        <w:t xml:space="preserve">TJ-002 — Consumer Profile Setup</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EPIC-02</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F-02</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High — enables all targeting/segmentation</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3</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14h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Mobile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TJ-001</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2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staging-deployed,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Field list and consent copy legally reviewed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1</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Data-dictionary entry</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TJ-005 — QR Redemption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EPIC-04</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F-05</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the fraud-control point of the entire product</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High (uniqueness guarantees, offline queue, concurrency at high-traffic locations)</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13</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56h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2 + Mobile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TJ-020 (Campaign Config &amp; Approval, for QR batch source)</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5 AC (3 criteria) + WBS Task breakdown (Section 1)</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Load-tested to 50 concurrent redemptions/location, merged,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Campaign Config feature reaches "QR batch generated" state in staging</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High — concurrency bugs here directly corrupt brand-facing data quality</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2</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load test, offline-sync manual test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Runbook: QR dispute resolution for field staff</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Feature-flagged rollout</w:t>
            </w:r>
          </w:p>
        </w:tc>
      </w:tr>
    </w:tbl>
    <w:p>
      <w:pPr>
        <w:spacing w:after="60" w:before="160"/>
      </w:pPr>
      <w:r>
        <w:rPr>
          <w:b/>
          <w:bCs/>
          <w:color w:val="1F2A44"/>
          <w:sz w:val="20"/>
          <w:szCs w:val="20"/>
        </w:rPr>
        <w:t xml:space="preserve">TJ-006 — Post-Trial Survey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EPIC-05</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F-06</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this is the product</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8</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36h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1 + Mobile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TJ-005</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6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demoed with a real 5-question campaign</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Survey schema data model finalized (depends on TJ-013)</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 — abandonment-rate handling needs product sign-off before build</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2</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A/B test harness for question count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Analytics event dictionary</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TJ-004 — Push Notification — New Campaign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EPIC-07</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F-04</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High — primary redemption-volume driver</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 (targeting logic, frequency capping)</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8</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32h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2</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TJ-002, TJ-013</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4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against 2+ overlapping campaigns without duplicate spam,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Push provider (FCM/APNs) and WhatsApp BSP contracts active</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 — WhatsApp BSP approval timelines are outside engineering's control</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3</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manual multi-campaign overlap test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Runbook: notification-provider outage fallback</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Secrets for FCM/APNs/WhatsApp BSP</w:t>
            </w:r>
          </w:p>
        </w:tc>
      </w:tr>
    </w:tbl>
    <w:p>
      <w:pPr>
        <w:spacing w:after="60" w:before="160"/>
      </w:pPr>
      <w:r>
        <w:rPr>
          <w:b/>
          <w:bCs/>
          <w:color w:val="1F2A44"/>
          <w:sz w:val="20"/>
          <w:szCs w:val="20"/>
        </w:rPr>
        <w:t xml:space="preserve">TJ-008 — Consent &amp; Privacy Center</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EPIC-09</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F-08</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FDD non-negotiable, removes top legal risk</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 (data export, cross-table anonymization on deletion)</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8</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36h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1</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Legal sign-off on deletion SLA (Sprint 0)</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8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Legal-reviewed, merged, tested, demoed with a full delete-and-verify cycle</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Counsel confirms PDPL deletion-timeframe requirement</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High — cannot launch MVP without this; legal dependency, not engineering</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1 (start), Sprint 3 (complete)</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manual legal-acceptance test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PDPL compliance evidence pack</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TJ-013 — Campaign Creation Wizard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EPIC-03</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F-13</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the revenue-triggering event</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Medium-High (state machine, validation, low-reach warning logic)</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13</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52h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Frontend Eng (Next.js) + Backend Eng 2</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TJ-012 (Brand Onboarding)</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13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demoed end-to-end from submission to Ops queue</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Campaign state machine confirmed against Technical Architecture Phase 4</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2–3</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E2E (Playwright)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Brand-facing help copy</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TJ-014 — Live Campaign Monitoring</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EPIC-06</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F-14</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High — drives renewal by showing value mid-campaign</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 (near-real-time data via SQS events)</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8</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32h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Frontend Eng (Next.js) + Backend Eng 1</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TJ-005, TJ-006</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14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sub-5-minute data latency confirmed,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SQS event schema finalized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4</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latency test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None beyond OpenAPI</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TJ-015 — Basic Analytics Report + CSV Export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EPIC-06</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F-15</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the deliverable brands are paying for</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 (PII exclusion logic, low-confidence-segment flagging)</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8</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36h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2</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TJ-006</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15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privacy-reviewed, tested, demoed on a completed pilot campaign</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Privacy review of export format complete</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 — data-quality bugs here directly damage brand trust</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4</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privacy-compliance manual test</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Report methodology one-pager for brand clients</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TJ-020 — Campaign Configuration &amp; Approval (Admin)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EPIC-04</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F-20</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Critical — controls fulfillment SLA achievability</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Medium-High (multi-location assignment logic)</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13</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48h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1 + Frontend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TJ-013</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20 AC</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against a 3+ location campaign, demoed</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Retail-partner location data model finalized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Medium</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2</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 multi-location E2E</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Ops runbook for manual override</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pPr>
        <w:spacing w:after="60" w:before="160"/>
      </w:pPr>
      <w:r>
        <w:rPr>
          <w:b/>
          <w:bCs/>
          <w:color w:val="1F2A44"/>
          <w:sz w:val="20"/>
          <w:szCs w:val="20"/>
        </w:rPr>
        <w:t xml:space="preserve">TJ-012 — Brand Account Onboarding (Sales-assisted)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EPIC-03</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F-12</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High — gate to all brand-side revenue</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5</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20h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2</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TJ-001 (auth foundation)</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Per Master PRD Feature 12 (implicit AC: invite flow, first-login)</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demoed with a real internal test brand account</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Email invite copy approved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1</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CS runbook for manual account creation</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SES/SendGrid configured</w:t>
            </w:r>
          </w:p>
        </w:tc>
      </w:tr>
    </w:tbl>
    <w:p>
      <w:pPr>
        <w:spacing w:after="60" w:before="160"/>
      </w:pPr>
      <w:r>
        <w:rPr>
          <w:b/>
          <w:bCs/>
          <w:color w:val="1F2A44"/>
          <w:sz w:val="20"/>
          <w:szCs w:val="20"/>
        </w:rPr>
        <w:t xml:space="preserve">TJ-022 — Support Ticket Management (Internal)</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150"/>
            <w:shd w:fill="1F2A44" w:val="clear"/>
            <w:tcMar>
              <w:top w:type="dxa" w:w="70"/>
              <w:left w:type="dxa" w:w="90"/>
              <w:bottom w:type="dxa" w:w="70"/>
              <w:right w:type="dxa" w:w="90"/>
            </w:tcMar>
            <w:vAlign w:val="center"/>
          </w:tcPr>
          <w:p>
            <w:r>
              <w:rPr>
                <w:b/>
                <w:bCs/>
                <w:color w:val="FFFFFF"/>
                <w:sz w:val="15"/>
                <w:szCs w:val="15"/>
              </w:rPr>
              <w:t xml:space="preserve">Value</w:t>
            </w:r>
          </w:p>
        </w:tc>
      </w:tr>
      <w:tr>
        <w:tc>
          <w:tcPr>
            <w:tcW w:type="dxa" w:w="2200"/>
            <w:shd w:fill="FFFFFF" w:val="clear"/>
            <w:tcMar>
              <w:top w:type="dxa" w:w="55"/>
              <w:left w:type="dxa" w:w="80"/>
              <w:bottom w:type="dxa" w:w="55"/>
              <w:right w:type="dxa" w:w="80"/>
            </w:tcMar>
            <w:vAlign w:val="center"/>
          </w:tcPr>
          <w:p>
            <w:r>
              <w:rPr>
                <w:sz w:val="15"/>
                <w:szCs w:val="15"/>
              </w:rPr>
              <w:t xml:space="preserve">Epic</w:t>
            </w:r>
          </w:p>
        </w:tc>
        <w:tc>
          <w:tcPr>
            <w:tcW w:type="dxa" w:w="7150"/>
            <w:shd w:fill="FFFFFF" w:val="clear"/>
            <w:tcMar>
              <w:top w:type="dxa" w:w="55"/>
              <w:left w:type="dxa" w:w="80"/>
              <w:bottom w:type="dxa" w:w="55"/>
              <w:right w:type="dxa" w:w="80"/>
            </w:tcMar>
            <w:vAlign w:val="center"/>
          </w:tcPr>
          <w:p>
            <w:r>
              <w:rPr>
                <w:sz w:val="15"/>
                <w:szCs w:val="15"/>
              </w:rPr>
              <w:t xml:space="preserve">EPIC-08</w:t>
            </w:r>
          </w:p>
        </w:tc>
      </w:tr>
      <w:tr>
        <w:tc>
          <w:tcPr>
            <w:tcW w:type="dxa" w:w="2200"/>
            <w:shd w:fill="F2F2F2" w:val="clear"/>
            <w:tcMar>
              <w:top w:type="dxa" w:w="55"/>
              <w:left w:type="dxa" w:w="80"/>
              <w:bottom w:type="dxa" w:w="55"/>
              <w:right w:type="dxa" w:w="80"/>
            </w:tcMar>
            <w:vAlign w:val="center"/>
          </w:tcPr>
          <w:p>
            <w:r>
              <w:rPr>
                <w:sz w:val="15"/>
                <w:szCs w:val="15"/>
              </w:rPr>
              <w:t xml:space="preserve">Feature</w:t>
            </w:r>
          </w:p>
        </w:tc>
        <w:tc>
          <w:tcPr>
            <w:tcW w:type="dxa" w:w="7150"/>
            <w:shd w:fill="F2F2F2" w:val="clear"/>
            <w:tcMar>
              <w:top w:type="dxa" w:w="55"/>
              <w:left w:type="dxa" w:w="80"/>
              <w:bottom w:type="dxa" w:w="55"/>
              <w:right w:type="dxa" w:w="80"/>
            </w:tcMar>
            <w:vAlign w:val="center"/>
          </w:tcPr>
          <w:p>
            <w:r>
              <w:rPr>
                <w:sz w:val="15"/>
                <w:szCs w:val="15"/>
              </w:rPr>
              <w:t xml:space="preserve">F-22</w:t>
            </w:r>
          </w:p>
        </w:tc>
      </w:tr>
      <w:tr>
        <w:tc>
          <w:tcPr>
            <w:tcW w:type="dxa" w:w="2200"/>
            <w:shd w:fill="FFFFFF" w:val="clear"/>
            <w:tcMar>
              <w:top w:type="dxa" w:w="55"/>
              <w:left w:type="dxa" w:w="80"/>
              <w:bottom w:type="dxa" w:w="55"/>
              <w:right w:type="dxa" w:w="80"/>
            </w:tcMar>
            <w:vAlign w:val="center"/>
          </w:tcPr>
          <w:p>
            <w:r>
              <w:rPr>
                <w:sz w:val="15"/>
                <w:szCs w:val="15"/>
              </w:rPr>
              <w:t xml:space="preserve">Priority</w:t>
            </w:r>
          </w:p>
        </w:tc>
        <w:tc>
          <w:tcPr>
            <w:tcW w:type="dxa" w:w="7150"/>
            <w:shd w:fill="FFFFFF" w:val="clear"/>
            <w:tcMar>
              <w:top w:type="dxa" w:w="55"/>
              <w:left w:type="dxa" w:w="80"/>
              <w:bottom w:type="dxa" w:w="55"/>
              <w:right w:type="dxa" w:w="80"/>
            </w:tcMar>
            <w:vAlign w:val="center"/>
          </w:tcPr>
          <w:p>
            <w:r>
              <w:rPr>
                <w:sz w:val="15"/>
                <w:szCs w:val="15"/>
              </w:rPr>
              <w:t xml:space="preserve">P0</w:t>
            </w:r>
          </w:p>
        </w:tc>
      </w:tr>
      <w:tr>
        <w:tc>
          <w:tcPr>
            <w:tcW w:type="dxa" w:w="2200"/>
            <w:shd w:fill="F2F2F2" w:val="clear"/>
            <w:tcMar>
              <w:top w:type="dxa" w:w="55"/>
              <w:left w:type="dxa" w:w="80"/>
              <w:bottom w:type="dxa" w:w="55"/>
              <w:right w:type="dxa" w:w="80"/>
            </w:tcMar>
            <w:vAlign w:val="center"/>
          </w:tcPr>
          <w:p>
            <w:r>
              <w:rPr>
                <w:sz w:val="15"/>
                <w:szCs w:val="15"/>
              </w:rPr>
              <w:t xml:space="preserve">Business Value</w:t>
            </w:r>
          </w:p>
        </w:tc>
        <w:tc>
          <w:tcPr>
            <w:tcW w:type="dxa" w:w="7150"/>
            <w:shd w:fill="F2F2F2" w:val="clear"/>
            <w:tcMar>
              <w:top w:type="dxa" w:w="55"/>
              <w:left w:type="dxa" w:w="80"/>
              <w:bottom w:type="dxa" w:w="55"/>
              <w:right w:type="dxa" w:w="80"/>
            </w:tcMar>
            <w:vAlign w:val="center"/>
          </w:tcPr>
          <w:p>
            <w:r>
              <w:rPr>
                <w:sz w:val="15"/>
                <w:szCs w:val="15"/>
              </w:rPr>
              <w:t xml:space="preserve">Medium — required before any real users touch the product</w:t>
            </w:r>
          </w:p>
        </w:tc>
      </w:tr>
      <w:tr>
        <w:tc>
          <w:tcPr>
            <w:tcW w:type="dxa" w:w="2200"/>
            <w:shd w:fill="FFFFFF" w:val="clear"/>
            <w:tcMar>
              <w:top w:type="dxa" w:w="55"/>
              <w:left w:type="dxa" w:w="80"/>
              <w:bottom w:type="dxa" w:w="55"/>
              <w:right w:type="dxa" w:w="80"/>
            </w:tcMar>
            <w:vAlign w:val="center"/>
          </w:tcPr>
          <w:p>
            <w:r>
              <w:rPr>
                <w:sz w:val="15"/>
                <w:szCs w:val="15"/>
              </w:rPr>
              <w:t xml:space="preserve">Technical Complexity</w:t>
            </w:r>
          </w:p>
        </w:tc>
        <w:tc>
          <w:tcPr>
            <w:tcW w:type="dxa" w:w="7150"/>
            <w:shd w:fill="FFFFFF" w:val="clear"/>
            <w:tcMar>
              <w:top w:type="dxa" w:w="55"/>
              <w:left w:type="dxa" w:w="80"/>
              <w:bottom w:type="dxa" w:w="55"/>
              <w:right w:type="dxa" w:w="80"/>
            </w:tcMar>
            <w:vAlign w:val="center"/>
          </w:tcPr>
          <w:p>
            <w:r>
              <w:rPr>
                <w:sz w:val="15"/>
                <w:szCs w:val="15"/>
              </w:rPr>
              <w:t xml:space="preserve">Low-Medium</w:t>
            </w:r>
          </w:p>
        </w:tc>
      </w:tr>
      <w:tr>
        <w:tc>
          <w:tcPr>
            <w:tcW w:type="dxa" w:w="2200"/>
            <w:shd w:fill="F2F2F2" w:val="clear"/>
            <w:tcMar>
              <w:top w:type="dxa" w:w="55"/>
              <w:left w:type="dxa" w:w="80"/>
              <w:bottom w:type="dxa" w:w="55"/>
              <w:right w:type="dxa" w:w="80"/>
            </w:tcMar>
            <w:vAlign w:val="center"/>
          </w:tcPr>
          <w:p>
            <w:r>
              <w:rPr>
                <w:sz w:val="15"/>
                <w:szCs w:val="15"/>
              </w:rPr>
              <w:t xml:space="preserve">Story Points</w:t>
            </w:r>
          </w:p>
        </w:tc>
        <w:tc>
          <w:tcPr>
            <w:tcW w:type="dxa" w:w="7150"/>
            <w:shd w:fill="F2F2F2" w:val="clear"/>
            <w:tcMar>
              <w:top w:type="dxa" w:w="55"/>
              <w:left w:type="dxa" w:w="80"/>
              <w:bottom w:type="dxa" w:w="55"/>
              <w:right w:type="dxa" w:w="80"/>
            </w:tcMar>
            <w:vAlign w:val="center"/>
          </w:tcPr>
          <w:p>
            <w:r>
              <w:rPr>
                <w:sz w:val="15"/>
                <w:szCs w:val="15"/>
              </w:rPr>
              <w:t xml:space="preserve">5</w:t>
            </w:r>
          </w:p>
        </w:tc>
      </w:tr>
      <w:tr>
        <w:tc>
          <w:tcPr>
            <w:tcW w:type="dxa" w:w="2200"/>
            <w:shd w:fill="FFFFFF" w:val="clear"/>
            <w:tcMar>
              <w:top w:type="dxa" w:w="55"/>
              <w:left w:type="dxa" w:w="80"/>
              <w:bottom w:type="dxa" w:w="55"/>
              <w:right w:type="dxa" w:w="80"/>
            </w:tcMar>
            <w:vAlign w:val="center"/>
          </w:tcPr>
          <w:p>
            <w:r>
              <w:rPr>
                <w:sz w:val="15"/>
                <w:szCs w:val="15"/>
              </w:rPr>
              <w:t xml:space="preserve">Estimated Hours</w:t>
            </w:r>
          </w:p>
        </w:tc>
        <w:tc>
          <w:tcPr>
            <w:tcW w:type="dxa" w:w="7150"/>
            <w:shd w:fill="FFFFFF" w:val="clear"/>
            <w:tcMar>
              <w:top w:type="dxa" w:w="55"/>
              <w:left w:type="dxa" w:w="80"/>
              <w:bottom w:type="dxa" w:w="55"/>
              <w:right w:type="dxa" w:w="80"/>
            </w:tcMar>
            <w:vAlign w:val="center"/>
          </w:tcPr>
          <w:p>
            <w:r>
              <w:rPr>
                <w:sz w:val="15"/>
                <w:szCs w:val="15"/>
              </w:rPr>
              <w:t xml:space="preserve">22h</w:t>
            </w:r>
          </w:p>
        </w:tc>
      </w:tr>
      <w:tr>
        <w:tc>
          <w:tcPr>
            <w:tcW w:type="dxa" w:w="2200"/>
            <w:shd w:fill="F2F2F2" w:val="clear"/>
            <w:tcMar>
              <w:top w:type="dxa" w:w="55"/>
              <w:left w:type="dxa" w:w="80"/>
              <w:bottom w:type="dxa" w:w="55"/>
              <w:right w:type="dxa" w:w="80"/>
            </w:tcMar>
            <w:vAlign w:val="center"/>
          </w:tcPr>
          <w:p>
            <w:r>
              <w:rPr>
                <w:sz w:val="15"/>
                <w:szCs w:val="15"/>
              </w:rPr>
              <w:t xml:space="preserve">Owner</w:t>
            </w:r>
          </w:p>
        </w:tc>
        <w:tc>
          <w:tcPr>
            <w:tcW w:type="dxa" w:w="7150"/>
            <w:shd w:fill="F2F2F2" w:val="clear"/>
            <w:tcMar>
              <w:top w:type="dxa" w:w="55"/>
              <w:left w:type="dxa" w:w="80"/>
              <w:bottom w:type="dxa" w:w="55"/>
              <w:right w:type="dxa" w:w="80"/>
            </w:tcMar>
            <w:vAlign w:val="center"/>
          </w:tcPr>
          <w:p>
            <w:r>
              <w:rPr>
                <w:sz w:val="15"/>
                <w:szCs w:val="15"/>
              </w:rPr>
              <w:t xml:space="preserve">Backend Eng 2 + Frontend Eng</w:t>
            </w:r>
          </w:p>
        </w:tc>
      </w:tr>
      <w:tr>
        <w:tc>
          <w:tcPr>
            <w:tcW w:type="dxa" w:w="2200"/>
            <w:shd w:fill="FFFFFF" w:val="clear"/>
            <w:tcMar>
              <w:top w:type="dxa" w:w="55"/>
              <w:left w:type="dxa" w:w="80"/>
              <w:bottom w:type="dxa" w:w="55"/>
              <w:right w:type="dxa" w:w="80"/>
            </w:tcMar>
            <w:vAlign w:val="center"/>
          </w:tcPr>
          <w:p>
            <w:r>
              <w:rPr>
                <w:sz w:val="15"/>
                <w:szCs w:val="15"/>
              </w:rPr>
              <w:t xml:space="preserve">Dependencies</w:t>
            </w:r>
          </w:p>
        </w:tc>
        <w:tc>
          <w:tcPr>
            <w:tcW w:type="dxa" w:w="7150"/>
            <w:shd w:fill="FFFFFF" w:val="clear"/>
            <w:tcMar>
              <w:top w:type="dxa" w:w="55"/>
              <w:left w:type="dxa" w:w="80"/>
              <w:bottom w:type="dxa" w:w="55"/>
              <w:right w:type="dxa" w:w="80"/>
            </w:tcMar>
            <w:vAlign w:val="center"/>
          </w:tcPr>
          <w:p>
            <w:r>
              <w:rPr>
                <w:sz w:val="15"/>
                <w:szCs w:val="15"/>
              </w:rPr>
              <w:t xml:space="preserve">TJ-007 (Consumer Support submission)</w:t>
            </w:r>
          </w:p>
        </w:tc>
      </w:tr>
      <w:tr>
        <w:tc>
          <w:tcPr>
            <w:tcW w:type="dxa" w:w="2200"/>
            <w:shd w:fill="F2F2F2" w:val="clear"/>
            <w:tcMar>
              <w:top w:type="dxa" w:w="55"/>
              <w:left w:type="dxa" w:w="80"/>
              <w:bottom w:type="dxa" w:w="55"/>
              <w:right w:type="dxa" w:w="80"/>
            </w:tcMar>
            <w:vAlign w:val="center"/>
          </w:tcPr>
          <w:p>
            <w:r>
              <w:rPr>
                <w:sz w:val="15"/>
                <w:szCs w:val="15"/>
              </w:rPr>
              <w:t xml:space="preserve">Acceptance Criteria</w:t>
            </w:r>
          </w:p>
        </w:tc>
        <w:tc>
          <w:tcPr>
            <w:tcW w:type="dxa" w:w="7150"/>
            <w:shd w:fill="F2F2F2" w:val="clear"/>
            <w:tcMar>
              <w:top w:type="dxa" w:w="55"/>
              <w:left w:type="dxa" w:w="80"/>
              <w:bottom w:type="dxa" w:w="55"/>
              <w:right w:type="dxa" w:w="80"/>
            </w:tcMar>
            <w:vAlign w:val="center"/>
          </w:tcPr>
          <w:p>
            <w:r>
              <w:rPr>
                <w:sz w:val="15"/>
                <w:szCs w:val="15"/>
              </w:rPr>
              <w:t xml:space="preserve">Ticket create/triage/resolve/escalate flow functions per Master PRD Support process</w:t>
            </w:r>
          </w:p>
        </w:tc>
      </w:tr>
      <w:tr>
        <w:tc>
          <w:tcPr>
            <w:tcW w:type="dxa" w:w="2200"/>
            <w:shd w:fill="FFFFFF" w:val="clear"/>
            <w:tcMar>
              <w:top w:type="dxa" w:w="55"/>
              <w:left w:type="dxa" w:w="80"/>
              <w:bottom w:type="dxa" w:w="55"/>
              <w:right w:type="dxa" w:w="80"/>
            </w:tcMar>
            <w:vAlign w:val="center"/>
          </w:tcPr>
          <w:p>
            <w:r>
              <w:rPr>
                <w:sz w:val="15"/>
                <w:szCs w:val="15"/>
              </w:rPr>
              <w:t xml:space="preserve">Definition of Done</w:t>
            </w:r>
          </w:p>
        </w:tc>
        <w:tc>
          <w:tcPr>
            <w:tcW w:type="dxa" w:w="7150"/>
            <w:shd w:fill="FFFFFF" w:val="clear"/>
            <w:tcMar>
              <w:top w:type="dxa" w:w="55"/>
              <w:left w:type="dxa" w:w="80"/>
              <w:bottom w:type="dxa" w:w="55"/>
              <w:right w:type="dxa" w:w="80"/>
            </w:tcMar>
            <w:vAlign w:val="center"/>
          </w:tcPr>
          <w:p>
            <w:r>
              <w:rPr>
                <w:sz w:val="15"/>
                <w:szCs w:val="15"/>
              </w:rPr>
              <w:t xml:space="preserve">Merged, tested, demoed with a simulated ticket</w:t>
            </w:r>
          </w:p>
        </w:tc>
      </w:tr>
      <w:tr>
        <w:tc>
          <w:tcPr>
            <w:tcW w:type="dxa" w:w="2200"/>
            <w:shd w:fill="F2F2F2" w:val="clear"/>
            <w:tcMar>
              <w:top w:type="dxa" w:w="55"/>
              <w:left w:type="dxa" w:w="80"/>
              <w:bottom w:type="dxa" w:w="55"/>
              <w:right w:type="dxa" w:w="80"/>
            </w:tcMar>
            <w:vAlign w:val="center"/>
          </w:tcPr>
          <w:p>
            <w:r>
              <w:rPr>
                <w:sz w:val="15"/>
                <w:szCs w:val="15"/>
              </w:rPr>
              <w:t xml:space="preserve">Definition of Ready</w:t>
            </w:r>
          </w:p>
        </w:tc>
        <w:tc>
          <w:tcPr>
            <w:tcW w:type="dxa" w:w="7150"/>
            <w:shd w:fill="F2F2F2" w:val="clear"/>
            <w:tcMar>
              <w:top w:type="dxa" w:w="55"/>
              <w:left w:type="dxa" w:w="80"/>
              <w:bottom w:type="dxa" w:w="55"/>
              <w:right w:type="dxa" w:w="80"/>
            </w:tcMar>
            <w:vAlign w:val="center"/>
          </w:tcPr>
          <w:p>
            <w:r>
              <w:rPr>
                <w:sz w:val="15"/>
                <w:szCs w:val="15"/>
              </w:rPr>
              <w:t xml:space="preserve">Support Agent role permissions finalized</w:t>
            </w:r>
          </w:p>
        </w:tc>
      </w:tr>
      <w:tr>
        <w:tc>
          <w:tcPr>
            <w:tcW w:type="dxa" w:w="2200"/>
            <w:shd w:fill="FFFFFF" w:val="clear"/>
            <w:tcMar>
              <w:top w:type="dxa" w:w="55"/>
              <w:left w:type="dxa" w:w="80"/>
              <w:bottom w:type="dxa" w:w="55"/>
              <w:right w:type="dxa" w:w="80"/>
            </w:tcMar>
            <w:vAlign w:val="center"/>
          </w:tcPr>
          <w:p>
            <w:r>
              <w:rPr>
                <w:sz w:val="15"/>
                <w:szCs w:val="15"/>
              </w:rPr>
              <w:t xml:space="preserve">Risk Level</w:t>
            </w:r>
          </w:p>
        </w:tc>
        <w:tc>
          <w:tcPr>
            <w:tcW w:type="dxa" w:w="7150"/>
            <w:shd w:fill="FFFFFF" w:val="clear"/>
            <w:tcMar>
              <w:top w:type="dxa" w:w="55"/>
              <w:left w:type="dxa" w:w="80"/>
              <w:bottom w:type="dxa" w:w="55"/>
              <w:right w:type="dxa" w:w="80"/>
            </w:tcMar>
            <w:vAlign w:val="center"/>
          </w:tcPr>
          <w:p>
            <w:r>
              <w:rPr>
                <w:sz w:val="15"/>
                <w:szCs w:val="15"/>
              </w:rPr>
              <w:t xml:space="preserve">Low</w:t>
            </w:r>
          </w:p>
        </w:tc>
      </w:tr>
      <w:tr>
        <w:tc>
          <w:tcPr>
            <w:tcW w:type="dxa" w:w="2200"/>
            <w:shd w:fill="F2F2F2" w:val="clear"/>
            <w:tcMar>
              <w:top w:type="dxa" w:w="55"/>
              <w:left w:type="dxa" w:w="80"/>
              <w:bottom w:type="dxa" w:w="55"/>
              <w:right w:type="dxa" w:w="80"/>
            </w:tcMar>
            <w:vAlign w:val="center"/>
          </w:tcPr>
          <w:p>
            <w:r>
              <w:rPr>
                <w:sz w:val="15"/>
                <w:szCs w:val="15"/>
              </w:rPr>
              <w:t xml:space="preserve">Release Version</w:t>
            </w:r>
          </w:p>
        </w:tc>
        <w:tc>
          <w:tcPr>
            <w:tcW w:type="dxa" w:w="7150"/>
            <w:shd w:fill="F2F2F2" w:val="clear"/>
            <w:tcMar>
              <w:top w:type="dxa" w:w="55"/>
              <w:left w:type="dxa" w:w="80"/>
              <w:bottom w:type="dxa" w:w="55"/>
              <w:right w:type="dxa" w:w="80"/>
            </w:tcMar>
            <w:vAlign w:val="center"/>
          </w:tcPr>
          <w:p>
            <w:r>
              <w:rPr>
                <w:sz w:val="15"/>
                <w:szCs w:val="15"/>
              </w:rPr>
              <w:t xml:space="preserve">MVP</w:t>
            </w:r>
          </w:p>
        </w:tc>
      </w:tr>
      <w:tr>
        <w:tc>
          <w:tcPr>
            <w:tcW w:type="dxa" w:w="2200"/>
            <w:shd w:fill="FFFFFF" w:val="clear"/>
            <w:tcMar>
              <w:top w:type="dxa" w:w="55"/>
              <w:left w:type="dxa" w:w="80"/>
              <w:bottom w:type="dxa" w:w="55"/>
              <w:right w:type="dxa" w:w="80"/>
            </w:tcMar>
            <w:vAlign w:val="center"/>
          </w:tcPr>
          <w:p>
            <w:r>
              <w:rPr>
                <w:sz w:val="15"/>
                <w:szCs w:val="15"/>
              </w:rPr>
              <w:t xml:space="preserve">Sprint Assignment</w:t>
            </w:r>
          </w:p>
        </w:tc>
        <w:tc>
          <w:tcPr>
            <w:tcW w:type="dxa" w:w="7150"/>
            <w:shd w:fill="FFFFFF" w:val="clear"/>
            <w:tcMar>
              <w:top w:type="dxa" w:w="55"/>
              <w:left w:type="dxa" w:w="80"/>
              <w:bottom w:type="dxa" w:w="55"/>
              <w:right w:type="dxa" w:w="80"/>
            </w:tcMar>
            <w:vAlign w:val="center"/>
          </w:tcPr>
          <w:p>
            <w:r>
              <w:rPr>
                <w:sz w:val="15"/>
                <w:szCs w:val="15"/>
              </w:rPr>
              <w:t xml:space="preserve">Sprint 4</w:t>
            </w:r>
          </w:p>
        </w:tc>
      </w:tr>
      <w:tr>
        <w:tc>
          <w:tcPr>
            <w:tcW w:type="dxa" w:w="2200"/>
            <w:shd w:fill="F2F2F2" w:val="clear"/>
            <w:tcMar>
              <w:top w:type="dxa" w:w="55"/>
              <w:left w:type="dxa" w:w="80"/>
              <w:bottom w:type="dxa" w:w="55"/>
              <w:right w:type="dxa" w:w="80"/>
            </w:tcMar>
            <w:vAlign w:val="center"/>
          </w:tcPr>
          <w:p>
            <w:r>
              <w:rPr>
                <w:sz w:val="15"/>
                <w:szCs w:val="15"/>
              </w:rPr>
              <w:t xml:space="preserve">Testing Requirements</w:t>
            </w:r>
          </w:p>
        </w:tc>
        <w:tc>
          <w:tcPr>
            <w:tcW w:type="dxa" w:w="7150"/>
            <w:shd w:fill="F2F2F2" w:val="clear"/>
            <w:tcMar>
              <w:top w:type="dxa" w:w="55"/>
              <w:left w:type="dxa" w:w="80"/>
              <w:bottom w:type="dxa" w:w="55"/>
              <w:right w:type="dxa" w:w="80"/>
            </w:tcMar>
            <w:vAlign w:val="center"/>
          </w:tcPr>
          <w:p>
            <w:r>
              <w:rPr>
                <w:sz w:val="15"/>
                <w:szCs w:val="15"/>
              </w:rPr>
              <w:t xml:space="preserve">Unit, integration</w:t>
            </w:r>
          </w:p>
        </w:tc>
      </w:tr>
      <w:tr>
        <w:tc>
          <w:tcPr>
            <w:tcW w:type="dxa" w:w="2200"/>
            <w:shd w:fill="FFFFFF" w:val="clear"/>
            <w:tcMar>
              <w:top w:type="dxa" w:w="55"/>
              <w:left w:type="dxa" w:w="80"/>
              <w:bottom w:type="dxa" w:w="55"/>
              <w:right w:type="dxa" w:w="80"/>
            </w:tcMar>
            <w:vAlign w:val="center"/>
          </w:tcPr>
          <w:p>
            <w:r>
              <w:rPr>
                <w:sz w:val="15"/>
                <w:szCs w:val="15"/>
              </w:rPr>
              <w:t xml:space="preserve">Documentation Requirements</w:t>
            </w:r>
          </w:p>
        </w:tc>
        <w:tc>
          <w:tcPr>
            <w:tcW w:type="dxa" w:w="7150"/>
            <w:shd w:fill="FFFFFF" w:val="clear"/>
            <w:tcMar>
              <w:top w:type="dxa" w:w="55"/>
              <w:left w:type="dxa" w:w="80"/>
              <w:bottom w:type="dxa" w:w="55"/>
              <w:right w:type="dxa" w:w="80"/>
            </w:tcMar>
            <w:vAlign w:val="center"/>
          </w:tcPr>
          <w:p>
            <w:r>
              <w:rPr>
                <w:sz w:val="15"/>
                <w:szCs w:val="15"/>
              </w:rPr>
              <w:t xml:space="preserve">Support Agent onboarding guide</w:t>
            </w:r>
          </w:p>
        </w:tc>
      </w:tr>
      <w:tr>
        <w:tc>
          <w:tcPr>
            <w:tcW w:type="dxa" w:w="2200"/>
            <w:shd w:fill="F2F2F2" w:val="clear"/>
            <w:tcMar>
              <w:top w:type="dxa" w:w="55"/>
              <w:left w:type="dxa" w:w="80"/>
              <w:bottom w:type="dxa" w:w="55"/>
              <w:right w:type="dxa" w:w="80"/>
            </w:tcMar>
            <w:vAlign w:val="center"/>
          </w:tcPr>
          <w:p>
            <w:r>
              <w:rPr>
                <w:sz w:val="15"/>
                <w:szCs w:val="15"/>
              </w:rPr>
              <w:t xml:space="preserve">Deployment Requirements</w:t>
            </w:r>
          </w:p>
        </w:tc>
        <w:tc>
          <w:tcPr>
            <w:tcW w:type="dxa" w:w="7150"/>
            <w:shd w:fill="F2F2F2" w:val="clear"/>
            <w:tcMar>
              <w:top w:type="dxa" w:w="55"/>
              <w:left w:type="dxa" w:w="80"/>
              <w:bottom w:type="dxa" w:w="55"/>
              <w:right w:type="dxa" w:w="80"/>
            </w:tcMar>
            <w:vAlign w:val="center"/>
          </w:tcPr>
          <w:p>
            <w:r>
              <w:rPr>
                <w:sz w:val="15"/>
                <w:szCs w:val="15"/>
              </w:rPr>
              <w:t xml:space="preserve">None beyond standard pipeline</w:t>
            </w:r>
          </w:p>
        </w:tc>
      </w:tr>
    </w:tbl>
    <w:p>
      <w:r>
        <w:br w:type="page"/>
      </w:r>
    </w:p>
    <w:p>
      <w:pPr>
        <w:pStyle w:val="Heading2"/>
        <w:spacing w:after="120" w:before="240"/>
      </w:pPr>
      <w:r>
        <w:rPr>
          <w:b/>
          <w:bCs/>
          <w:color w:val="1F2A44"/>
          <w:sz w:val="22"/>
          <w:szCs w:val="22"/>
        </w:rPr>
        <w:t xml:space="preserve">Remaining Backlog (Summary Form)</w:t>
      </w:r>
    </w:p>
    <w:p>
      <w:pPr>
        <w:spacing w:after="110" w:line="260"/>
      </w:pPr>
      <w:r>
        <w:rPr>
          <w:sz w:val="19"/>
          <w:szCs w:val="19"/>
        </w:rPr>
        <w:t xml:space="preserve">Groomed to full 20-field detail one sprint before build, per FDD Budget Philosophy ("no headcount/work committed before it's needed").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2800"/>
        <w:gridCol w:w="1000"/>
        <w:gridCol w:w="900"/>
        <w:gridCol w:w="1400"/>
        <w:gridCol w:w="1950"/>
      </w:tblGrid>
      <w:tr>
        <w:trPr>
          <w:tblHeader/>
        </w:trPr>
        <w:tc>
          <w:tcPr>
            <w:tcW w:type="dxa" w:w="1300"/>
            <w:shd w:fill="1F2A44" w:val="clear"/>
            <w:tcMar>
              <w:top w:type="dxa" w:w="70"/>
              <w:left w:type="dxa" w:w="90"/>
              <w:bottom w:type="dxa" w:w="70"/>
              <w:right w:type="dxa" w:w="90"/>
            </w:tcMar>
            <w:vAlign w:val="center"/>
          </w:tcPr>
          <w:p>
            <w:r>
              <w:rPr>
                <w:b/>
                <w:bCs/>
                <w:color w:val="FFFFFF"/>
                <w:sz w:val="15"/>
                <w:szCs w:val="15"/>
              </w:rPr>
              <w:t xml:space="preserve">ID</w:t>
            </w:r>
          </w:p>
        </w:tc>
        <w:tc>
          <w:tcPr>
            <w:tcW w:type="dxa" w:w="2800"/>
            <w:shd w:fill="1F2A44" w:val="clear"/>
            <w:tcMar>
              <w:top w:type="dxa" w:w="70"/>
              <w:left w:type="dxa" w:w="90"/>
              <w:bottom w:type="dxa" w:w="70"/>
              <w:right w:type="dxa" w:w="90"/>
            </w:tcMar>
            <w:vAlign w:val="center"/>
          </w:tcPr>
          <w:p>
            <w:r>
              <w:rPr>
                <w:b/>
                <w:bCs/>
                <w:color w:val="FFFFFF"/>
                <w:sz w:val="15"/>
                <w:szCs w:val="15"/>
              </w:rPr>
              <w:t xml:space="preserve">Title</w:t>
            </w:r>
          </w:p>
        </w:tc>
        <w:tc>
          <w:tcPr>
            <w:tcW w:type="dxa" w:w="1000"/>
            <w:shd w:fill="1F2A44" w:val="clear"/>
            <w:tcMar>
              <w:top w:type="dxa" w:w="70"/>
              <w:left w:type="dxa" w:w="90"/>
              <w:bottom w:type="dxa" w:w="70"/>
              <w:right w:type="dxa" w:w="90"/>
            </w:tcMar>
            <w:vAlign w:val="center"/>
          </w:tcPr>
          <w:p>
            <w:r>
              <w:rPr>
                <w:b/>
                <w:bCs/>
                <w:color w:val="FFFFFF"/>
                <w:sz w:val="15"/>
                <w:szCs w:val="15"/>
              </w:rPr>
              <w:t xml:space="preserve">Priority</w:t>
            </w:r>
          </w:p>
        </w:tc>
        <w:tc>
          <w:tcPr>
            <w:tcW w:type="dxa" w:w="900"/>
            <w:shd w:fill="1F2A44" w:val="clear"/>
            <w:tcMar>
              <w:top w:type="dxa" w:w="70"/>
              <w:left w:type="dxa" w:w="90"/>
              <w:bottom w:type="dxa" w:w="70"/>
              <w:right w:type="dxa" w:w="90"/>
            </w:tcMar>
            <w:vAlign w:val="center"/>
          </w:tcPr>
          <w:p>
            <w:r>
              <w:rPr>
                <w:b/>
                <w:bCs/>
                <w:color w:val="FFFFFF"/>
                <w:sz w:val="15"/>
                <w:szCs w:val="15"/>
              </w:rPr>
              <w:t xml:space="preserve">Points</w:t>
            </w:r>
          </w:p>
        </w:tc>
        <w:tc>
          <w:tcPr>
            <w:tcW w:type="dxa" w:w="1400"/>
            <w:shd w:fill="1F2A44" w:val="clear"/>
            <w:tcMar>
              <w:top w:type="dxa" w:w="70"/>
              <w:left w:type="dxa" w:w="90"/>
              <w:bottom w:type="dxa" w:w="70"/>
              <w:right w:type="dxa" w:w="90"/>
            </w:tcMar>
            <w:vAlign w:val="center"/>
          </w:tcPr>
          <w:p>
            <w:r>
              <w:rPr>
                <w:b/>
                <w:bCs/>
                <w:color w:val="FFFFFF"/>
                <w:sz w:val="15"/>
                <w:szCs w:val="15"/>
              </w:rPr>
              <w:t xml:space="preserve">Sprint</w:t>
            </w:r>
          </w:p>
        </w:tc>
        <w:tc>
          <w:tcPr>
            <w:tcW w:type="dxa" w:w="1950"/>
            <w:shd w:fill="1F2A44" w:val="clear"/>
            <w:tcMar>
              <w:top w:type="dxa" w:w="70"/>
              <w:left w:type="dxa" w:w="90"/>
              <w:bottom w:type="dxa" w:w="70"/>
              <w:right w:type="dxa" w:w="90"/>
            </w:tcMar>
            <w:vAlign w:val="center"/>
          </w:tcPr>
          <w:p>
            <w:r>
              <w:rPr>
                <w:b/>
                <w:bCs/>
                <w:color w:val="FFFFFF"/>
                <w:sz w:val="15"/>
                <w:szCs w:val="15"/>
              </w:rPr>
              <w:t xml:space="preserve">Dependencies</w:t>
            </w:r>
          </w:p>
        </w:tc>
      </w:tr>
      <w:tr>
        <w:tc>
          <w:tcPr>
            <w:tcW w:type="dxa" w:w="1300"/>
            <w:shd w:fill="FFFFFF" w:val="clear"/>
            <w:tcMar>
              <w:top w:type="dxa" w:w="55"/>
              <w:left w:type="dxa" w:w="80"/>
              <w:bottom w:type="dxa" w:w="55"/>
              <w:right w:type="dxa" w:w="80"/>
            </w:tcMar>
            <w:vAlign w:val="center"/>
          </w:tcPr>
          <w:p>
            <w:r>
              <w:rPr>
                <w:sz w:val="15"/>
                <w:szCs w:val="15"/>
              </w:rPr>
              <w:t xml:space="preserve">TJ-003</w:t>
            </w:r>
          </w:p>
        </w:tc>
        <w:tc>
          <w:tcPr>
            <w:tcW w:type="dxa" w:w="2800"/>
            <w:shd w:fill="FFFFFF" w:val="clear"/>
            <w:tcMar>
              <w:top w:type="dxa" w:w="55"/>
              <w:left w:type="dxa" w:w="80"/>
              <w:bottom w:type="dxa" w:w="55"/>
              <w:right w:type="dxa" w:w="80"/>
            </w:tcMar>
            <w:vAlign w:val="center"/>
          </w:tcPr>
          <w:p>
            <w:r>
              <w:rPr>
                <w:sz w:val="15"/>
                <w:szCs w:val="15"/>
              </w:rPr>
              <w:t xml:space="preserve">Campaign Discovery (list/map)</w:t>
            </w:r>
          </w:p>
        </w:tc>
        <w:tc>
          <w:tcPr>
            <w:tcW w:type="dxa" w:w="1000"/>
            <w:shd w:fill="FFFFFF" w:val="clear"/>
            <w:tcMar>
              <w:top w:type="dxa" w:w="55"/>
              <w:left w:type="dxa" w:w="80"/>
              <w:bottom w:type="dxa" w:w="55"/>
              <w:right w:type="dxa" w:w="80"/>
            </w:tcMar>
            <w:vAlign w:val="center"/>
          </w:tcPr>
          <w:p>
            <w:r>
              <w:rPr>
                <w:sz w:val="15"/>
                <w:szCs w:val="15"/>
              </w:rPr>
              <w:t xml:space="preserve">P0</w:t>
            </w:r>
          </w:p>
        </w:tc>
        <w:tc>
          <w:tcPr>
            <w:tcW w:type="dxa" w:w="900"/>
            <w:shd w:fill="FFFFFF" w:val="clear"/>
            <w:tcMar>
              <w:top w:type="dxa" w:w="55"/>
              <w:left w:type="dxa" w:w="80"/>
              <w:bottom w:type="dxa" w:w="55"/>
              <w:right w:type="dxa" w:w="80"/>
            </w:tcMar>
            <w:vAlign w:val="center"/>
          </w:tcPr>
          <w:p>
            <w:r>
              <w:rPr>
                <w:sz w:val="15"/>
                <w:szCs w:val="15"/>
              </w:rPr>
              <w:t xml:space="preserve">5</w:t>
            </w:r>
          </w:p>
        </w:tc>
        <w:tc>
          <w:tcPr>
            <w:tcW w:type="dxa" w:w="1400"/>
            <w:shd w:fill="FFFFFF" w:val="clear"/>
            <w:tcMar>
              <w:top w:type="dxa" w:w="55"/>
              <w:left w:type="dxa" w:w="80"/>
              <w:bottom w:type="dxa" w:w="55"/>
              <w:right w:type="dxa" w:w="80"/>
            </w:tcMar>
            <w:vAlign w:val="center"/>
          </w:tcPr>
          <w:p>
            <w:r>
              <w:rPr>
                <w:sz w:val="15"/>
                <w:szCs w:val="15"/>
              </w:rPr>
              <w:t xml:space="preserve">Sprint 3</w:t>
            </w:r>
          </w:p>
        </w:tc>
        <w:tc>
          <w:tcPr>
            <w:tcW w:type="dxa" w:w="1950"/>
            <w:shd w:fill="FFFFFF" w:val="clear"/>
            <w:tcMar>
              <w:top w:type="dxa" w:w="55"/>
              <w:left w:type="dxa" w:w="80"/>
              <w:bottom w:type="dxa" w:w="55"/>
              <w:right w:type="dxa" w:w="80"/>
            </w:tcMar>
            <w:vAlign w:val="center"/>
          </w:tcPr>
          <w:p>
            <w:r>
              <w:rPr>
                <w:sz w:val="15"/>
                <w:szCs w:val="15"/>
              </w:rPr>
              <w:t xml:space="preserve">TJ-002, TJ-013</w:t>
            </w:r>
          </w:p>
        </w:tc>
      </w:tr>
      <w:tr>
        <w:tc>
          <w:tcPr>
            <w:tcW w:type="dxa" w:w="1300"/>
            <w:shd w:fill="F2F2F2" w:val="clear"/>
            <w:tcMar>
              <w:top w:type="dxa" w:w="55"/>
              <w:left w:type="dxa" w:w="80"/>
              <w:bottom w:type="dxa" w:w="55"/>
              <w:right w:type="dxa" w:w="80"/>
            </w:tcMar>
            <w:vAlign w:val="center"/>
          </w:tcPr>
          <w:p>
            <w:r>
              <w:rPr>
                <w:sz w:val="15"/>
                <w:szCs w:val="15"/>
              </w:rPr>
              <w:t xml:space="preserve">TJ-007</w:t>
            </w:r>
          </w:p>
        </w:tc>
        <w:tc>
          <w:tcPr>
            <w:tcW w:type="dxa" w:w="2800"/>
            <w:shd w:fill="F2F2F2" w:val="clear"/>
            <w:tcMar>
              <w:top w:type="dxa" w:w="55"/>
              <w:left w:type="dxa" w:w="80"/>
              <w:bottom w:type="dxa" w:w="55"/>
              <w:right w:type="dxa" w:w="80"/>
            </w:tcMar>
            <w:vAlign w:val="center"/>
          </w:tcPr>
          <w:p>
            <w:r>
              <w:rPr>
                <w:sz w:val="15"/>
                <w:szCs w:val="15"/>
              </w:rPr>
              <w:t xml:space="preserve">In-App Consumer Support</w:t>
            </w:r>
          </w:p>
        </w:tc>
        <w:tc>
          <w:tcPr>
            <w:tcW w:type="dxa" w:w="1000"/>
            <w:shd w:fill="F2F2F2" w:val="clear"/>
            <w:tcMar>
              <w:top w:type="dxa" w:w="55"/>
              <w:left w:type="dxa" w:w="80"/>
              <w:bottom w:type="dxa" w:w="55"/>
              <w:right w:type="dxa" w:w="80"/>
            </w:tcMar>
            <w:vAlign w:val="center"/>
          </w:tcPr>
          <w:p>
            <w:r>
              <w:rPr>
                <w:sz w:val="15"/>
                <w:szCs w:val="15"/>
              </w:rPr>
              <w:t xml:space="preserve">P0</w:t>
            </w:r>
          </w:p>
        </w:tc>
        <w:tc>
          <w:tcPr>
            <w:tcW w:type="dxa" w:w="900"/>
            <w:shd w:fill="F2F2F2" w:val="clear"/>
            <w:tcMar>
              <w:top w:type="dxa" w:w="55"/>
              <w:left w:type="dxa" w:w="80"/>
              <w:bottom w:type="dxa" w:w="55"/>
              <w:right w:type="dxa" w:w="80"/>
            </w:tcMar>
            <w:vAlign w:val="center"/>
          </w:tcPr>
          <w:p>
            <w:r>
              <w:rPr>
                <w:sz w:val="15"/>
                <w:szCs w:val="15"/>
              </w:rPr>
              <w:t xml:space="preserve">5</w:t>
            </w:r>
          </w:p>
        </w:tc>
        <w:tc>
          <w:tcPr>
            <w:tcW w:type="dxa" w:w="1400"/>
            <w:shd w:fill="F2F2F2" w:val="clear"/>
            <w:tcMar>
              <w:top w:type="dxa" w:w="55"/>
              <w:left w:type="dxa" w:w="80"/>
              <w:bottom w:type="dxa" w:w="55"/>
              <w:right w:type="dxa" w:w="80"/>
            </w:tcMar>
            <w:vAlign w:val="center"/>
          </w:tcPr>
          <w:p>
            <w:r>
              <w:rPr>
                <w:sz w:val="15"/>
                <w:szCs w:val="15"/>
              </w:rPr>
              <w:t xml:space="preserve">Sprint 4</w:t>
            </w:r>
          </w:p>
        </w:tc>
        <w:tc>
          <w:tcPr>
            <w:tcW w:type="dxa" w:w="1950"/>
            <w:shd w:fill="F2F2F2" w:val="clear"/>
            <w:tcMar>
              <w:top w:type="dxa" w:w="55"/>
              <w:left w:type="dxa" w:w="80"/>
              <w:bottom w:type="dxa" w:w="55"/>
              <w:right w:type="dxa" w:w="80"/>
            </w:tcMar>
            <w:vAlign w:val="center"/>
          </w:tcPr>
          <w:p>
            <w:r>
              <w:rPr>
                <w:sz w:val="15"/>
                <w:szCs w:val="15"/>
              </w:rPr>
              <w:t xml:space="preserve">TJ-001</w:t>
            </w:r>
          </w:p>
        </w:tc>
      </w:tr>
      <w:tr>
        <w:tc>
          <w:tcPr>
            <w:tcW w:type="dxa" w:w="1300"/>
            <w:shd w:fill="FFFFFF" w:val="clear"/>
            <w:tcMar>
              <w:top w:type="dxa" w:w="55"/>
              <w:left w:type="dxa" w:w="80"/>
              <w:bottom w:type="dxa" w:w="55"/>
              <w:right w:type="dxa" w:w="80"/>
            </w:tcMar>
            <w:vAlign w:val="center"/>
          </w:tcPr>
          <w:p>
            <w:r>
              <w:rPr>
                <w:sz w:val="15"/>
                <w:szCs w:val="15"/>
              </w:rPr>
              <w:t xml:space="preserve">TJ-016</w:t>
            </w:r>
          </w:p>
        </w:tc>
        <w:tc>
          <w:tcPr>
            <w:tcW w:type="dxa" w:w="2800"/>
            <w:shd w:fill="FFFFFF" w:val="clear"/>
            <w:tcMar>
              <w:top w:type="dxa" w:w="55"/>
              <w:left w:type="dxa" w:w="80"/>
              <w:bottom w:type="dxa" w:w="55"/>
              <w:right w:type="dxa" w:w="80"/>
            </w:tcMar>
            <w:vAlign w:val="center"/>
          </w:tcPr>
          <w:p>
            <w:r>
              <w:rPr>
                <w:sz w:val="15"/>
                <w:szCs w:val="15"/>
              </w:rPr>
              <w:t xml:space="preserve">Brand User Management</w:t>
            </w:r>
          </w:p>
        </w:tc>
        <w:tc>
          <w:tcPr>
            <w:tcW w:type="dxa" w:w="1000"/>
            <w:shd w:fill="FFFFFF" w:val="clear"/>
            <w:tcMar>
              <w:top w:type="dxa" w:w="55"/>
              <w:left w:type="dxa" w:w="80"/>
              <w:bottom w:type="dxa" w:w="55"/>
              <w:right w:type="dxa" w:w="80"/>
            </w:tcMar>
            <w:vAlign w:val="center"/>
          </w:tcPr>
          <w:p>
            <w:r>
              <w:rPr>
                <w:sz w:val="15"/>
                <w:szCs w:val="15"/>
              </w:rPr>
              <w:t xml:space="preserve">P0</w:t>
            </w:r>
          </w:p>
        </w:tc>
        <w:tc>
          <w:tcPr>
            <w:tcW w:type="dxa" w:w="900"/>
            <w:shd w:fill="FFFFFF" w:val="clear"/>
            <w:tcMar>
              <w:top w:type="dxa" w:w="55"/>
              <w:left w:type="dxa" w:w="80"/>
              <w:bottom w:type="dxa" w:w="55"/>
              <w:right w:type="dxa" w:w="80"/>
            </w:tcMar>
            <w:vAlign w:val="center"/>
          </w:tcPr>
          <w:p>
            <w:r>
              <w:rPr>
                <w:sz w:val="15"/>
                <w:szCs w:val="15"/>
              </w:rPr>
              <w:t xml:space="preserve">3</w:t>
            </w:r>
          </w:p>
        </w:tc>
        <w:tc>
          <w:tcPr>
            <w:tcW w:type="dxa" w:w="1400"/>
            <w:shd w:fill="FFFFFF" w:val="clear"/>
            <w:tcMar>
              <w:top w:type="dxa" w:w="55"/>
              <w:left w:type="dxa" w:w="80"/>
              <w:bottom w:type="dxa" w:w="55"/>
              <w:right w:type="dxa" w:w="80"/>
            </w:tcMar>
            <w:vAlign w:val="center"/>
          </w:tcPr>
          <w:p>
            <w:r>
              <w:rPr>
                <w:sz w:val="15"/>
                <w:szCs w:val="15"/>
              </w:rPr>
              <w:t xml:space="preserve">Sprint 3</w:t>
            </w:r>
          </w:p>
        </w:tc>
        <w:tc>
          <w:tcPr>
            <w:tcW w:type="dxa" w:w="1950"/>
            <w:shd w:fill="FFFFFF" w:val="clear"/>
            <w:tcMar>
              <w:top w:type="dxa" w:w="55"/>
              <w:left w:type="dxa" w:w="80"/>
              <w:bottom w:type="dxa" w:w="55"/>
              <w:right w:type="dxa" w:w="80"/>
            </w:tcMar>
            <w:vAlign w:val="center"/>
          </w:tcPr>
          <w:p>
            <w:r>
              <w:rPr>
                <w:sz w:val="15"/>
                <w:szCs w:val="15"/>
              </w:rPr>
              <w:t xml:space="preserve">TJ-012</w:t>
            </w:r>
          </w:p>
        </w:tc>
      </w:tr>
      <w:tr>
        <w:tc>
          <w:tcPr>
            <w:tcW w:type="dxa" w:w="1300"/>
            <w:shd w:fill="F2F2F2" w:val="clear"/>
            <w:tcMar>
              <w:top w:type="dxa" w:w="55"/>
              <w:left w:type="dxa" w:w="80"/>
              <w:bottom w:type="dxa" w:w="55"/>
              <w:right w:type="dxa" w:w="80"/>
            </w:tcMar>
            <w:vAlign w:val="center"/>
          </w:tcPr>
          <w:p>
            <w:r>
              <w:rPr>
                <w:sz w:val="15"/>
                <w:szCs w:val="15"/>
              </w:rPr>
              <w:t xml:space="preserve">TJ-021</w:t>
            </w:r>
          </w:p>
        </w:tc>
        <w:tc>
          <w:tcPr>
            <w:tcW w:type="dxa" w:w="2800"/>
            <w:shd w:fill="F2F2F2" w:val="clear"/>
            <w:tcMar>
              <w:top w:type="dxa" w:w="55"/>
              <w:left w:type="dxa" w:w="80"/>
              <w:bottom w:type="dxa" w:w="55"/>
              <w:right w:type="dxa" w:w="80"/>
            </w:tcMar>
            <w:vAlign w:val="center"/>
          </w:tcPr>
          <w:p>
            <w:r>
              <w:rPr>
                <w:sz w:val="15"/>
                <w:szCs w:val="15"/>
              </w:rPr>
              <w:t xml:space="preserve">Fraud Review Queue (manual)</w:t>
            </w:r>
          </w:p>
        </w:tc>
        <w:tc>
          <w:tcPr>
            <w:tcW w:type="dxa" w:w="1000"/>
            <w:shd w:fill="F2F2F2" w:val="clear"/>
            <w:tcMar>
              <w:top w:type="dxa" w:w="55"/>
              <w:left w:type="dxa" w:w="80"/>
              <w:bottom w:type="dxa" w:w="55"/>
              <w:right w:type="dxa" w:w="80"/>
            </w:tcMar>
            <w:vAlign w:val="center"/>
          </w:tcPr>
          <w:p>
            <w:r>
              <w:rPr>
                <w:sz w:val="15"/>
                <w:szCs w:val="15"/>
              </w:rPr>
              <w:t xml:space="preserve">P0</w:t>
            </w:r>
          </w:p>
        </w:tc>
        <w:tc>
          <w:tcPr>
            <w:tcW w:type="dxa" w:w="900"/>
            <w:shd w:fill="F2F2F2" w:val="clear"/>
            <w:tcMar>
              <w:top w:type="dxa" w:w="55"/>
              <w:left w:type="dxa" w:w="80"/>
              <w:bottom w:type="dxa" w:w="55"/>
              <w:right w:type="dxa" w:w="80"/>
            </w:tcMar>
            <w:vAlign w:val="center"/>
          </w:tcPr>
          <w:p>
            <w:r>
              <w:rPr>
                <w:sz w:val="15"/>
                <w:szCs w:val="15"/>
              </w:rPr>
              <w:t xml:space="preserve">5</w:t>
            </w:r>
          </w:p>
        </w:tc>
        <w:tc>
          <w:tcPr>
            <w:tcW w:type="dxa" w:w="1400"/>
            <w:shd w:fill="F2F2F2" w:val="clear"/>
            <w:tcMar>
              <w:top w:type="dxa" w:w="55"/>
              <w:left w:type="dxa" w:w="80"/>
              <w:bottom w:type="dxa" w:w="55"/>
              <w:right w:type="dxa" w:w="80"/>
            </w:tcMar>
            <w:vAlign w:val="center"/>
          </w:tcPr>
          <w:p>
            <w:r>
              <w:rPr>
                <w:sz w:val="15"/>
                <w:szCs w:val="15"/>
              </w:rPr>
              <w:t xml:space="preserve">Sprint 4</w:t>
            </w:r>
          </w:p>
        </w:tc>
        <w:tc>
          <w:tcPr>
            <w:tcW w:type="dxa" w:w="1950"/>
            <w:shd w:fill="F2F2F2" w:val="clear"/>
            <w:tcMar>
              <w:top w:type="dxa" w:w="55"/>
              <w:left w:type="dxa" w:w="80"/>
              <w:bottom w:type="dxa" w:w="55"/>
              <w:right w:type="dxa" w:w="80"/>
            </w:tcMar>
            <w:vAlign w:val="center"/>
          </w:tcPr>
          <w:p>
            <w:r>
              <w:rPr>
                <w:sz w:val="15"/>
                <w:szCs w:val="15"/>
              </w:rPr>
              <w:t xml:space="preserve">TJ-006</w:t>
            </w:r>
          </w:p>
        </w:tc>
      </w:tr>
      <w:tr>
        <w:tc>
          <w:tcPr>
            <w:tcW w:type="dxa" w:w="1300"/>
            <w:shd w:fill="FFFFFF" w:val="clear"/>
            <w:tcMar>
              <w:top w:type="dxa" w:w="55"/>
              <w:left w:type="dxa" w:w="80"/>
              <w:bottom w:type="dxa" w:w="55"/>
              <w:right w:type="dxa" w:w="80"/>
            </w:tcMar>
            <w:vAlign w:val="center"/>
          </w:tcPr>
          <w:p>
            <w:r>
              <w:rPr>
                <w:sz w:val="15"/>
                <w:szCs w:val="15"/>
              </w:rPr>
              <w:t xml:space="preserve">TJ-009</w:t>
            </w:r>
          </w:p>
        </w:tc>
        <w:tc>
          <w:tcPr>
            <w:tcW w:type="dxa" w:w="2800"/>
            <w:shd w:fill="FFFFFF" w:val="clear"/>
            <w:tcMar>
              <w:top w:type="dxa" w:w="55"/>
              <w:left w:type="dxa" w:w="80"/>
              <w:bottom w:type="dxa" w:w="55"/>
              <w:right w:type="dxa" w:w="80"/>
            </w:tcMar>
            <w:vAlign w:val="center"/>
          </w:tcPr>
          <w:p>
            <w:r>
              <w:rPr>
                <w:sz w:val="15"/>
                <w:szCs w:val="15"/>
              </w:rPr>
              <w:t xml:space="preserve">Rewards Wallet</w:t>
            </w:r>
          </w:p>
        </w:tc>
        <w:tc>
          <w:tcPr>
            <w:tcW w:type="dxa" w:w="1000"/>
            <w:shd w:fill="FFFFFF" w:val="clear"/>
            <w:tcMar>
              <w:top w:type="dxa" w:w="55"/>
              <w:left w:type="dxa" w:w="80"/>
              <w:bottom w:type="dxa" w:w="55"/>
              <w:right w:type="dxa" w:w="80"/>
            </w:tcMar>
            <w:vAlign w:val="center"/>
          </w:tcPr>
          <w:p>
            <w:r>
              <w:rPr>
                <w:sz w:val="15"/>
                <w:szCs w:val="15"/>
              </w:rPr>
              <w:t xml:space="preserve">P1</w:t>
            </w:r>
          </w:p>
        </w:tc>
        <w:tc>
          <w:tcPr>
            <w:tcW w:type="dxa" w:w="900"/>
            <w:shd w:fill="FFFFFF" w:val="clear"/>
            <w:tcMar>
              <w:top w:type="dxa" w:w="55"/>
              <w:left w:type="dxa" w:w="80"/>
              <w:bottom w:type="dxa" w:w="55"/>
              <w:right w:type="dxa" w:w="80"/>
            </w:tcMar>
            <w:vAlign w:val="center"/>
          </w:tcPr>
          <w:p>
            <w:r>
              <w:rPr>
                <w:sz w:val="15"/>
                <w:szCs w:val="15"/>
              </w:rPr>
              <w:t xml:space="preserve">13</w:t>
            </w:r>
          </w:p>
        </w:tc>
        <w:tc>
          <w:tcPr>
            <w:tcW w:type="dxa" w:w="1400"/>
            <w:shd w:fill="FFFFFF" w:val="clear"/>
            <w:tcMar>
              <w:top w:type="dxa" w:w="55"/>
              <w:left w:type="dxa" w:w="80"/>
              <w:bottom w:type="dxa" w:w="55"/>
              <w:right w:type="dxa" w:w="80"/>
            </w:tcMar>
            <w:vAlign w:val="center"/>
          </w:tcPr>
          <w:p>
            <w:r>
              <w:rPr>
                <w:sz w:val="15"/>
                <w:szCs w:val="15"/>
              </w:rPr>
              <w:t xml:space="preserve">V1 Sprint 1</w:t>
            </w:r>
          </w:p>
        </w:tc>
        <w:tc>
          <w:tcPr>
            <w:tcW w:type="dxa" w:w="1950"/>
            <w:shd w:fill="FFFFFF" w:val="clear"/>
            <w:tcMar>
              <w:top w:type="dxa" w:w="55"/>
              <w:left w:type="dxa" w:w="80"/>
              <w:bottom w:type="dxa" w:w="55"/>
              <w:right w:type="dxa" w:w="80"/>
            </w:tcMar>
            <w:vAlign w:val="center"/>
          </w:tcPr>
          <w:p>
            <w:r>
              <w:rPr>
                <w:sz w:val="15"/>
                <w:szCs w:val="15"/>
              </w:rPr>
              <w:t xml:space="preserve">TJ-002, Payment integration</w:t>
            </w:r>
          </w:p>
        </w:tc>
      </w:tr>
      <w:tr>
        <w:tc>
          <w:tcPr>
            <w:tcW w:type="dxa" w:w="1300"/>
            <w:shd w:fill="F2F2F2" w:val="clear"/>
            <w:tcMar>
              <w:top w:type="dxa" w:w="55"/>
              <w:left w:type="dxa" w:w="80"/>
              <w:bottom w:type="dxa" w:w="55"/>
              <w:right w:type="dxa" w:w="80"/>
            </w:tcMar>
            <w:vAlign w:val="center"/>
          </w:tcPr>
          <w:p>
            <w:r>
              <w:rPr>
                <w:sz w:val="15"/>
                <w:szCs w:val="15"/>
              </w:rPr>
              <w:t xml:space="preserve">TJ-010</w:t>
            </w:r>
          </w:p>
        </w:tc>
        <w:tc>
          <w:tcPr>
            <w:tcW w:type="dxa" w:w="2800"/>
            <w:shd w:fill="F2F2F2" w:val="clear"/>
            <w:tcMar>
              <w:top w:type="dxa" w:w="55"/>
              <w:left w:type="dxa" w:w="80"/>
              <w:bottom w:type="dxa" w:w="55"/>
              <w:right w:type="dxa" w:w="80"/>
            </w:tcMar>
            <w:vAlign w:val="center"/>
          </w:tcPr>
          <w:p>
            <w:r>
              <w:rPr>
                <w:sz w:val="15"/>
                <w:szCs w:val="15"/>
              </w:rPr>
              <w:t xml:space="preserve">Referral Program</w:t>
            </w:r>
          </w:p>
        </w:tc>
        <w:tc>
          <w:tcPr>
            <w:tcW w:type="dxa" w:w="1000"/>
            <w:shd w:fill="F2F2F2" w:val="clear"/>
            <w:tcMar>
              <w:top w:type="dxa" w:w="55"/>
              <w:left w:type="dxa" w:w="80"/>
              <w:bottom w:type="dxa" w:w="55"/>
              <w:right w:type="dxa" w:w="80"/>
            </w:tcMar>
            <w:vAlign w:val="center"/>
          </w:tcPr>
          <w:p>
            <w:r>
              <w:rPr>
                <w:sz w:val="15"/>
                <w:szCs w:val="15"/>
              </w:rPr>
              <w:t xml:space="preserve">P1</w:t>
            </w:r>
          </w:p>
        </w:tc>
        <w:tc>
          <w:tcPr>
            <w:tcW w:type="dxa" w:w="900"/>
            <w:shd w:fill="F2F2F2" w:val="clear"/>
            <w:tcMar>
              <w:top w:type="dxa" w:w="55"/>
              <w:left w:type="dxa" w:w="80"/>
              <w:bottom w:type="dxa" w:w="55"/>
              <w:right w:type="dxa" w:w="80"/>
            </w:tcMar>
            <w:vAlign w:val="center"/>
          </w:tcPr>
          <w:p>
            <w:r>
              <w:rPr>
                <w:sz w:val="15"/>
                <w:szCs w:val="15"/>
              </w:rPr>
              <w:t xml:space="preserve">8</w:t>
            </w:r>
          </w:p>
        </w:tc>
        <w:tc>
          <w:tcPr>
            <w:tcW w:type="dxa" w:w="1400"/>
            <w:shd w:fill="F2F2F2" w:val="clear"/>
            <w:tcMar>
              <w:top w:type="dxa" w:w="55"/>
              <w:left w:type="dxa" w:w="80"/>
              <w:bottom w:type="dxa" w:w="55"/>
              <w:right w:type="dxa" w:w="80"/>
            </w:tcMar>
            <w:vAlign w:val="center"/>
          </w:tcPr>
          <w:p>
            <w:r>
              <w:rPr>
                <w:sz w:val="15"/>
                <w:szCs w:val="15"/>
              </w:rPr>
              <w:t xml:space="preserve">V1 Sprint 2</w:t>
            </w:r>
          </w:p>
        </w:tc>
        <w:tc>
          <w:tcPr>
            <w:tcW w:type="dxa" w:w="1950"/>
            <w:shd w:fill="F2F2F2" w:val="clear"/>
            <w:tcMar>
              <w:top w:type="dxa" w:w="55"/>
              <w:left w:type="dxa" w:w="80"/>
              <w:bottom w:type="dxa" w:w="55"/>
              <w:right w:type="dxa" w:w="80"/>
            </w:tcMar>
            <w:vAlign w:val="center"/>
          </w:tcPr>
          <w:p>
            <w:r>
              <w:rPr>
                <w:sz w:val="15"/>
                <w:szCs w:val="15"/>
              </w:rPr>
              <w:t xml:space="preserve">TJ-009</w:t>
            </w:r>
          </w:p>
        </w:tc>
      </w:tr>
      <w:tr>
        <w:tc>
          <w:tcPr>
            <w:tcW w:type="dxa" w:w="1300"/>
            <w:shd w:fill="FFFFFF" w:val="clear"/>
            <w:tcMar>
              <w:top w:type="dxa" w:w="55"/>
              <w:left w:type="dxa" w:w="80"/>
              <w:bottom w:type="dxa" w:w="55"/>
              <w:right w:type="dxa" w:w="80"/>
            </w:tcMar>
            <w:vAlign w:val="center"/>
          </w:tcPr>
          <w:p>
            <w:r>
              <w:rPr>
                <w:sz w:val="15"/>
                <w:szCs w:val="15"/>
              </w:rPr>
              <w:t xml:space="preserve">TJ-017</w:t>
            </w:r>
          </w:p>
        </w:tc>
        <w:tc>
          <w:tcPr>
            <w:tcW w:type="dxa" w:w="2800"/>
            <w:shd w:fill="FFFFFF" w:val="clear"/>
            <w:tcMar>
              <w:top w:type="dxa" w:w="55"/>
              <w:left w:type="dxa" w:w="80"/>
              <w:bottom w:type="dxa" w:w="55"/>
              <w:right w:type="dxa" w:w="80"/>
            </w:tcMar>
            <w:vAlign w:val="center"/>
          </w:tcPr>
          <w:p>
            <w:r>
              <w:rPr>
                <w:sz w:val="15"/>
                <w:szCs w:val="15"/>
              </w:rPr>
              <w:t xml:space="preserve">Contract &amp; Invoice View</w:t>
            </w:r>
          </w:p>
        </w:tc>
        <w:tc>
          <w:tcPr>
            <w:tcW w:type="dxa" w:w="1000"/>
            <w:shd w:fill="FFFFFF" w:val="clear"/>
            <w:tcMar>
              <w:top w:type="dxa" w:w="55"/>
              <w:left w:type="dxa" w:w="80"/>
              <w:bottom w:type="dxa" w:w="55"/>
              <w:right w:type="dxa" w:w="80"/>
            </w:tcMar>
            <w:vAlign w:val="center"/>
          </w:tcPr>
          <w:p>
            <w:r>
              <w:rPr>
                <w:sz w:val="15"/>
                <w:szCs w:val="15"/>
              </w:rPr>
              <w:t xml:space="preserve">P1</w:t>
            </w:r>
          </w:p>
        </w:tc>
        <w:tc>
          <w:tcPr>
            <w:tcW w:type="dxa" w:w="900"/>
            <w:shd w:fill="FFFFFF" w:val="clear"/>
            <w:tcMar>
              <w:top w:type="dxa" w:w="55"/>
              <w:left w:type="dxa" w:w="80"/>
              <w:bottom w:type="dxa" w:w="55"/>
              <w:right w:type="dxa" w:w="80"/>
            </w:tcMar>
            <w:vAlign w:val="center"/>
          </w:tcPr>
          <w:p>
            <w:r>
              <w:rPr>
                <w:sz w:val="15"/>
                <w:szCs w:val="15"/>
              </w:rPr>
              <w:t xml:space="preserve">5</w:t>
            </w:r>
          </w:p>
        </w:tc>
        <w:tc>
          <w:tcPr>
            <w:tcW w:type="dxa" w:w="1400"/>
            <w:shd w:fill="FFFFFF" w:val="clear"/>
            <w:tcMar>
              <w:top w:type="dxa" w:w="55"/>
              <w:left w:type="dxa" w:w="80"/>
              <w:bottom w:type="dxa" w:w="55"/>
              <w:right w:type="dxa" w:w="80"/>
            </w:tcMar>
            <w:vAlign w:val="center"/>
          </w:tcPr>
          <w:p>
            <w:r>
              <w:rPr>
                <w:sz w:val="15"/>
                <w:szCs w:val="15"/>
              </w:rPr>
              <w:t xml:space="preserve">V1 Sprint 1</w:t>
            </w:r>
          </w:p>
        </w:tc>
        <w:tc>
          <w:tcPr>
            <w:tcW w:type="dxa" w:w="1950"/>
            <w:shd w:fill="FFFFFF" w:val="clear"/>
            <w:tcMar>
              <w:top w:type="dxa" w:w="55"/>
              <w:left w:type="dxa" w:w="80"/>
              <w:bottom w:type="dxa" w:w="55"/>
              <w:right w:type="dxa" w:w="80"/>
            </w:tcMar>
            <w:vAlign w:val="center"/>
          </w:tcPr>
          <w:p>
            <w:r>
              <w:rPr>
                <w:sz w:val="15"/>
                <w:szCs w:val="15"/>
              </w:rPr>
              <w:t xml:space="preserve">Finance manual process</w:t>
            </w:r>
          </w:p>
        </w:tc>
      </w:tr>
      <w:tr>
        <w:tc>
          <w:tcPr>
            <w:tcW w:type="dxa" w:w="1300"/>
            <w:shd w:fill="F2F2F2" w:val="clear"/>
            <w:tcMar>
              <w:top w:type="dxa" w:w="55"/>
              <w:left w:type="dxa" w:w="80"/>
              <w:bottom w:type="dxa" w:w="55"/>
              <w:right w:type="dxa" w:w="80"/>
            </w:tcMar>
            <w:vAlign w:val="center"/>
          </w:tcPr>
          <w:p>
            <w:r>
              <w:rPr>
                <w:sz w:val="15"/>
                <w:szCs w:val="15"/>
              </w:rPr>
              <w:t xml:space="preserve">TJ-021b</w:t>
            </w:r>
          </w:p>
        </w:tc>
        <w:tc>
          <w:tcPr>
            <w:tcW w:type="dxa" w:w="2800"/>
            <w:shd w:fill="F2F2F2" w:val="clear"/>
            <w:tcMar>
              <w:top w:type="dxa" w:w="55"/>
              <w:left w:type="dxa" w:w="80"/>
              <w:bottom w:type="dxa" w:w="55"/>
              <w:right w:type="dxa" w:w="80"/>
            </w:tcMar>
            <w:vAlign w:val="center"/>
          </w:tcPr>
          <w:p>
            <w:r>
              <w:rPr>
                <w:sz w:val="15"/>
                <w:szCs w:val="15"/>
              </w:rPr>
              <w:t xml:space="preserve">Automated Fraud Detection Model</w:t>
            </w:r>
          </w:p>
        </w:tc>
        <w:tc>
          <w:tcPr>
            <w:tcW w:type="dxa" w:w="1000"/>
            <w:shd w:fill="F2F2F2" w:val="clear"/>
            <w:tcMar>
              <w:top w:type="dxa" w:w="55"/>
              <w:left w:type="dxa" w:w="80"/>
              <w:bottom w:type="dxa" w:w="55"/>
              <w:right w:type="dxa" w:w="80"/>
            </w:tcMar>
            <w:vAlign w:val="center"/>
          </w:tcPr>
          <w:p>
            <w:r>
              <w:rPr>
                <w:sz w:val="15"/>
                <w:szCs w:val="15"/>
              </w:rPr>
              <w:t xml:space="preserve">P1</w:t>
            </w:r>
          </w:p>
        </w:tc>
        <w:tc>
          <w:tcPr>
            <w:tcW w:type="dxa" w:w="900"/>
            <w:shd w:fill="F2F2F2" w:val="clear"/>
            <w:tcMar>
              <w:top w:type="dxa" w:w="55"/>
              <w:left w:type="dxa" w:w="80"/>
              <w:bottom w:type="dxa" w:w="55"/>
              <w:right w:type="dxa" w:w="80"/>
            </w:tcMar>
            <w:vAlign w:val="center"/>
          </w:tcPr>
          <w:p>
            <w:r>
              <w:rPr>
                <w:sz w:val="15"/>
                <w:szCs w:val="15"/>
              </w:rPr>
              <w:t xml:space="preserve">13</w:t>
            </w:r>
          </w:p>
        </w:tc>
        <w:tc>
          <w:tcPr>
            <w:tcW w:type="dxa" w:w="1400"/>
            <w:shd w:fill="F2F2F2" w:val="clear"/>
            <w:tcMar>
              <w:top w:type="dxa" w:w="55"/>
              <w:left w:type="dxa" w:w="80"/>
              <w:bottom w:type="dxa" w:w="55"/>
              <w:right w:type="dxa" w:w="80"/>
            </w:tcMar>
            <w:vAlign w:val="center"/>
          </w:tcPr>
          <w:p>
            <w:r>
              <w:rPr>
                <w:sz w:val="15"/>
                <w:szCs w:val="15"/>
              </w:rPr>
              <w:t xml:space="preserve">V1 Sprint 3</w:t>
            </w:r>
          </w:p>
        </w:tc>
        <w:tc>
          <w:tcPr>
            <w:tcW w:type="dxa" w:w="1950"/>
            <w:shd w:fill="F2F2F2" w:val="clear"/>
            <w:tcMar>
              <w:top w:type="dxa" w:w="55"/>
              <w:left w:type="dxa" w:w="80"/>
              <w:bottom w:type="dxa" w:w="55"/>
              <w:right w:type="dxa" w:w="80"/>
            </w:tcMar>
            <w:vAlign w:val="center"/>
          </w:tcPr>
          <w:p>
            <w:r>
              <w:rPr>
                <w:sz w:val="15"/>
                <w:szCs w:val="15"/>
              </w:rPr>
              <w:t xml:space="preserve">TJ-021, real campaign data</w:t>
            </w:r>
          </w:p>
        </w:tc>
      </w:tr>
      <w:tr>
        <w:tc>
          <w:tcPr>
            <w:tcW w:type="dxa" w:w="1300"/>
            <w:shd w:fill="FFFFFF" w:val="clear"/>
            <w:tcMar>
              <w:top w:type="dxa" w:w="55"/>
              <w:left w:type="dxa" w:w="80"/>
              <w:bottom w:type="dxa" w:w="55"/>
              <w:right w:type="dxa" w:w="80"/>
            </w:tcMar>
            <w:vAlign w:val="center"/>
          </w:tcPr>
          <w:p>
            <w:r>
              <w:rPr>
                <w:sz w:val="15"/>
                <w:szCs w:val="15"/>
              </w:rPr>
              <w:t xml:space="preserve">TJ-011</w:t>
            </w:r>
          </w:p>
        </w:tc>
        <w:tc>
          <w:tcPr>
            <w:tcW w:type="dxa" w:w="2800"/>
            <w:shd w:fill="FFFFFF" w:val="clear"/>
            <w:tcMar>
              <w:top w:type="dxa" w:w="55"/>
              <w:left w:type="dxa" w:w="80"/>
              <w:bottom w:type="dxa" w:w="55"/>
              <w:right w:type="dxa" w:w="80"/>
            </w:tcMar>
            <w:vAlign w:val="center"/>
          </w:tcPr>
          <w:p>
            <w:r>
              <w:rPr>
                <w:sz w:val="15"/>
                <w:szCs w:val="15"/>
              </w:rPr>
              <w:t xml:space="preserve">Interest-Based Communities</w:t>
            </w:r>
          </w:p>
        </w:tc>
        <w:tc>
          <w:tcPr>
            <w:tcW w:type="dxa" w:w="1000"/>
            <w:shd w:fill="FFFFFF" w:val="clear"/>
            <w:tcMar>
              <w:top w:type="dxa" w:w="55"/>
              <w:left w:type="dxa" w:w="80"/>
              <w:bottom w:type="dxa" w:w="55"/>
              <w:right w:type="dxa" w:w="80"/>
            </w:tcMar>
            <w:vAlign w:val="center"/>
          </w:tcPr>
          <w:p>
            <w:r>
              <w:rPr>
                <w:sz w:val="15"/>
                <w:szCs w:val="15"/>
              </w:rPr>
              <w:t xml:space="preserve">P2</w:t>
            </w:r>
          </w:p>
        </w:tc>
        <w:tc>
          <w:tcPr>
            <w:tcW w:type="dxa" w:w="900"/>
            <w:shd w:fill="FFFFFF" w:val="clear"/>
            <w:tcMar>
              <w:top w:type="dxa" w:w="55"/>
              <w:left w:type="dxa" w:w="80"/>
              <w:bottom w:type="dxa" w:w="55"/>
              <w:right w:type="dxa" w:w="80"/>
            </w:tcMar>
            <w:vAlign w:val="center"/>
          </w:tcPr>
          <w:p>
            <w:r>
              <w:rPr>
                <w:sz w:val="15"/>
                <w:szCs w:val="15"/>
              </w:rPr>
              <w:t xml:space="preserve">8</w:t>
            </w:r>
          </w:p>
        </w:tc>
        <w:tc>
          <w:tcPr>
            <w:tcW w:type="dxa" w:w="1400"/>
            <w:shd w:fill="FFFFFF" w:val="clear"/>
            <w:tcMar>
              <w:top w:type="dxa" w:w="55"/>
              <w:left w:type="dxa" w:w="80"/>
              <w:bottom w:type="dxa" w:w="55"/>
              <w:right w:type="dxa" w:w="80"/>
            </w:tcMar>
            <w:vAlign w:val="center"/>
          </w:tcPr>
          <w:p>
            <w:r>
              <w:rPr>
                <w:sz w:val="15"/>
                <w:szCs w:val="15"/>
              </w:rPr>
              <w:t xml:space="preserve">V2</w:t>
            </w:r>
          </w:p>
        </w:tc>
        <w:tc>
          <w:tcPr>
            <w:tcW w:type="dxa" w:w="1950"/>
            <w:shd w:fill="FFFFFF" w:val="clear"/>
            <w:tcMar>
              <w:top w:type="dxa" w:w="55"/>
              <w:left w:type="dxa" w:w="80"/>
              <w:bottom w:type="dxa" w:w="55"/>
              <w:right w:type="dxa" w:w="80"/>
            </w:tcMar>
            <w:vAlign w:val="center"/>
          </w:tcPr>
          <w:p>
            <w:r>
              <w:rPr>
                <w:sz w:val="15"/>
                <w:szCs w:val="15"/>
              </w:rPr>
              <w:t xml:space="preserve">TJ-003</w:t>
            </w:r>
          </w:p>
        </w:tc>
      </w:tr>
      <w:tr>
        <w:tc>
          <w:tcPr>
            <w:tcW w:type="dxa" w:w="1300"/>
            <w:shd w:fill="F2F2F2" w:val="clear"/>
            <w:tcMar>
              <w:top w:type="dxa" w:w="55"/>
              <w:left w:type="dxa" w:w="80"/>
              <w:bottom w:type="dxa" w:w="55"/>
              <w:right w:type="dxa" w:w="80"/>
            </w:tcMar>
            <w:vAlign w:val="center"/>
          </w:tcPr>
          <w:p>
            <w:r>
              <w:rPr>
                <w:sz w:val="15"/>
                <w:szCs w:val="15"/>
              </w:rPr>
              <w:t xml:space="preserve">TJ-018</w:t>
            </w:r>
          </w:p>
        </w:tc>
        <w:tc>
          <w:tcPr>
            <w:tcW w:type="dxa" w:w="2800"/>
            <w:shd w:fill="F2F2F2" w:val="clear"/>
            <w:tcMar>
              <w:top w:type="dxa" w:w="55"/>
              <w:left w:type="dxa" w:w="80"/>
              <w:bottom w:type="dxa" w:w="55"/>
              <w:right w:type="dxa" w:w="80"/>
            </w:tcMar>
            <w:vAlign w:val="center"/>
          </w:tcPr>
          <w:p>
            <w:r>
              <w:rPr>
                <w:sz w:val="15"/>
                <w:szCs w:val="15"/>
              </w:rPr>
              <w:t xml:space="preserve">AI Insight Narratives</w:t>
            </w:r>
          </w:p>
        </w:tc>
        <w:tc>
          <w:tcPr>
            <w:tcW w:type="dxa" w:w="1000"/>
            <w:shd w:fill="F2F2F2" w:val="clear"/>
            <w:tcMar>
              <w:top w:type="dxa" w:w="55"/>
              <w:left w:type="dxa" w:w="80"/>
              <w:bottom w:type="dxa" w:w="55"/>
              <w:right w:type="dxa" w:w="80"/>
            </w:tcMar>
            <w:vAlign w:val="center"/>
          </w:tcPr>
          <w:p>
            <w:r>
              <w:rPr>
                <w:sz w:val="15"/>
                <w:szCs w:val="15"/>
              </w:rPr>
              <w:t xml:space="preserve">P2</w:t>
            </w:r>
          </w:p>
        </w:tc>
        <w:tc>
          <w:tcPr>
            <w:tcW w:type="dxa" w:w="900"/>
            <w:shd w:fill="F2F2F2" w:val="clear"/>
            <w:tcMar>
              <w:top w:type="dxa" w:w="55"/>
              <w:left w:type="dxa" w:w="80"/>
              <w:bottom w:type="dxa" w:w="55"/>
              <w:right w:type="dxa" w:w="80"/>
            </w:tcMar>
            <w:vAlign w:val="center"/>
          </w:tcPr>
          <w:p>
            <w:r>
              <w:rPr>
                <w:sz w:val="15"/>
                <w:szCs w:val="15"/>
              </w:rPr>
              <w:t xml:space="preserve">13</w:t>
            </w:r>
          </w:p>
        </w:tc>
        <w:tc>
          <w:tcPr>
            <w:tcW w:type="dxa" w:w="1400"/>
            <w:shd w:fill="F2F2F2" w:val="clear"/>
            <w:tcMar>
              <w:top w:type="dxa" w:w="55"/>
              <w:left w:type="dxa" w:w="80"/>
              <w:bottom w:type="dxa" w:w="55"/>
              <w:right w:type="dxa" w:w="80"/>
            </w:tcMar>
            <w:vAlign w:val="center"/>
          </w:tcPr>
          <w:p>
            <w:r>
              <w:rPr>
                <w:sz w:val="15"/>
                <w:szCs w:val="15"/>
              </w:rPr>
              <w:t xml:space="preserve">V2</w:t>
            </w:r>
          </w:p>
        </w:tc>
        <w:tc>
          <w:tcPr>
            <w:tcW w:type="dxa" w:w="1950"/>
            <w:shd w:fill="F2F2F2" w:val="clear"/>
            <w:tcMar>
              <w:top w:type="dxa" w:w="55"/>
              <w:left w:type="dxa" w:w="80"/>
              <w:bottom w:type="dxa" w:w="55"/>
              <w:right w:type="dxa" w:w="80"/>
            </w:tcMar>
            <w:vAlign w:val="center"/>
          </w:tcPr>
          <w:p>
            <w:r>
              <w:rPr>
                <w:sz w:val="15"/>
                <w:szCs w:val="15"/>
              </w:rPr>
              <w:t xml:space="preserve">AI Gateway (Technical Architecture Phase 7)</w:t>
            </w:r>
          </w:p>
        </w:tc>
      </w:tr>
      <w:tr>
        <w:tc>
          <w:tcPr>
            <w:tcW w:type="dxa" w:w="1300"/>
            <w:shd w:fill="FFFFFF" w:val="clear"/>
            <w:tcMar>
              <w:top w:type="dxa" w:w="55"/>
              <w:left w:type="dxa" w:w="80"/>
              <w:bottom w:type="dxa" w:w="55"/>
              <w:right w:type="dxa" w:w="80"/>
            </w:tcMar>
            <w:vAlign w:val="center"/>
          </w:tcPr>
          <w:p>
            <w:r>
              <w:rPr>
                <w:sz w:val="15"/>
                <w:szCs w:val="15"/>
              </w:rPr>
              <w:t xml:space="preserve">TJ-019</w:t>
            </w:r>
          </w:p>
        </w:tc>
        <w:tc>
          <w:tcPr>
            <w:tcW w:type="dxa" w:w="2800"/>
            <w:shd w:fill="FFFFFF" w:val="clear"/>
            <w:tcMar>
              <w:top w:type="dxa" w:w="55"/>
              <w:left w:type="dxa" w:w="80"/>
              <w:bottom w:type="dxa" w:w="55"/>
              <w:right w:type="dxa" w:w="80"/>
            </w:tcMar>
            <w:vAlign w:val="center"/>
          </w:tcPr>
          <w:p>
            <w:r>
              <w:rPr>
                <w:sz w:val="15"/>
                <w:szCs w:val="15"/>
              </w:rPr>
              <w:t xml:space="preserve">Enterprise API / CRM Connector</w:t>
            </w:r>
          </w:p>
        </w:tc>
        <w:tc>
          <w:tcPr>
            <w:tcW w:type="dxa" w:w="1000"/>
            <w:shd w:fill="FFFFFF" w:val="clear"/>
            <w:tcMar>
              <w:top w:type="dxa" w:w="55"/>
              <w:left w:type="dxa" w:w="80"/>
              <w:bottom w:type="dxa" w:w="55"/>
              <w:right w:type="dxa" w:w="80"/>
            </w:tcMar>
            <w:vAlign w:val="center"/>
          </w:tcPr>
          <w:p>
            <w:r>
              <w:rPr>
                <w:sz w:val="15"/>
                <w:szCs w:val="15"/>
              </w:rPr>
              <w:t xml:space="preserve">P2</w:t>
            </w:r>
          </w:p>
        </w:tc>
        <w:tc>
          <w:tcPr>
            <w:tcW w:type="dxa" w:w="900"/>
            <w:shd w:fill="FFFFFF" w:val="clear"/>
            <w:tcMar>
              <w:top w:type="dxa" w:w="55"/>
              <w:left w:type="dxa" w:w="80"/>
              <w:bottom w:type="dxa" w:w="55"/>
              <w:right w:type="dxa" w:w="80"/>
            </w:tcMar>
            <w:vAlign w:val="center"/>
          </w:tcPr>
          <w:p>
            <w:r>
              <w:rPr>
                <w:sz w:val="15"/>
                <w:szCs w:val="15"/>
              </w:rPr>
              <w:t xml:space="preserve">13</w:t>
            </w:r>
          </w:p>
        </w:tc>
        <w:tc>
          <w:tcPr>
            <w:tcW w:type="dxa" w:w="1400"/>
            <w:shd w:fill="FFFFFF" w:val="clear"/>
            <w:tcMar>
              <w:top w:type="dxa" w:w="55"/>
              <w:left w:type="dxa" w:w="80"/>
              <w:bottom w:type="dxa" w:w="55"/>
              <w:right w:type="dxa" w:w="80"/>
            </w:tcMar>
            <w:vAlign w:val="center"/>
          </w:tcPr>
          <w:p>
            <w:r>
              <w:rPr>
                <w:sz w:val="15"/>
                <w:szCs w:val="15"/>
              </w:rPr>
              <w:t xml:space="preserve">V2</w:t>
            </w:r>
          </w:p>
        </w:tc>
        <w:tc>
          <w:tcPr>
            <w:tcW w:type="dxa" w:w="1950"/>
            <w:shd w:fill="FFFFFF" w:val="clear"/>
            <w:tcMar>
              <w:top w:type="dxa" w:w="55"/>
              <w:left w:type="dxa" w:w="80"/>
              <w:bottom w:type="dxa" w:w="55"/>
              <w:right w:type="dxa" w:w="80"/>
            </w:tcMar>
            <w:vAlign w:val="center"/>
          </w:tcPr>
          <w:p>
            <w:r>
              <w:rPr>
                <w:sz w:val="15"/>
                <w:szCs w:val="15"/>
              </w:rPr>
              <w:t xml:space="preserve">TJ-015</w:t>
            </w:r>
          </w:p>
        </w:tc>
      </w:tr>
    </w:tbl>
    <w:p>
      <w:r>
        <w:br w:type="page"/>
      </w:r>
    </w:p>
    <w:p>
      <w:pPr>
        <w:pStyle w:val="Heading1"/>
        <w:pBdr>
          <w:bottom w:val="single" w:color="1F2A44" w:sz="8" w:space="4"/>
        </w:pBdr>
        <w:spacing w:after="190" w:before="380"/>
      </w:pPr>
      <w:r>
        <w:rPr>
          <w:b/>
          <w:bCs/>
          <w:color w:val="1F2A44"/>
          <w:sz w:val="28"/>
          <w:szCs w:val="28"/>
        </w:rPr>
        <w:t xml:space="preserve">3. Sprint Backlog</w:t>
      </w:r>
    </w:p>
    <w:p>
      <w:pPr>
        <w:spacing w:after="110" w:line="260"/>
      </w:pPr>
      <w:r>
        <w:rPr>
          <w:sz w:val="19"/>
          <w:szCs w:val="19"/>
        </w:rPr>
        <w:t xml:space="preserve">Two-week sprints. Sprint 0 (setup) + Sprints 1–4 reach MVP (8 weeks engineering + buffer = the PRD's Day 61–150 window). Sprints 5–6 cover hardening/beta before Production.</w:t>
      </w:r>
    </w:p>
    <w:p>
      <w:pPr>
        <w:spacing w:after="60" w:before="160"/>
      </w:pPr>
      <w:r>
        <w:rPr>
          <w:b/>
          <w:bCs/>
          <w:color w:val="1F2A44"/>
          <w:sz w:val="21"/>
          <w:szCs w:val="21"/>
        </w:rPr>
        <w:t xml:space="preserve">Sprint 0 — Setup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Engineering environment and foundations ready — zero product code required to demo</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Repo scaffolded, CI/CD pipeline green, staging environment live, SMS/OTP + WhatsApp BSP + payment provider contracts signed, PDPL legal review kicked off, design system v0</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N/A — no user stories; infra/EPIC-11/EPIC-12 tasks only</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(per Blueprint Year-1 team)</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Provider contract delays (WhatsApp BSP approval can take weeks) — start Sprint 0 in parallel with Track 0 validation sprint, not after it</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None (first sprint)</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Working CI/CD pipeline deploying a hello-world service to staging</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All infra provisioned, all third-party accounts active, legal kickoff meeting held</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staging environment reachable, at least 2 of 3 external contracts (SMS, WhatsApp, payment) signed</w:t>
            </w:r>
          </w:p>
        </w:tc>
      </w:tr>
    </w:tbl>
    <w:p>
      <w:pPr>
        <w:spacing w:after="60" w:before="160"/>
      </w:pPr>
      <w:r>
        <w:rPr>
          <w:b/>
          <w:bCs/>
          <w:color w:val="1F2A44"/>
          <w:sz w:val="21"/>
          <w:szCs w:val="21"/>
        </w:rPr>
        <w:t xml:space="preserve">Sprint 1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Consumer can register and a brand account can exist</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TJ-001 OTP Login, TJ-002 Profile Setup, TJ-012 Brand Onboarding, TJ-008 Consent Center (start)</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TJ-001, TJ-002, TJ-012, TJ-008 (partial)</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~200h capacity</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SMS deliverability on Egyptian carriers unverified — Sprint 0 spike should have de-risked this</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0 infra complete</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A real phone number completes OTP signup end-to-end</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All Sprint 1 stories meet Definition of Done</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OTP success rate ≥95% in staging test across 3 carriers</w:t>
            </w:r>
          </w:p>
        </w:tc>
      </w:tr>
    </w:tbl>
    <w:p>
      <w:pPr>
        <w:spacing w:after="60" w:before="160"/>
      </w:pPr>
      <w:r>
        <w:rPr>
          <w:b/>
          <w:bCs/>
          <w:color w:val="1F2A44"/>
          <w:sz w:val="21"/>
          <w:szCs w:val="21"/>
        </w:rPr>
        <w:t xml:space="preserve">Sprint 2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A brand can create a campaign and a consumer can redeem a sample</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TJ-013 Campaign Wizard, TJ-020 Campaign Config/Approval, TJ-005 QR Redemption, TJ-006 Survey (start)</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TJ-013, TJ-020, TJ-005, TJ-006 (partial)</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~200h capacity</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QR concurrency bugs are the highest-severity technical risk in the whole MVP — allocate extra QA time here</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1 complete (Auth, Brand accounts)</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Full campaign creation → QR redemption loop (no survey yet)</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All Sprint 2 stories meet DoD, QR load test passed</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50 concurrent redemptions handled with zero data corruption</w:t>
            </w:r>
          </w:p>
        </w:tc>
      </w:tr>
    </w:tbl>
    <w:p>
      <w:pPr>
        <w:spacing w:after="60" w:before="160"/>
      </w:pPr>
      <w:r>
        <w:rPr>
          <w:b/>
          <w:bCs/>
          <w:color w:val="1F2A44"/>
          <w:sz w:val="21"/>
          <w:szCs w:val="21"/>
        </w:rPr>
        <w:t xml:space="preserve">Sprint 3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The core data loop closes — redemption feeds a survey feeds notifications</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TJ-006 (complete), TJ-004 Push Notification, TJ-003 Campaign Discovery, TJ-016 Brand User Mgmt, TJ-008 (complete)</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TJ-006, TJ-004, TJ-003, TJ-016, TJ-008</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~200h capacity</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WhatsApp BSP approval may still be pending — fallback to push-only notification if so</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2 complete</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Consumer discovers a campaign, redeems, completes survey; brand sees it happen live (pre-dashboard)</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All Sprint 3 stories meet DoD, PDPL legal sign-off obtained for TJ-008</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legal sign-off received — this is a hard gate, not negotiable</w:t>
            </w:r>
          </w:p>
        </w:tc>
      </w:tr>
    </w:tbl>
    <w:p>
      <w:pPr>
        <w:spacing w:after="60" w:before="160"/>
      </w:pPr>
      <w:r>
        <w:rPr>
          <w:b/>
          <w:bCs/>
          <w:color w:val="1F2A44"/>
          <w:sz w:val="21"/>
          <w:szCs w:val="21"/>
        </w:rPr>
        <w:t xml:space="preserve">Sprint 4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Brands can see and export what they paid for</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TJ-014 Live Monitoring, TJ-015 Analytics Report, TJ-007 Consumer Support, TJ-021 Fraud Review Queue, TJ-022 Support Tickets</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TJ-014, TJ-015, TJ-007, TJ-021, TJ-022</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~200h capacity</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Data-quality bugs in the analytics report directly damage brand trust — full QA pass before demo</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3 complete</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A full simulated campaign lifecycle, ending in a brand downloading a CSV report</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All Sprint 4 stories meet DoD</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a full end-to-end pilot campaign (internal test brand + test consumers) completes cleanly</w:t>
            </w:r>
          </w:p>
        </w:tc>
      </w:tr>
    </w:tbl>
    <w:p>
      <w:pPr>
        <w:spacing w:after="60" w:before="160"/>
      </w:pPr>
      <w:r>
        <w:rPr>
          <w:b/>
          <w:bCs/>
          <w:color w:val="1F2A44"/>
          <w:sz w:val="21"/>
          <w:szCs w:val="21"/>
        </w:rPr>
        <w:t xml:space="preserve">Sprint 5 — Hardening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MVP is feature-complete; this sprint is bug-fixing, performance, and security only</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Load testing, penetration-test remediation, accessibility pass, Arabic-copy QA, monitoring/alerting finalization</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No new features — bug-fix backlog only</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~200h capacity</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Scope creep — Product must hold the line on "no new features in hardening"</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4 complete, feature-complete build</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Internal Alpha demo to the full founding team + IC</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Zero P0/P1 bugs open, penetration-test findings triaged</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zero P0 security findings remain open</w:t>
            </w:r>
          </w:p>
        </w:tc>
      </w:tr>
    </w:tbl>
    <w:p>
      <w:pPr>
        <w:spacing w:after="60" w:before="160"/>
      </w:pPr>
      <w:r>
        <w:rPr>
          <w:b/>
          <w:bCs/>
          <w:color w:val="1F2A44"/>
          <w:sz w:val="21"/>
          <w:szCs w:val="21"/>
        </w:rPr>
        <w:t xml:space="preserve">Sprint 6 — Private Beta Prep (2 wks)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Field</w:t>
            </w:r>
          </w:p>
        </w:tc>
        <w:tc>
          <w:tcPr>
            <w:tcW w:type="dxa" w:w="7550"/>
            <w:shd w:fill="1F2A44" w:val="clear"/>
            <w:tcMar>
              <w:top w:type="dxa" w:w="70"/>
              <w:left w:type="dxa" w:w="90"/>
              <w:bottom w:type="dxa" w:w="70"/>
              <w:right w:type="dxa" w:w="90"/>
            </w:tcMar>
            <w:vAlign w:val="center"/>
          </w:tcPr>
          <w:p>
            <w:r>
              <w:rPr>
                <w:b/>
                <w:bCs/>
                <w:color w:val="FFFFFF"/>
                <w:sz w:val="15"/>
                <w:szCs w:val="15"/>
              </w:rPr>
              <w:t xml:space="preserve">Detail</w:t>
            </w:r>
          </w:p>
        </w:tc>
      </w:tr>
      <w:tr>
        <w:tc>
          <w:tcPr>
            <w:tcW w:type="dxa" w:w="1800"/>
            <w:shd w:fill="FFFFFF" w:val="clear"/>
            <w:tcMar>
              <w:top w:type="dxa" w:w="55"/>
              <w:left w:type="dxa" w:w="80"/>
              <w:bottom w:type="dxa" w:w="55"/>
              <w:right w:type="dxa" w:w="80"/>
            </w:tcMar>
            <w:vAlign w:val="center"/>
          </w:tcPr>
          <w:p>
            <w:r>
              <w:rPr>
                <w:sz w:val="15"/>
                <w:szCs w:val="15"/>
              </w:rPr>
              <w:t xml:space="preserve">Sprint Goal</w:t>
            </w:r>
          </w:p>
        </w:tc>
        <w:tc>
          <w:tcPr>
            <w:tcW w:type="dxa" w:w="7550"/>
            <w:shd w:fill="FFFFFF" w:val="clear"/>
            <w:tcMar>
              <w:top w:type="dxa" w:w="55"/>
              <w:left w:type="dxa" w:w="80"/>
              <w:bottom w:type="dxa" w:w="55"/>
              <w:right w:type="dxa" w:w="80"/>
            </w:tcMar>
            <w:vAlign w:val="center"/>
          </w:tcPr>
          <w:p>
            <w:r>
              <w:rPr>
                <w:sz w:val="15"/>
                <w:szCs w:val="15"/>
              </w:rPr>
              <w:t xml:space="preserve">Ready to onboard the first 5 real brand pilots (the sprint's own LOI targets)</w:t>
            </w:r>
          </w:p>
        </w:tc>
      </w:tr>
      <w:tr>
        <w:tc>
          <w:tcPr>
            <w:tcW w:type="dxa" w:w="1800"/>
            <w:shd w:fill="F2F2F2" w:val="clear"/>
            <w:tcMar>
              <w:top w:type="dxa" w:w="55"/>
              <w:left w:type="dxa" w:w="80"/>
              <w:bottom w:type="dxa" w:w="55"/>
              <w:right w:type="dxa" w:w="80"/>
            </w:tcMar>
            <w:vAlign w:val="center"/>
          </w:tcPr>
          <w:p>
            <w:r>
              <w:rPr>
                <w:sz w:val="15"/>
                <w:szCs w:val="15"/>
              </w:rPr>
              <w:t xml:space="preserve">Deliverables</w:t>
            </w:r>
          </w:p>
        </w:tc>
        <w:tc>
          <w:tcPr>
            <w:tcW w:type="dxa" w:w="7550"/>
            <w:shd w:fill="F2F2F2" w:val="clear"/>
            <w:tcMar>
              <w:top w:type="dxa" w:w="55"/>
              <w:left w:type="dxa" w:w="80"/>
              <w:bottom w:type="dxa" w:w="55"/>
              <w:right w:type="dxa" w:w="80"/>
            </w:tcMar>
            <w:vAlign w:val="center"/>
          </w:tcPr>
          <w:p>
            <w:r>
              <w:rPr>
                <w:sz w:val="15"/>
                <w:szCs w:val="15"/>
              </w:rPr>
              <w:t xml:space="preserve">Onboard 5 real brand accounts, run first real campaigns, support/ops runbooks finalized</w:t>
            </w:r>
          </w:p>
        </w:tc>
      </w:tr>
      <w:tr>
        <w:tc>
          <w:tcPr>
            <w:tcW w:type="dxa" w:w="1800"/>
            <w:shd w:fill="FFFFFF" w:val="clear"/>
            <w:tcMar>
              <w:top w:type="dxa" w:w="55"/>
              <w:left w:type="dxa" w:w="80"/>
              <w:bottom w:type="dxa" w:w="55"/>
              <w:right w:type="dxa" w:w="80"/>
            </w:tcMar>
            <w:vAlign w:val="center"/>
          </w:tcPr>
          <w:p>
            <w:r>
              <w:rPr>
                <w:sz w:val="15"/>
                <w:szCs w:val="15"/>
              </w:rPr>
              <w:t xml:space="preserve">Included Stories</w:t>
            </w:r>
          </w:p>
        </w:tc>
        <w:tc>
          <w:tcPr>
            <w:tcW w:type="dxa" w:w="7550"/>
            <w:shd w:fill="FFFFFF" w:val="clear"/>
            <w:tcMar>
              <w:top w:type="dxa" w:w="55"/>
              <w:left w:type="dxa" w:w="80"/>
              <w:bottom w:type="dxa" w:w="55"/>
              <w:right w:type="dxa" w:w="80"/>
            </w:tcMar>
            <w:vAlign w:val="center"/>
          </w:tcPr>
          <w:p>
            <w:r>
              <w:rPr>
                <w:sz w:val="15"/>
                <w:szCs w:val="15"/>
              </w:rPr>
              <w:t xml:space="preserve">Real-world validation, not new stories</w:t>
            </w:r>
          </w:p>
        </w:tc>
      </w:tr>
      <w:tr>
        <w:tc>
          <w:tcPr>
            <w:tcW w:type="dxa" w:w="1800"/>
            <w:shd w:fill="F2F2F2" w:val="clear"/>
            <w:tcMar>
              <w:top w:type="dxa" w:w="55"/>
              <w:left w:type="dxa" w:w="80"/>
              <w:bottom w:type="dxa" w:w="55"/>
              <w:right w:type="dxa" w:w="80"/>
            </w:tcMar>
            <w:vAlign w:val="center"/>
          </w:tcPr>
          <w:p>
            <w:r>
              <w:rPr>
                <w:sz w:val="15"/>
                <w:szCs w:val="15"/>
              </w:rPr>
              <w:t xml:space="preserve">Capacity</w:t>
            </w:r>
          </w:p>
        </w:tc>
        <w:tc>
          <w:tcPr>
            <w:tcW w:type="dxa" w:w="7550"/>
            <w:shd w:fill="F2F2F2" w:val="clear"/>
            <w:tcMar>
              <w:top w:type="dxa" w:w="55"/>
              <w:left w:type="dxa" w:w="80"/>
              <w:bottom w:type="dxa" w:w="55"/>
              <w:right w:type="dxa" w:w="80"/>
            </w:tcMar>
            <w:vAlign w:val="center"/>
          </w:tcPr>
          <w:p>
            <w:r>
              <w:rPr>
                <w:sz w:val="15"/>
                <w:szCs w:val="15"/>
              </w:rPr>
              <w:t xml:space="preserve">5 engineers + Ops/Support live</w:t>
            </w:r>
          </w:p>
        </w:tc>
      </w:tr>
      <w:tr>
        <w:tc>
          <w:tcPr>
            <w:tcW w:type="dxa" w:w="1800"/>
            <w:shd w:fill="FFFFFF" w:val="clear"/>
            <w:tcMar>
              <w:top w:type="dxa" w:w="55"/>
              <w:left w:type="dxa" w:w="80"/>
              <w:bottom w:type="dxa" w:w="55"/>
              <w:right w:type="dxa" w:w="80"/>
            </w:tcMar>
            <w:vAlign w:val="center"/>
          </w:tcPr>
          <w:p>
            <w:r>
              <w:rPr>
                <w:sz w:val="15"/>
                <w:szCs w:val="15"/>
              </w:rPr>
              <w:t xml:space="preserve">Risks</w:t>
            </w:r>
          </w:p>
        </w:tc>
        <w:tc>
          <w:tcPr>
            <w:tcW w:type="dxa" w:w="7550"/>
            <w:shd w:fill="FFFFFF" w:val="clear"/>
            <w:tcMar>
              <w:top w:type="dxa" w:w="55"/>
              <w:left w:type="dxa" w:w="80"/>
              <w:bottom w:type="dxa" w:w="55"/>
              <w:right w:type="dxa" w:w="80"/>
            </w:tcMar>
            <w:vAlign w:val="center"/>
          </w:tcPr>
          <w:p>
            <w:r>
              <w:rPr>
                <w:sz w:val="15"/>
                <w:szCs w:val="15"/>
              </w:rPr>
              <w:t xml:space="preserve">Real brands may surface requirements gaps the simulated pilots didn't — budget slack for fast-follow fixes</w:t>
            </w:r>
          </w:p>
        </w:tc>
      </w:tr>
      <w:tr>
        <w:tc>
          <w:tcPr>
            <w:tcW w:type="dxa" w:w="1800"/>
            <w:shd w:fill="F2F2F2" w:val="clear"/>
            <w:tcMar>
              <w:top w:type="dxa" w:w="55"/>
              <w:left w:type="dxa" w:w="80"/>
              <w:bottom w:type="dxa" w:w="55"/>
              <w:right w:type="dxa" w:w="80"/>
            </w:tcMar>
            <w:vAlign w:val="center"/>
          </w:tcPr>
          <w:p>
            <w:r>
              <w:rPr>
                <w:sz w:val="15"/>
                <w:szCs w:val="15"/>
              </w:rPr>
              <w:t xml:space="preserve">Dependencies</w:t>
            </w:r>
          </w:p>
        </w:tc>
        <w:tc>
          <w:tcPr>
            <w:tcW w:type="dxa" w:w="7550"/>
            <w:shd w:fill="F2F2F2" w:val="clear"/>
            <w:tcMar>
              <w:top w:type="dxa" w:w="55"/>
              <w:left w:type="dxa" w:w="80"/>
              <w:bottom w:type="dxa" w:w="55"/>
              <w:right w:type="dxa" w:w="80"/>
            </w:tcMar>
            <w:vAlign w:val="center"/>
          </w:tcPr>
          <w:p>
            <w:r>
              <w:rPr>
                <w:sz w:val="15"/>
                <w:szCs w:val="15"/>
              </w:rPr>
              <w:t xml:space="preserve">Sprint 5 complete, all P0 bugs closed</w:t>
            </w:r>
          </w:p>
        </w:tc>
      </w:tr>
      <w:tr>
        <w:tc>
          <w:tcPr>
            <w:tcW w:type="dxa" w:w="1800"/>
            <w:shd w:fill="FFFFFF" w:val="clear"/>
            <w:tcMar>
              <w:top w:type="dxa" w:w="55"/>
              <w:left w:type="dxa" w:w="80"/>
              <w:bottom w:type="dxa" w:w="55"/>
              <w:right w:type="dxa" w:w="80"/>
            </w:tcMar>
            <w:vAlign w:val="center"/>
          </w:tcPr>
          <w:p>
            <w:r>
              <w:rPr>
                <w:sz w:val="15"/>
                <w:szCs w:val="15"/>
              </w:rPr>
              <w:t xml:space="preserve">Expected Demo</w:t>
            </w:r>
          </w:p>
        </w:tc>
        <w:tc>
          <w:tcPr>
            <w:tcW w:type="dxa" w:w="7550"/>
            <w:shd w:fill="FFFFFF" w:val="clear"/>
            <w:tcMar>
              <w:top w:type="dxa" w:w="55"/>
              <w:left w:type="dxa" w:w="80"/>
              <w:bottom w:type="dxa" w:w="55"/>
              <w:right w:type="dxa" w:w="80"/>
            </w:tcMar>
            <w:vAlign w:val="center"/>
          </w:tcPr>
          <w:p>
            <w:r>
              <w:rPr>
                <w:sz w:val="15"/>
                <w:szCs w:val="15"/>
              </w:rPr>
              <w:t xml:space="preserve">A live campaign running with a real brand client</w:t>
            </w:r>
          </w:p>
        </w:tc>
      </w:tr>
      <w:tr>
        <w:tc>
          <w:tcPr>
            <w:tcW w:type="dxa" w:w="1800"/>
            <w:shd w:fill="F2F2F2" w:val="clear"/>
            <w:tcMar>
              <w:top w:type="dxa" w:w="55"/>
              <w:left w:type="dxa" w:w="80"/>
              <w:bottom w:type="dxa" w:w="55"/>
              <w:right w:type="dxa" w:w="80"/>
            </w:tcMar>
            <w:vAlign w:val="center"/>
          </w:tcPr>
          <w:p>
            <w:r>
              <w:rPr>
                <w:sz w:val="15"/>
                <w:szCs w:val="15"/>
              </w:rPr>
              <w:t xml:space="preserve">Definition of Done</w:t>
            </w:r>
          </w:p>
        </w:tc>
        <w:tc>
          <w:tcPr>
            <w:tcW w:type="dxa" w:w="7550"/>
            <w:shd w:fill="F2F2F2" w:val="clear"/>
            <w:tcMar>
              <w:top w:type="dxa" w:w="55"/>
              <w:left w:type="dxa" w:w="80"/>
              <w:bottom w:type="dxa" w:w="55"/>
              <w:right w:type="dxa" w:w="80"/>
            </w:tcMar>
            <w:vAlign w:val="center"/>
          </w:tcPr>
          <w:p>
            <w:r>
              <w:rPr>
                <w:sz w:val="15"/>
                <w:szCs w:val="15"/>
              </w:rPr>
              <w:t xml:space="preserve">Private Beta success criteria met (Section 4)</w:t>
            </w:r>
          </w:p>
        </w:tc>
      </w:tr>
      <w:tr>
        <w:tc>
          <w:tcPr>
            <w:tcW w:type="dxa" w:w="1800"/>
            <w:shd w:fill="FFFFFF" w:val="clear"/>
            <w:tcMar>
              <w:top w:type="dxa" w:w="55"/>
              <w:left w:type="dxa" w:w="80"/>
              <w:bottom w:type="dxa" w:w="55"/>
              <w:right w:type="dxa" w:w="80"/>
            </w:tcMar>
            <w:vAlign w:val="center"/>
          </w:tcPr>
          <w:p>
            <w:r>
              <w:rPr>
                <w:sz w:val="15"/>
                <w:szCs w:val="15"/>
              </w:rPr>
              <w:t xml:space="preserve">Go/No-Go</w:t>
            </w:r>
          </w:p>
        </w:tc>
        <w:tc>
          <w:tcPr>
            <w:tcW w:type="dxa" w:w="7550"/>
            <w:shd w:fill="FFFFFF" w:val="clear"/>
            <w:tcMar>
              <w:top w:type="dxa" w:w="55"/>
              <w:left w:type="dxa" w:w="80"/>
              <w:bottom w:type="dxa" w:w="55"/>
              <w:right w:type="dxa" w:w="80"/>
            </w:tcMar>
            <w:vAlign w:val="center"/>
          </w:tcPr>
          <w:p>
            <w:r>
              <w:rPr>
                <w:sz w:val="15"/>
                <w:szCs w:val="15"/>
              </w:rPr>
              <w:t xml:space="preserve">GO if: Private Beta entry criteria (Section 4) are met</w:t>
            </w:r>
          </w:p>
        </w:tc>
      </w:tr>
    </w:tbl>
    <w:p>
      <w:r>
        <w:br w:type="page"/>
      </w:r>
    </w:p>
    <w:p>
      <w:pPr>
        <w:pStyle w:val="Heading1"/>
        <w:pBdr>
          <w:bottom w:val="single" w:color="1F2A44" w:sz="8" w:space="4"/>
        </w:pBdr>
        <w:spacing w:after="190" w:before="380"/>
      </w:pPr>
      <w:r>
        <w:rPr>
          <w:b/>
          <w:bCs/>
          <w:color w:val="1F2A44"/>
          <w:sz w:val="28"/>
          <w:szCs w:val="28"/>
        </w:rPr>
        <w:t xml:space="preserve">4. Release Roadmap</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400"/>
        <w:gridCol w:w="1400"/>
        <w:gridCol w:w="1300"/>
        <w:gridCol w:w="1400"/>
        <w:gridCol w:w="900"/>
        <w:gridCol w:w="1450"/>
      </w:tblGrid>
      <w:tr>
        <w:trPr>
          <w:tblHeader/>
        </w:trPr>
        <w:tc>
          <w:tcPr>
            <w:tcW w:type="dxa" w:w="900"/>
            <w:shd w:fill="1F2A44" w:val="clear"/>
            <w:tcMar>
              <w:top w:type="dxa" w:w="70"/>
              <w:left w:type="dxa" w:w="90"/>
              <w:bottom w:type="dxa" w:w="70"/>
              <w:right w:type="dxa" w:w="90"/>
            </w:tcMar>
            <w:vAlign w:val="center"/>
          </w:tcPr>
          <w:p>
            <w:r>
              <w:rPr>
                <w:b/>
                <w:bCs/>
                <w:color w:val="FFFFFF"/>
                <w:sz w:val="15"/>
                <w:szCs w:val="15"/>
              </w:rPr>
              <w:t xml:space="preserve">Release</w:t>
            </w:r>
          </w:p>
        </w:tc>
        <w:tc>
          <w:tcPr>
            <w:tcW w:type="dxa" w:w="1400"/>
            <w:shd w:fill="1F2A44" w:val="clear"/>
            <w:tcMar>
              <w:top w:type="dxa" w:w="70"/>
              <w:left w:type="dxa" w:w="90"/>
              <w:bottom w:type="dxa" w:w="70"/>
              <w:right w:type="dxa" w:w="90"/>
            </w:tcMar>
            <w:vAlign w:val="center"/>
          </w:tcPr>
          <w:p>
            <w:r>
              <w:rPr>
                <w:b/>
                <w:bCs/>
                <w:color w:val="FFFFFF"/>
                <w:sz w:val="15"/>
                <w:szCs w:val="15"/>
              </w:rPr>
              <w:t xml:space="preserve">Objectives</w:t>
            </w:r>
          </w:p>
        </w:tc>
        <w:tc>
          <w:tcPr>
            <w:tcW w:type="dxa" w:w="1400"/>
            <w:shd w:fill="1F2A44" w:val="clear"/>
            <w:tcMar>
              <w:top w:type="dxa" w:w="70"/>
              <w:left w:type="dxa" w:w="90"/>
              <w:bottom w:type="dxa" w:w="70"/>
              <w:right w:type="dxa" w:w="90"/>
            </w:tcMar>
            <w:vAlign w:val="center"/>
          </w:tcPr>
          <w:p>
            <w:r>
              <w:rPr>
                <w:b/>
                <w:bCs/>
                <w:color w:val="FFFFFF"/>
                <w:sz w:val="15"/>
                <w:szCs w:val="15"/>
              </w:rPr>
              <w:t xml:space="preserve">Features</w:t>
            </w:r>
          </w:p>
        </w:tc>
        <w:tc>
          <w:tcPr>
            <w:tcW w:type="dxa" w:w="1300"/>
            <w:shd w:fill="1F2A44" w:val="clear"/>
            <w:tcMar>
              <w:top w:type="dxa" w:w="70"/>
              <w:left w:type="dxa" w:w="90"/>
              <w:bottom w:type="dxa" w:w="70"/>
              <w:right w:type="dxa" w:w="90"/>
            </w:tcMar>
            <w:vAlign w:val="center"/>
          </w:tcPr>
          <w:p>
            <w:r>
              <w:rPr>
                <w:b/>
                <w:bCs/>
                <w:color w:val="FFFFFF"/>
                <w:sz w:val="15"/>
                <w:szCs w:val="15"/>
              </w:rPr>
              <w:t xml:space="preserve">Entry Criteria</w:t>
            </w:r>
          </w:p>
        </w:tc>
        <w:tc>
          <w:tcPr>
            <w:tcW w:type="dxa" w:w="1400"/>
            <w:shd w:fill="1F2A44" w:val="clear"/>
            <w:tcMar>
              <w:top w:type="dxa" w:w="70"/>
              <w:left w:type="dxa" w:w="90"/>
              <w:bottom w:type="dxa" w:w="70"/>
              <w:right w:type="dxa" w:w="90"/>
            </w:tcMar>
            <w:vAlign w:val="center"/>
          </w:tcPr>
          <w:p>
            <w:r>
              <w:rPr>
                <w:b/>
                <w:bCs/>
                <w:color w:val="FFFFFF"/>
                <w:sz w:val="15"/>
                <w:szCs w:val="15"/>
              </w:rPr>
              <w:t xml:space="preserve">Exit Criteria</w:t>
            </w:r>
          </w:p>
        </w:tc>
        <w:tc>
          <w:tcPr>
            <w:tcW w:type="dxa" w:w="900"/>
            <w:shd w:fill="1F2A44" w:val="clear"/>
            <w:tcMar>
              <w:top w:type="dxa" w:w="70"/>
              <w:left w:type="dxa" w:w="90"/>
              <w:bottom w:type="dxa" w:w="70"/>
              <w:right w:type="dxa" w:w="90"/>
            </w:tcMar>
            <w:vAlign w:val="center"/>
          </w:tcPr>
          <w:p>
            <w:r>
              <w:rPr>
                <w:b/>
                <w:bCs/>
                <w:color w:val="FFFFFF"/>
                <w:sz w:val="15"/>
                <w:szCs w:val="15"/>
              </w:rPr>
              <w:t xml:space="preserve">Testing Scope</w:t>
            </w:r>
          </w:p>
        </w:tc>
        <w:tc>
          <w:tcPr>
            <w:tcW w:type="dxa" w:w="1450"/>
            <w:shd w:fill="1F2A44" w:val="clear"/>
            <w:tcMar>
              <w:top w:type="dxa" w:w="70"/>
              <w:left w:type="dxa" w:w="90"/>
              <w:bottom w:type="dxa" w:w="70"/>
              <w:right w:type="dxa" w:w="90"/>
            </w:tcMar>
            <w:vAlign w:val="center"/>
          </w:tcPr>
          <w:p>
            <w:r>
              <w:rPr>
                <w:b/>
                <w:bCs/>
                <w:color w:val="FFFFFF"/>
                <w:sz w:val="15"/>
                <w:szCs w:val="15"/>
              </w:rPr>
              <w:t xml:space="preserve">Rollback Plan</w:t>
            </w:r>
          </w:p>
        </w:tc>
      </w:tr>
      <w:tr>
        <w:tc>
          <w:tcPr>
            <w:tcW w:type="dxa" w:w="900"/>
            <w:shd w:fill="FFFFFF" w:val="clear"/>
            <w:tcMar>
              <w:top w:type="dxa" w:w="55"/>
              <w:left w:type="dxa" w:w="80"/>
              <w:bottom w:type="dxa" w:w="55"/>
              <w:right w:type="dxa" w:w="80"/>
            </w:tcMar>
            <w:vAlign w:val="center"/>
          </w:tcPr>
          <w:p>
            <w:r>
              <w:rPr>
                <w:sz w:val="15"/>
                <w:szCs w:val="15"/>
              </w:rPr>
              <w:t xml:space="preserve">Internal Alpha</w:t>
            </w:r>
          </w:p>
        </w:tc>
        <w:tc>
          <w:tcPr>
            <w:tcW w:type="dxa" w:w="1400"/>
            <w:shd w:fill="FFFFFF" w:val="clear"/>
            <w:tcMar>
              <w:top w:type="dxa" w:w="55"/>
              <w:left w:type="dxa" w:w="80"/>
              <w:bottom w:type="dxa" w:w="55"/>
              <w:right w:type="dxa" w:w="80"/>
            </w:tcMar>
            <w:vAlign w:val="center"/>
          </w:tcPr>
          <w:p>
            <w:r>
              <w:rPr>
                <w:sz w:val="15"/>
                <w:szCs w:val="15"/>
              </w:rPr>
              <w:t xml:space="preserve">Validate the full loop works with the founding team only</w:t>
            </w:r>
          </w:p>
        </w:tc>
        <w:tc>
          <w:tcPr>
            <w:tcW w:type="dxa" w:w="1400"/>
            <w:shd w:fill="FFFFFF" w:val="clear"/>
            <w:tcMar>
              <w:top w:type="dxa" w:w="55"/>
              <w:left w:type="dxa" w:w="80"/>
              <w:bottom w:type="dxa" w:w="55"/>
              <w:right w:type="dxa" w:w="80"/>
            </w:tcMar>
            <w:vAlign w:val="center"/>
          </w:tcPr>
          <w:p>
            <w:r>
              <w:rPr>
                <w:sz w:val="15"/>
                <w:szCs w:val="15"/>
              </w:rPr>
              <w:t xml:space="preserve">MVP feature set, no real brands/consumers</w:t>
            </w:r>
          </w:p>
        </w:tc>
        <w:tc>
          <w:tcPr>
            <w:tcW w:type="dxa" w:w="1300"/>
            <w:shd w:fill="FFFFFF" w:val="clear"/>
            <w:tcMar>
              <w:top w:type="dxa" w:w="55"/>
              <w:left w:type="dxa" w:w="80"/>
              <w:bottom w:type="dxa" w:w="55"/>
              <w:right w:type="dxa" w:w="80"/>
            </w:tcMar>
            <w:vAlign w:val="center"/>
          </w:tcPr>
          <w:p>
            <w:r>
              <w:rPr>
                <w:sz w:val="15"/>
                <w:szCs w:val="15"/>
              </w:rPr>
              <w:t xml:space="preserve">Sprint 5 hardening complete</w:t>
            </w:r>
          </w:p>
        </w:tc>
        <w:tc>
          <w:tcPr>
            <w:tcW w:type="dxa" w:w="1400"/>
            <w:shd w:fill="FFFFFF" w:val="clear"/>
            <w:tcMar>
              <w:top w:type="dxa" w:w="55"/>
              <w:left w:type="dxa" w:w="80"/>
              <w:bottom w:type="dxa" w:w="55"/>
              <w:right w:type="dxa" w:w="80"/>
            </w:tcMar>
            <w:vAlign w:val="center"/>
          </w:tcPr>
          <w:p>
            <w:r>
              <w:rPr>
                <w:sz w:val="15"/>
                <w:szCs w:val="15"/>
              </w:rPr>
              <w:t xml:space="preserve">Zero P0 bugs, all demos pass</w:t>
            </w:r>
          </w:p>
        </w:tc>
        <w:tc>
          <w:tcPr>
            <w:tcW w:type="dxa" w:w="900"/>
            <w:shd w:fill="FFFFFF" w:val="clear"/>
            <w:tcMar>
              <w:top w:type="dxa" w:w="55"/>
              <w:left w:type="dxa" w:w="80"/>
              <w:bottom w:type="dxa" w:w="55"/>
              <w:right w:type="dxa" w:w="80"/>
            </w:tcMar>
            <w:vAlign w:val="center"/>
          </w:tcPr>
          <w:p>
            <w:r>
              <w:rPr>
                <w:sz w:val="15"/>
                <w:szCs w:val="15"/>
              </w:rPr>
              <w:t xml:space="preserve">Full regression + security</w:t>
            </w:r>
          </w:p>
        </w:tc>
        <w:tc>
          <w:tcPr>
            <w:tcW w:type="dxa" w:w="1450"/>
            <w:shd w:fill="FFFFFF" w:val="clear"/>
            <w:tcMar>
              <w:top w:type="dxa" w:w="55"/>
              <w:left w:type="dxa" w:w="80"/>
              <w:bottom w:type="dxa" w:w="55"/>
              <w:right w:type="dxa" w:w="80"/>
            </w:tcMar>
            <w:vAlign w:val="center"/>
          </w:tcPr>
          <w:p>
            <w:r>
              <w:rPr>
                <w:sz w:val="15"/>
                <w:szCs w:val="15"/>
              </w:rPr>
              <w:t xml:space="preserve">N/A — internal only, no rollback needed</w:t>
            </w:r>
          </w:p>
        </w:tc>
      </w:tr>
      <w:tr>
        <w:tc>
          <w:tcPr>
            <w:tcW w:type="dxa" w:w="900"/>
            <w:shd w:fill="F2F2F2" w:val="clear"/>
            <w:tcMar>
              <w:top w:type="dxa" w:w="55"/>
              <w:left w:type="dxa" w:w="80"/>
              <w:bottom w:type="dxa" w:w="55"/>
              <w:right w:type="dxa" w:w="80"/>
            </w:tcMar>
            <w:vAlign w:val="center"/>
          </w:tcPr>
          <w:p>
            <w:r>
              <w:rPr>
                <w:sz w:val="15"/>
                <w:szCs w:val="15"/>
              </w:rPr>
              <w:t xml:space="preserve">Private Beta</w:t>
            </w:r>
          </w:p>
        </w:tc>
        <w:tc>
          <w:tcPr>
            <w:tcW w:type="dxa" w:w="1400"/>
            <w:shd w:fill="F2F2F2" w:val="clear"/>
            <w:tcMar>
              <w:top w:type="dxa" w:w="55"/>
              <w:left w:type="dxa" w:w="80"/>
              <w:bottom w:type="dxa" w:w="55"/>
              <w:right w:type="dxa" w:w="80"/>
            </w:tcMar>
            <w:vAlign w:val="center"/>
          </w:tcPr>
          <w:p>
            <w:r>
              <w:rPr>
                <w:sz w:val="15"/>
                <w:szCs w:val="15"/>
              </w:rPr>
              <w:t xml:space="preserve">Validate with 5 real brand pilots from the LOI list</w:t>
            </w:r>
          </w:p>
        </w:tc>
        <w:tc>
          <w:tcPr>
            <w:tcW w:type="dxa" w:w="1400"/>
            <w:shd w:fill="F2F2F2" w:val="clear"/>
            <w:tcMar>
              <w:top w:type="dxa" w:w="55"/>
              <w:left w:type="dxa" w:w="80"/>
              <w:bottom w:type="dxa" w:w="55"/>
              <w:right w:type="dxa" w:w="80"/>
            </w:tcMar>
            <w:vAlign w:val="center"/>
          </w:tcPr>
          <w:p>
            <w:r>
              <w:rPr>
                <w:sz w:val="15"/>
                <w:szCs w:val="15"/>
              </w:rPr>
              <w:t xml:space="preserve">MVP feature set</w:t>
            </w:r>
          </w:p>
        </w:tc>
        <w:tc>
          <w:tcPr>
            <w:tcW w:type="dxa" w:w="1300"/>
            <w:shd w:fill="F2F2F2" w:val="clear"/>
            <w:tcMar>
              <w:top w:type="dxa" w:w="55"/>
              <w:left w:type="dxa" w:w="80"/>
              <w:bottom w:type="dxa" w:w="55"/>
              <w:right w:type="dxa" w:w="80"/>
            </w:tcMar>
            <w:vAlign w:val="center"/>
          </w:tcPr>
          <w:p>
            <w:r>
              <w:rPr>
                <w:sz w:val="15"/>
                <w:szCs w:val="15"/>
              </w:rPr>
              <w:t xml:space="preserve">Internal Alpha exit criteria met + 5 signed brand pilots</w:t>
            </w:r>
          </w:p>
        </w:tc>
        <w:tc>
          <w:tcPr>
            <w:tcW w:type="dxa" w:w="1400"/>
            <w:shd w:fill="F2F2F2" w:val="clear"/>
            <w:tcMar>
              <w:top w:type="dxa" w:w="55"/>
              <w:left w:type="dxa" w:w="80"/>
              <w:bottom w:type="dxa" w:w="55"/>
              <w:right w:type="dxa" w:w="80"/>
            </w:tcMar>
            <w:vAlign w:val="center"/>
          </w:tcPr>
          <w:p>
            <w:r>
              <w:rPr>
                <w:sz w:val="15"/>
                <w:szCs w:val="15"/>
              </w:rPr>
              <w:t xml:space="preserve">≥3 of 5 pilot brands complete a full campaign successfully; survey completion ≥70%</w:t>
            </w:r>
          </w:p>
        </w:tc>
        <w:tc>
          <w:tcPr>
            <w:tcW w:type="dxa" w:w="900"/>
            <w:shd w:fill="F2F2F2" w:val="clear"/>
            <w:tcMar>
              <w:top w:type="dxa" w:w="55"/>
              <w:left w:type="dxa" w:w="80"/>
              <w:bottom w:type="dxa" w:w="55"/>
              <w:right w:type="dxa" w:w="80"/>
            </w:tcMar>
            <w:vAlign w:val="center"/>
          </w:tcPr>
          <w:p>
            <w:r>
              <w:rPr>
                <w:sz w:val="15"/>
                <w:szCs w:val="15"/>
              </w:rPr>
              <w:t xml:space="preserve">Full regression + real-user UAT</w:t>
            </w:r>
          </w:p>
        </w:tc>
        <w:tc>
          <w:tcPr>
            <w:tcW w:type="dxa" w:w="1450"/>
            <w:shd w:fill="F2F2F2" w:val="clear"/>
            <w:tcMar>
              <w:top w:type="dxa" w:w="55"/>
              <w:left w:type="dxa" w:w="80"/>
              <w:bottom w:type="dxa" w:w="55"/>
              <w:right w:type="dxa" w:w="80"/>
            </w:tcMar>
            <w:vAlign w:val="center"/>
          </w:tcPr>
          <w:p>
            <w:r>
              <w:rPr>
                <w:sz w:val="15"/>
                <w:szCs w:val="15"/>
              </w:rPr>
              <w:t xml:space="preserve">Feature-flag disable per brand; database rollback plan documented and tested</w:t>
            </w:r>
          </w:p>
        </w:tc>
      </w:tr>
      <w:tr>
        <w:tc>
          <w:tcPr>
            <w:tcW w:type="dxa" w:w="900"/>
            <w:shd w:fill="FFFFFF" w:val="clear"/>
            <w:tcMar>
              <w:top w:type="dxa" w:w="55"/>
              <w:left w:type="dxa" w:w="80"/>
              <w:bottom w:type="dxa" w:w="55"/>
              <w:right w:type="dxa" w:w="80"/>
            </w:tcMar>
            <w:vAlign w:val="center"/>
          </w:tcPr>
          <w:p>
            <w:r>
              <w:rPr>
                <w:sz w:val="15"/>
                <w:szCs w:val="15"/>
              </w:rPr>
              <w:t xml:space="preserve">Public Beta</w:t>
            </w:r>
          </w:p>
        </w:tc>
        <w:tc>
          <w:tcPr>
            <w:tcW w:type="dxa" w:w="1400"/>
            <w:shd w:fill="FFFFFF" w:val="clear"/>
            <w:tcMar>
              <w:top w:type="dxa" w:w="55"/>
              <w:left w:type="dxa" w:w="80"/>
              <w:bottom w:type="dxa" w:w="55"/>
              <w:right w:type="dxa" w:w="80"/>
            </w:tcMar>
            <w:vAlign w:val="center"/>
          </w:tcPr>
          <w:p>
            <w:r>
              <w:rPr>
                <w:sz w:val="15"/>
                <w:szCs w:val="15"/>
              </w:rPr>
              <w:t xml:space="preserve">Open registration to consumers (brands remain invite-only)</w:t>
            </w:r>
          </w:p>
        </w:tc>
        <w:tc>
          <w:tcPr>
            <w:tcW w:type="dxa" w:w="1400"/>
            <w:shd w:fill="FFFFFF" w:val="clear"/>
            <w:tcMar>
              <w:top w:type="dxa" w:w="55"/>
              <w:left w:type="dxa" w:w="80"/>
              <w:bottom w:type="dxa" w:w="55"/>
              <w:right w:type="dxa" w:w="80"/>
            </w:tcMar>
            <w:vAlign w:val="center"/>
          </w:tcPr>
          <w:p>
            <w:r>
              <w:rPr>
                <w:sz w:val="15"/>
                <w:szCs w:val="15"/>
              </w:rPr>
              <w:t xml:space="preserve">MVP feature set + Rewards Wallet (TJ-009) if V1 Sprint 1 is complete</w:t>
            </w:r>
          </w:p>
        </w:tc>
        <w:tc>
          <w:tcPr>
            <w:tcW w:type="dxa" w:w="1300"/>
            <w:shd w:fill="FFFFFF" w:val="clear"/>
            <w:tcMar>
              <w:top w:type="dxa" w:w="55"/>
              <w:left w:type="dxa" w:w="80"/>
              <w:bottom w:type="dxa" w:w="55"/>
              <w:right w:type="dxa" w:w="80"/>
            </w:tcMar>
            <w:vAlign w:val="center"/>
          </w:tcPr>
          <w:p>
            <w:r>
              <w:rPr>
                <w:sz w:val="15"/>
                <w:szCs w:val="15"/>
              </w:rPr>
              <w:t xml:space="preserve">Private Beta exit criteria met, ≥80% survey completion sustained</w:t>
            </w:r>
          </w:p>
        </w:tc>
        <w:tc>
          <w:tcPr>
            <w:tcW w:type="dxa" w:w="1400"/>
            <w:shd w:fill="FFFFFF" w:val="clear"/>
            <w:tcMar>
              <w:top w:type="dxa" w:w="55"/>
              <w:left w:type="dxa" w:w="80"/>
              <w:bottom w:type="dxa" w:w="55"/>
              <w:right w:type="dxa" w:w="80"/>
            </w:tcMar>
            <w:vAlign w:val="center"/>
          </w:tcPr>
          <w:p>
            <w:r>
              <w:rPr>
                <w:sz w:val="15"/>
                <w:szCs w:val="15"/>
              </w:rPr>
              <w:t xml:space="preserve">App-store approval obtained; support SLA holding at scale</w:t>
            </w:r>
          </w:p>
        </w:tc>
        <w:tc>
          <w:tcPr>
            <w:tcW w:type="dxa" w:w="900"/>
            <w:shd w:fill="FFFFFF" w:val="clear"/>
            <w:tcMar>
              <w:top w:type="dxa" w:w="55"/>
              <w:left w:type="dxa" w:w="80"/>
              <w:bottom w:type="dxa" w:w="55"/>
              <w:right w:type="dxa" w:w="80"/>
            </w:tcMar>
            <w:vAlign w:val="center"/>
          </w:tcPr>
          <w:p>
            <w:r>
              <w:rPr>
                <w:sz w:val="15"/>
                <w:szCs w:val="15"/>
              </w:rPr>
              <w:t xml:space="preserve">Load test at 10x Private Beta volume</w:t>
            </w:r>
          </w:p>
        </w:tc>
        <w:tc>
          <w:tcPr>
            <w:tcW w:type="dxa" w:w="1450"/>
            <w:shd w:fill="FFFFFF" w:val="clear"/>
            <w:tcMar>
              <w:top w:type="dxa" w:w="55"/>
              <w:left w:type="dxa" w:w="80"/>
              <w:bottom w:type="dxa" w:w="55"/>
              <w:right w:type="dxa" w:w="80"/>
            </w:tcMar>
            <w:vAlign w:val="center"/>
          </w:tcPr>
          <w:p>
            <w:r>
              <w:rPr>
                <w:sz w:val="15"/>
                <w:szCs w:val="15"/>
              </w:rPr>
              <w:t xml:space="preserve">Kill-switch on new consumer registration; existing users unaffected</w:t>
            </w:r>
          </w:p>
        </w:tc>
      </w:tr>
      <w:tr>
        <w:tc>
          <w:tcPr>
            <w:tcW w:type="dxa" w:w="900"/>
            <w:shd w:fill="F2F2F2" w:val="clear"/>
            <w:tcMar>
              <w:top w:type="dxa" w:w="55"/>
              <w:left w:type="dxa" w:w="80"/>
              <w:bottom w:type="dxa" w:w="55"/>
              <w:right w:type="dxa" w:w="80"/>
            </w:tcMar>
            <w:vAlign w:val="center"/>
          </w:tcPr>
          <w:p>
            <w:r>
              <w:rPr>
                <w:sz w:val="15"/>
                <w:szCs w:val="15"/>
              </w:rPr>
              <w:t xml:space="preserve">Release Candidate</w:t>
            </w:r>
          </w:p>
        </w:tc>
        <w:tc>
          <w:tcPr>
            <w:tcW w:type="dxa" w:w="1400"/>
            <w:shd w:fill="F2F2F2" w:val="clear"/>
            <w:tcMar>
              <w:top w:type="dxa" w:w="55"/>
              <w:left w:type="dxa" w:w="80"/>
              <w:bottom w:type="dxa" w:w="55"/>
              <w:right w:type="dxa" w:w="80"/>
            </w:tcMar>
            <w:vAlign w:val="center"/>
          </w:tcPr>
          <w:p>
            <w:r>
              <w:rPr>
                <w:sz w:val="15"/>
                <w:szCs w:val="15"/>
              </w:rPr>
              <w:t xml:space="preserve">Final production-readiness gate</w:t>
            </w:r>
          </w:p>
        </w:tc>
        <w:tc>
          <w:tcPr>
            <w:tcW w:type="dxa" w:w="1400"/>
            <w:shd w:fill="F2F2F2" w:val="clear"/>
            <w:tcMar>
              <w:top w:type="dxa" w:w="55"/>
              <w:left w:type="dxa" w:w="80"/>
              <w:bottom w:type="dxa" w:w="55"/>
              <w:right w:type="dxa" w:w="80"/>
            </w:tcMar>
            <w:vAlign w:val="center"/>
          </w:tcPr>
          <w:p>
            <w:r>
              <w:rPr>
                <w:sz w:val="15"/>
                <w:szCs w:val="15"/>
              </w:rPr>
              <w:t xml:space="preserve">Public Beta feature set, frozen</w:t>
            </w:r>
          </w:p>
        </w:tc>
        <w:tc>
          <w:tcPr>
            <w:tcW w:type="dxa" w:w="1300"/>
            <w:shd w:fill="F2F2F2" w:val="clear"/>
            <w:tcMar>
              <w:top w:type="dxa" w:w="55"/>
              <w:left w:type="dxa" w:w="80"/>
              <w:bottom w:type="dxa" w:w="55"/>
              <w:right w:type="dxa" w:w="80"/>
            </w:tcMar>
            <w:vAlign w:val="center"/>
          </w:tcPr>
          <w:p>
            <w:r>
              <w:rPr>
                <w:sz w:val="15"/>
                <w:szCs w:val="15"/>
              </w:rPr>
              <w:t xml:space="preserve">Public Beta stable for 2 weeks with no P0/P1 bugs</w:t>
            </w:r>
          </w:p>
        </w:tc>
        <w:tc>
          <w:tcPr>
            <w:tcW w:type="dxa" w:w="1400"/>
            <w:shd w:fill="F2F2F2" w:val="clear"/>
            <w:tcMar>
              <w:top w:type="dxa" w:w="55"/>
              <w:left w:type="dxa" w:w="80"/>
              <w:bottom w:type="dxa" w:w="55"/>
              <w:right w:type="dxa" w:w="80"/>
            </w:tcMar>
            <w:vAlign w:val="center"/>
          </w:tcPr>
          <w:p>
            <w:r>
              <w:rPr>
                <w:sz w:val="15"/>
                <w:szCs w:val="15"/>
              </w:rPr>
              <w:t xml:space="preserve">Sign-off from CEO, CTO, and Legal (per FDD)</w:t>
            </w:r>
          </w:p>
        </w:tc>
        <w:tc>
          <w:tcPr>
            <w:tcW w:type="dxa" w:w="900"/>
            <w:shd w:fill="F2F2F2" w:val="clear"/>
            <w:tcMar>
              <w:top w:type="dxa" w:w="55"/>
              <w:left w:type="dxa" w:w="80"/>
              <w:bottom w:type="dxa" w:w="55"/>
              <w:right w:type="dxa" w:w="80"/>
            </w:tcMar>
            <w:vAlign w:val="center"/>
          </w:tcPr>
          <w:p>
            <w:r>
              <w:rPr>
                <w:sz w:val="15"/>
                <w:szCs w:val="15"/>
              </w:rPr>
              <w:t xml:space="preserve">Full regression, penetration test, accessibility audit</w:t>
            </w:r>
          </w:p>
        </w:tc>
        <w:tc>
          <w:tcPr>
            <w:tcW w:type="dxa" w:w="1450"/>
            <w:shd w:fill="F2F2F2" w:val="clear"/>
            <w:tcMar>
              <w:top w:type="dxa" w:w="55"/>
              <w:left w:type="dxa" w:w="80"/>
              <w:bottom w:type="dxa" w:w="55"/>
              <w:right w:type="dxa" w:w="80"/>
            </w:tcMar>
            <w:vAlign w:val="center"/>
          </w:tcPr>
          <w:p>
            <w:r>
              <w:rPr>
                <w:sz w:val="15"/>
                <w:szCs w:val="15"/>
              </w:rPr>
              <w:t xml:space="preserve">Standard ECS rollback to last known-good task definition</w:t>
            </w:r>
          </w:p>
        </w:tc>
      </w:tr>
      <w:tr>
        <w:tc>
          <w:tcPr>
            <w:tcW w:type="dxa" w:w="900"/>
            <w:shd w:fill="FFFFFF" w:val="clear"/>
            <w:tcMar>
              <w:top w:type="dxa" w:w="55"/>
              <w:left w:type="dxa" w:w="80"/>
              <w:bottom w:type="dxa" w:w="55"/>
              <w:right w:type="dxa" w:w="80"/>
            </w:tcMar>
            <w:vAlign w:val="center"/>
          </w:tcPr>
          <w:p>
            <w:r>
              <w:rPr>
                <w:sz w:val="15"/>
                <w:szCs w:val="15"/>
              </w:rPr>
              <w:t xml:space="preserve">Production (v1.0)</w:t>
            </w:r>
          </w:p>
        </w:tc>
        <w:tc>
          <w:tcPr>
            <w:tcW w:type="dxa" w:w="1400"/>
            <w:shd w:fill="FFFFFF" w:val="clear"/>
            <w:tcMar>
              <w:top w:type="dxa" w:w="55"/>
              <w:left w:type="dxa" w:w="80"/>
              <w:bottom w:type="dxa" w:w="55"/>
              <w:right w:type="dxa" w:w="80"/>
            </w:tcMar>
            <w:vAlign w:val="center"/>
          </w:tcPr>
          <w:p>
            <w:r>
              <w:rPr>
                <w:sz w:val="15"/>
                <w:szCs w:val="15"/>
              </w:rPr>
              <w:t xml:space="preserve">Full public launch</w:t>
            </w:r>
          </w:p>
        </w:tc>
        <w:tc>
          <w:tcPr>
            <w:tcW w:type="dxa" w:w="1400"/>
            <w:shd w:fill="FFFFFF" w:val="clear"/>
            <w:tcMar>
              <w:top w:type="dxa" w:w="55"/>
              <w:left w:type="dxa" w:w="80"/>
              <w:bottom w:type="dxa" w:w="55"/>
              <w:right w:type="dxa" w:w="80"/>
            </w:tcMar>
            <w:vAlign w:val="center"/>
          </w:tcPr>
          <w:p>
            <w:r>
              <w:rPr>
                <w:sz w:val="15"/>
                <w:szCs w:val="15"/>
              </w:rPr>
              <w:t xml:space="preserve">MVP + any V1 items completed during Beta</w:t>
            </w:r>
          </w:p>
        </w:tc>
        <w:tc>
          <w:tcPr>
            <w:tcW w:type="dxa" w:w="1300"/>
            <w:shd w:fill="FFFFFF" w:val="clear"/>
            <w:tcMar>
              <w:top w:type="dxa" w:w="55"/>
              <w:left w:type="dxa" w:w="80"/>
              <w:bottom w:type="dxa" w:w="55"/>
              <w:right w:type="dxa" w:w="80"/>
            </w:tcMar>
            <w:vAlign w:val="center"/>
          </w:tcPr>
          <w:p>
            <w:r>
              <w:rPr>
                <w:sz w:val="15"/>
                <w:szCs w:val="15"/>
              </w:rPr>
              <w:t xml:space="preserve">RC sign-off obtained</w:t>
            </w:r>
          </w:p>
        </w:tc>
        <w:tc>
          <w:tcPr>
            <w:tcW w:type="dxa" w:w="1400"/>
            <w:shd w:fill="FFFFFF" w:val="clear"/>
            <w:tcMar>
              <w:top w:type="dxa" w:w="55"/>
              <w:left w:type="dxa" w:w="80"/>
              <w:bottom w:type="dxa" w:w="55"/>
              <w:right w:type="dxa" w:w="80"/>
            </w:tcMar>
            <w:vAlign w:val="center"/>
          </w:tcPr>
          <w:p>
            <w:r>
              <w:rPr>
                <w:sz w:val="15"/>
                <w:szCs w:val="15"/>
              </w:rPr>
              <w:t xml:space="preserve">Meets Section 14 success metrics for 30 days</w:t>
            </w:r>
          </w:p>
        </w:tc>
        <w:tc>
          <w:tcPr>
            <w:tcW w:type="dxa" w:w="900"/>
            <w:shd w:fill="FFFFFF" w:val="clear"/>
            <w:tcMar>
              <w:top w:type="dxa" w:w="55"/>
              <w:left w:type="dxa" w:w="80"/>
              <w:bottom w:type="dxa" w:w="55"/>
              <w:right w:type="dxa" w:w="80"/>
            </w:tcMar>
            <w:vAlign w:val="center"/>
          </w:tcPr>
          <w:p>
            <w:r>
              <w:rPr>
                <w:sz w:val="15"/>
                <w:szCs w:val="15"/>
              </w:rPr>
              <w:t xml:space="preserve">Ongoing monitoring, no additional test cycle</w:t>
            </w:r>
          </w:p>
        </w:tc>
        <w:tc>
          <w:tcPr>
            <w:tcW w:type="dxa" w:w="1450"/>
            <w:shd w:fill="FFFFFF" w:val="clear"/>
            <w:tcMar>
              <w:top w:type="dxa" w:w="55"/>
              <w:left w:type="dxa" w:w="80"/>
              <w:bottom w:type="dxa" w:w="55"/>
              <w:right w:type="dxa" w:w="80"/>
            </w:tcMar>
            <w:vAlign w:val="center"/>
          </w:tcPr>
          <w:p>
            <w:r>
              <w:rPr>
                <w:sz w:val="15"/>
                <w:szCs w:val="15"/>
              </w:rPr>
              <w:t xml:space="preserve">Documented in Go-Live Plan (Section 14)</w:t>
            </w:r>
          </w:p>
        </w:tc>
      </w:tr>
      <w:tr>
        <w:tc>
          <w:tcPr>
            <w:tcW w:type="dxa" w:w="900"/>
            <w:shd w:fill="F2F2F2" w:val="clear"/>
            <w:tcMar>
              <w:top w:type="dxa" w:w="55"/>
              <w:left w:type="dxa" w:w="80"/>
              <w:bottom w:type="dxa" w:w="55"/>
              <w:right w:type="dxa" w:w="80"/>
            </w:tcMar>
            <w:vAlign w:val="center"/>
          </w:tcPr>
          <w:p>
            <w:r>
              <w:rPr>
                <w:sz w:val="15"/>
                <w:szCs w:val="15"/>
              </w:rPr>
              <w:t xml:space="preserve">v1.1</w:t>
            </w:r>
          </w:p>
        </w:tc>
        <w:tc>
          <w:tcPr>
            <w:tcW w:type="dxa" w:w="1400"/>
            <w:shd w:fill="F2F2F2" w:val="clear"/>
            <w:tcMar>
              <w:top w:type="dxa" w:w="55"/>
              <w:left w:type="dxa" w:w="80"/>
              <w:bottom w:type="dxa" w:w="55"/>
              <w:right w:type="dxa" w:w="80"/>
            </w:tcMar>
            <w:vAlign w:val="center"/>
          </w:tcPr>
          <w:p>
            <w:r>
              <w:rPr>
                <w:sz w:val="15"/>
                <w:szCs w:val="15"/>
              </w:rPr>
              <w:t xml:space="preserve">First iteration post-launch — Rewards, Referral, Contract self-view</w:t>
            </w:r>
          </w:p>
        </w:tc>
        <w:tc>
          <w:tcPr>
            <w:tcW w:type="dxa" w:w="1400"/>
            <w:shd w:fill="F2F2F2" w:val="clear"/>
            <w:tcMar>
              <w:top w:type="dxa" w:w="55"/>
              <w:left w:type="dxa" w:w="80"/>
              <w:bottom w:type="dxa" w:w="55"/>
              <w:right w:type="dxa" w:w="80"/>
            </w:tcMar>
            <w:vAlign w:val="center"/>
          </w:tcPr>
          <w:p>
            <w:r>
              <w:rPr>
                <w:sz w:val="15"/>
                <w:szCs w:val="15"/>
              </w:rPr>
              <w:t xml:space="preserve">TJ-009, TJ-010, TJ-017, automated fraud model (TJ-021b)</w:t>
            </w:r>
          </w:p>
        </w:tc>
        <w:tc>
          <w:tcPr>
            <w:tcW w:type="dxa" w:w="1300"/>
            <w:shd w:fill="F2F2F2" w:val="clear"/>
            <w:tcMar>
              <w:top w:type="dxa" w:w="55"/>
              <w:left w:type="dxa" w:w="80"/>
              <w:bottom w:type="dxa" w:w="55"/>
              <w:right w:type="dxa" w:w="80"/>
            </w:tcMar>
            <w:vAlign w:val="center"/>
          </w:tcPr>
          <w:p>
            <w:r>
              <w:rPr>
                <w:sz w:val="15"/>
                <w:szCs w:val="15"/>
              </w:rPr>
              <w:t xml:space="preserve">v1.0 stable for 30 days</w:t>
            </w:r>
          </w:p>
        </w:tc>
        <w:tc>
          <w:tcPr>
            <w:tcW w:type="dxa" w:w="1400"/>
            <w:shd w:fill="F2F2F2" w:val="clear"/>
            <w:tcMar>
              <w:top w:type="dxa" w:w="55"/>
              <w:left w:type="dxa" w:w="80"/>
              <w:bottom w:type="dxa" w:w="55"/>
              <w:right w:type="dxa" w:w="80"/>
            </w:tcMar>
            <w:vAlign w:val="center"/>
          </w:tcPr>
          <w:p>
            <w:r>
              <w:rPr>
                <w:sz w:val="15"/>
                <w:szCs w:val="15"/>
              </w:rPr>
              <w:t xml:space="preserve">Feature-specific UAT per item</w:t>
            </w:r>
          </w:p>
        </w:tc>
        <w:tc>
          <w:tcPr>
            <w:tcW w:type="dxa" w:w="900"/>
            <w:shd w:fill="F2F2F2" w:val="clear"/>
            <w:tcMar>
              <w:top w:type="dxa" w:w="55"/>
              <w:left w:type="dxa" w:w="80"/>
              <w:bottom w:type="dxa" w:w="55"/>
              <w:right w:type="dxa" w:w="80"/>
            </w:tcMar>
            <w:vAlign w:val="center"/>
          </w:tcPr>
          <w:p>
            <w:r>
              <w:rPr>
                <w:sz w:val="15"/>
                <w:szCs w:val="15"/>
              </w:rPr>
              <w:t xml:space="preserve">Standard regression + new-feature UAT</w:t>
            </w:r>
          </w:p>
        </w:tc>
        <w:tc>
          <w:tcPr>
            <w:tcW w:type="dxa" w:w="1450"/>
            <w:shd w:fill="F2F2F2" w:val="clear"/>
            <w:tcMar>
              <w:top w:type="dxa" w:w="55"/>
              <w:left w:type="dxa" w:w="80"/>
              <w:bottom w:type="dxa" w:w="55"/>
              <w:right w:type="dxa" w:w="80"/>
            </w:tcMar>
            <w:vAlign w:val="center"/>
          </w:tcPr>
          <w:p>
            <w:r>
              <w:rPr>
                <w:sz w:val="15"/>
                <w:szCs w:val="15"/>
              </w:rPr>
              <w:t xml:space="preserve">Feature-flagged, independently rollback-able per feature</w:t>
            </w:r>
          </w:p>
        </w:tc>
      </w:tr>
      <w:tr>
        <w:tc>
          <w:tcPr>
            <w:tcW w:type="dxa" w:w="900"/>
            <w:shd w:fill="FFFFFF" w:val="clear"/>
            <w:tcMar>
              <w:top w:type="dxa" w:w="55"/>
              <w:left w:type="dxa" w:w="80"/>
              <w:bottom w:type="dxa" w:w="55"/>
              <w:right w:type="dxa" w:w="80"/>
            </w:tcMar>
            <w:vAlign w:val="center"/>
          </w:tcPr>
          <w:p>
            <w:r>
              <w:rPr>
                <w:sz w:val="15"/>
                <w:szCs w:val="15"/>
              </w:rPr>
              <w:t xml:space="preserve">v2.0</w:t>
            </w:r>
          </w:p>
        </w:tc>
        <w:tc>
          <w:tcPr>
            <w:tcW w:type="dxa" w:w="1400"/>
            <w:shd w:fill="FFFFFF" w:val="clear"/>
            <w:tcMar>
              <w:top w:type="dxa" w:w="55"/>
              <w:left w:type="dxa" w:w="80"/>
              <w:bottom w:type="dxa" w:w="55"/>
              <w:right w:type="dxa" w:w="80"/>
            </w:tcMar>
            <w:vAlign w:val="center"/>
          </w:tcPr>
          <w:p>
            <w:r>
              <w:rPr>
                <w:sz w:val="15"/>
                <w:szCs w:val="15"/>
              </w:rPr>
              <w:t xml:space="preserve">AI Insight Narratives, Enterprise API, predictive analytics</w:t>
            </w:r>
          </w:p>
        </w:tc>
        <w:tc>
          <w:tcPr>
            <w:tcW w:type="dxa" w:w="1400"/>
            <w:shd w:fill="FFFFFF" w:val="clear"/>
            <w:tcMar>
              <w:top w:type="dxa" w:w="55"/>
              <w:left w:type="dxa" w:w="80"/>
              <w:bottom w:type="dxa" w:w="55"/>
              <w:right w:type="dxa" w:w="80"/>
            </w:tcMar>
            <w:vAlign w:val="center"/>
          </w:tcPr>
          <w:p>
            <w:r>
              <w:rPr>
                <w:sz w:val="15"/>
                <w:szCs w:val="15"/>
              </w:rPr>
              <w:t xml:space="preserve">TJ-018, TJ-019, segmentation engine</w:t>
            </w:r>
          </w:p>
        </w:tc>
        <w:tc>
          <w:tcPr>
            <w:tcW w:type="dxa" w:w="1300"/>
            <w:shd w:fill="FFFFFF" w:val="clear"/>
            <w:tcMar>
              <w:top w:type="dxa" w:w="55"/>
              <w:left w:type="dxa" w:w="80"/>
              <w:bottom w:type="dxa" w:w="55"/>
              <w:right w:type="dxa" w:w="80"/>
            </w:tcMar>
            <w:vAlign w:val="center"/>
          </w:tcPr>
          <w:p>
            <w:r>
              <w:rPr>
                <w:sz w:val="15"/>
                <w:szCs w:val="15"/>
              </w:rPr>
              <w:t xml:space="preserve">Egypt unit economics validated per FDD scaling gate</w:t>
            </w:r>
          </w:p>
        </w:tc>
        <w:tc>
          <w:tcPr>
            <w:tcW w:type="dxa" w:w="1400"/>
            <w:shd w:fill="FFFFFF" w:val="clear"/>
            <w:tcMar>
              <w:top w:type="dxa" w:w="55"/>
              <w:left w:type="dxa" w:w="80"/>
              <w:bottom w:type="dxa" w:w="55"/>
              <w:right w:type="dxa" w:w="80"/>
            </w:tcMar>
            <w:vAlign w:val="center"/>
          </w:tcPr>
          <w:p>
            <w:r>
              <w:rPr>
                <w:sz w:val="15"/>
                <w:szCs w:val="15"/>
              </w:rPr>
              <w:t xml:space="preserve">AI output accuracy/safety review passed (Section 12)</w:t>
            </w:r>
          </w:p>
        </w:tc>
        <w:tc>
          <w:tcPr>
            <w:tcW w:type="dxa" w:w="900"/>
            <w:shd w:fill="FFFFFF" w:val="clear"/>
            <w:tcMar>
              <w:top w:type="dxa" w:w="55"/>
              <w:left w:type="dxa" w:w="80"/>
              <w:bottom w:type="dxa" w:w="55"/>
              <w:right w:type="dxa" w:w="80"/>
            </w:tcMar>
            <w:vAlign w:val="center"/>
          </w:tcPr>
          <w:p>
            <w:r>
              <w:rPr>
                <w:sz w:val="15"/>
                <w:szCs w:val="15"/>
              </w:rPr>
              <w:t xml:space="preserve">AI-specific evaluation suite + standard regression</w:t>
            </w:r>
          </w:p>
        </w:tc>
        <w:tc>
          <w:tcPr>
            <w:tcW w:type="dxa" w:w="1450"/>
            <w:shd w:fill="FFFFFF" w:val="clear"/>
            <w:tcMar>
              <w:top w:type="dxa" w:w="55"/>
              <w:left w:type="dxa" w:w="80"/>
              <w:bottom w:type="dxa" w:w="55"/>
              <w:right w:type="dxa" w:w="80"/>
            </w:tcMar>
            <w:vAlign w:val="center"/>
          </w:tcPr>
          <w:p>
            <w:r>
              <w:rPr>
                <w:sz w:val="15"/>
                <w:szCs w:val="15"/>
              </w:rPr>
              <w:t xml:space="preserve">AI features flagged off independently; core product unaffected by AI rollback</w:t>
            </w:r>
          </w:p>
        </w:tc>
      </w:tr>
    </w:tbl>
    <w:p>
      <w:r>
        <w:br w:type="page"/>
      </w:r>
    </w:p>
    <w:p>
      <w:pPr>
        <w:pStyle w:val="Heading1"/>
        <w:pBdr>
          <w:bottom w:val="single" w:color="1F2A44" w:sz="8" w:space="4"/>
        </w:pBdr>
        <w:spacing w:after="190" w:before="380"/>
      </w:pPr>
      <w:r>
        <w:rPr>
          <w:b/>
          <w:bCs/>
          <w:color w:val="1F2A44"/>
          <w:sz w:val="28"/>
          <w:szCs w:val="28"/>
        </w:rPr>
        <w:t xml:space="preserve">5. Dependency Matrix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2500"/>
        <w:gridCol w:w="1400"/>
        <w:gridCol w:w="2950"/>
      </w:tblGrid>
      <w:tr>
        <w:trPr>
          <w:tblHeader/>
        </w:trPr>
        <w:tc>
          <w:tcPr>
            <w:tcW w:type="dxa" w:w="2500"/>
            <w:shd w:fill="1F2A44" w:val="clear"/>
            <w:tcMar>
              <w:top w:type="dxa" w:w="70"/>
              <w:left w:type="dxa" w:w="90"/>
              <w:bottom w:type="dxa" w:w="70"/>
              <w:right w:type="dxa" w:w="90"/>
            </w:tcMar>
            <w:vAlign w:val="center"/>
          </w:tcPr>
          <w:p>
            <w:r>
              <w:rPr>
                <w:b/>
                <w:bCs/>
                <w:color w:val="FFFFFF"/>
                <w:sz w:val="15"/>
                <w:szCs w:val="15"/>
              </w:rPr>
              <w:t xml:space="preserve">Upstream</w:t>
            </w:r>
          </w:p>
        </w:tc>
        <w:tc>
          <w:tcPr>
            <w:tcW w:type="dxa" w:w="2500"/>
            <w:shd w:fill="1F2A44" w:val="clear"/>
            <w:tcMar>
              <w:top w:type="dxa" w:w="70"/>
              <w:left w:type="dxa" w:w="90"/>
              <w:bottom w:type="dxa" w:w="70"/>
              <w:right w:type="dxa" w:w="90"/>
            </w:tcMar>
            <w:vAlign w:val="center"/>
          </w:tcPr>
          <w:p>
            <w:r>
              <w:rPr>
                <w:b/>
                <w:bCs/>
                <w:color w:val="FFFFFF"/>
                <w:sz w:val="15"/>
                <w:szCs w:val="15"/>
              </w:rPr>
              <w:t xml:space="preserve">Downstream</w:t>
            </w:r>
          </w:p>
        </w:tc>
        <w:tc>
          <w:tcPr>
            <w:tcW w:type="dxa" w:w="1400"/>
            <w:shd w:fill="1F2A44" w:val="clear"/>
            <w:tcMar>
              <w:top w:type="dxa" w:w="70"/>
              <w:left w:type="dxa" w:w="90"/>
              <w:bottom w:type="dxa" w:w="70"/>
              <w:right w:type="dxa" w:w="90"/>
            </w:tcMar>
            <w:vAlign w:val="center"/>
          </w:tcPr>
          <w:p>
            <w:r>
              <w:rPr>
                <w:b/>
                <w:bCs/>
                <w:color w:val="FFFFFF"/>
                <w:sz w:val="15"/>
                <w:szCs w:val="15"/>
              </w:rPr>
              <w:t xml:space="preserve">Type</w:t>
            </w:r>
          </w:p>
        </w:tc>
        <w:tc>
          <w:tcPr>
            <w:tcW w:type="dxa" w:w="2950"/>
            <w:shd w:fill="1F2A44" w:val="clear"/>
            <w:tcMar>
              <w:top w:type="dxa" w:w="70"/>
              <w:left w:type="dxa" w:w="90"/>
              <w:bottom w:type="dxa" w:w="70"/>
              <w:right w:type="dxa" w:w="90"/>
            </w:tcMar>
            <w:vAlign w:val="center"/>
          </w:tcPr>
          <w:p>
            <w:r>
              <w:rPr>
                <w:b/>
                <w:bCs/>
                <w:color w:val="FFFFFF"/>
                <w:sz w:val="15"/>
                <w:szCs w:val="15"/>
              </w:rPr>
              <w:t xml:space="preserve">Risk if Delayed</w:t>
            </w:r>
          </w:p>
        </w:tc>
      </w:tr>
      <w:tr>
        <w:tc>
          <w:tcPr>
            <w:tcW w:type="dxa" w:w="2500"/>
            <w:shd w:fill="FFFFFF" w:val="clear"/>
            <w:tcMar>
              <w:top w:type="dxa" w:w="55"/>
              <w:left w:type="dxa" w:w="80"/>
              <w:bottom w:type="dxa" w:w="55"/>
              <w:right w:type="dxa" w:w="80"/>
            </w:tcMar>
            <w:vAlign w:val="center"/>
          </w:tcPr>
          <w:p>
            <w:r>
              <w:rPr>
                <w:sz w:val="15"/>
                <w:szCs w:val="15"/>
              </w:rPr>
              <w:t xml:space="preserve">Track 0 validation sprint GO decision</w:t>
            </w:r>
          </w:p>
        </w:tc>
        <w:tc>
          <w:tcPr>
            <w:tcW w:type="dxa" w:w="2500"/>
            <w:shd w:fill="FFFFFF" w:val="clear"/>
            <w:tcMar>
              <w:top w:type="dxa" w:w="55"/>
              <w:left w:type="dxa" w:w="80"/>
              <w:bottom w:type="dxa" w:w="55"/>
              <w:right w:type="dxa" w:w="80"/>
            </w:tcMar>
            <w:vAlign w:val="center"/>
          </w:tcPr>
          <w:p>
            <w:r>
              <w:rPr>
                <w:sz w:val="15"/>
                <w:szCs w:val="15"/>
              </w:rPr>
              <w:t xml:space="preserve">Everything in this document</w:t>
            </w:r>
          </w:p>
        </w:tc>
        <w:tc>
          <w:tcPr>
            <w:tcW w:type="dxa" w:w="1400"/>
            <w:shd w:fill="FFFFFF" w:val="clear"/>
            <w:tcMar>
              <w:top w:type="dxa" w:w="55"/>
              <w:left w:type="dxa" w:w="80"/>
              <w:bottom w:type="dxa" w:w="55"/>
              <w:right w:type="dxa" w:w="80"/>
            </w:tcMar>
            <w:vAlign w:val="center"/>
          </w:tcPr>
          <w:p>
            <w:r>
              <w:rPr>
                <w:sz w:val="15"/>
                <w:szCs w:val="15"/>
              </w:rPr>
              <w:t xml:space="preserve">Hard gate</w:t>
            </w:r>
          </w:p>
        </w:tc>
        <w:tc>
          <w:tcPr>
            <w:tcW w:type="dxa" w:w="2950"/>
            <w:shd w:fill="FFFFFF" w:val="clear"/>
            <w:tcMar>
              <w:top w:type="dxa" w:w="55"/>
              <w:left w:type="dxa" w:w="80"/>
              <w:bottom w:type="dxa" w:w="55"/>
              <w:right w:type="dxa" w:w="80"/>
            </w:tcMar>
            <w:vAlign w:val="center"/>
          </w:tcPr>
          <w:p>
            <w:r>
              <w:rPr>
                <w:sz w:val="15"/>
                <w:szCs w:val="15"/>
              </w:rPr>
              <w:t xml:space="preserve">Entire plan does not start — see Section 18</w:t>
            </w:r>
          </w:p>
        </w:tc>
      </w:tr>
      <w:tr>
        <w:tc>
          <w:tcPr>
            <w:tcW w:type="dxa" w:w="2500"/>
            <w:shd w:fill="F2F2F2" w:val="clear"/>
            <w:tcMar>
              <w:top w:type="dxa" w:w="55"/>
              <w:left w:type="dxa" w:w="80"/>
              <w:bottom w:type="dxa" w:w="55"/>
              <w:right w:type="dxa" w:w="80"/>
            </w:tcMar>
            <w:vAlign w:val="center"/>
          </w:tcPr>
          <w:p>
            <w:r>
              <w:rPr>
                <w:sz w:val="15"/>
                <w:szCs w:val="15"/>
              </w:rPr>
              <w:t xml:space="preserve">SMS/OTP provider contract</w:t>
            </w:r>
          </w:p>
        </w:tc>
        <w:tc>
          <w:tcPr>
            <w:tcW w:type="dxa" w:w="2500"/>
            <w:shd w:fill="F2F2F2" w:val="clear"/>
            <w:tcMar>
              <w:top w:type="dxa" w:w="55"/>
              <w:left w:type="dxa" w:w="80"/>
              <w:bottom w:type="dxa" w:w="55"/>
              <w:right w:type="dxa" w:w="80"/>
            </w:tcMar>
            <w:vAlign w:val="center"/>
          </w:tcPr>
          <w:p>
            <w:r>
              <w:rPr>
                <w:sz w:val="15"/>
                <w:szCs w:val="15"/>
              </w:rPr>
              <w:t xml:space="preserve">TJ-001 OTP Login</w:t>
            </w:r>
          </w:p>
        </w:tc>
        <w:tc>
          <w:tcPr>
            <w:tcW w:type="dxa" w:w="1400"/>
            <w:shd w:fill="F2F2F2" w:val="clear"/>
            <w:tcMar>
              <w:top w:type="dxa" w:w="55"/>
              <w:left w:type="dxa" w:w="80"/>
              <w:bottom w:type="dxa" w:w="55"/>
              <w:right w:type="dxa" w:w="80"/>
            </w:tcMar>
            <w:vAlign w:val="center"/>
          </w:tcPr>
          <w:p>
            <w:r>
              <w:rPr>
                <w:sz w:val="15"/>
                <w:szCs w:val="15"/>
              </w:rPr>
              <w:t xml:space="preserve">External</w:t>
            </w:r>
          </w:p>
        </w:tc>
        <w:tc>
          <w:tcPr>
            <w:tcW w:type="dxa" w:w="2950"/>
            <w:shd w:fill="F2F2F2" w:val="clear"/>
            <w:tcMar>
              <w:top w:type="dxa" w:w="55"/>
              <w:left w:type="dxa" w:w="80"/>
              <w:bottom w:type="dxa" w:w="55"/>
              <w:right w:type="dxa" w:w="80"/>
            </w:tcMar>
            <w:vAlign w:val="center"/>
          </w:tcPr>
          <w:p>
            <w:r>
              <w:rPr>
                <w:sz w:val="15"/>
                <w:szCs w:val="15"/>
              </w:rPr>
              <w:t xml:space="preserve">Sprint 1 cannot demo; cascades to all consumer-side work</w:t>
            </w:r>
          </w:p>
        </w:tc>
      </w:tr>
      <w:tr>
        <w:tc>
          <w:tcPr>
            <w:tcW w:type="dxa" w:w="2500"/>
            <w:shd w:fill="FFFFFF" w:val="clear"/>
            <w:tcMar>
              <w:top w:type="dxa" w:w="55"/>
              <w:left w:type="dxa" w:w="80"/>
              <w:bottom w:type="dxa" w:w="55"/>
              <w:right w:type="dxa" w:w="80"/>
            </w:tcMar>
            <w:vAlign w:val="center"/>
          </w:tcPr>
          <w:p>
            <w:r>
              <w:rPr>
                <w:sz w:val="15"/>
                <w:szCs w:val="15"/>
              </w:rPr>
              <w:t xml:space="preserve">WhatsApp BSP approval</w:t>
            </w:r>
          </w:p>
        </w:tc>
        <w:tc>
          <w:tcPr>
            <w:tcW w:type="dxa" w:w="2500"/>
            <w:shd w:fill="FFFFFF" w:val="clear"/>
            <w:tcMar>
              <w:top w:type="dxa" w:w="55"/>
              <w:left w:type="dxa" w:w="80"/>
              <w:bottom w:type="dxa" w:w="55"/>
              <w:right w:type="dxa" w:w="80"/>
            </w:tcMar>
            <w:vAlign w:val="center"/>
          </w:tcPr>
          <w:p>
            <w:r>
              <w:rPr>
                <w:sz w:val="15"/>
                <w:szCs w:val="15"/>
              </w:rPr>
              <w:t xml:space="preserve">TJ-004 Push Notification (WhatsApp channel)</w:t>
            </w:r>
          </w:p>
        </w:tc>
        <w:tc>
          <w:tcPr>
            <w:tcW w:type="dxa" w:w="1400"/>
            <w:shd w:fill="FFFFFF" w:val="clear"/>
            <w:tcMar>
              <w:top w:type="dxa" w:w="55"/>
              <w:left w:type="dxa" w:w="80"/>
              <w:bottom w:type="dxa" w:w="55"/>
              <w:right w:type="dxa" w:w="80"/>
            </w:tcMar>
            <w:vAlign w:val="center"/>
          </w:tcPr>
          <w:p>
            <w:r>
              <w:rPr>
                <w:sz w:val="15"/>
                <w:szCs w:val="15"/>
              </w:rPr>
              <w:t xml:space="preserve">External</w:t>
            </w:r>
          </w:p>
        </w:tc>
        <w:tc>
          <w:tcPr>
            <w:tcW w:type="dxa" w:w="2950"/>
            <w:shd w:fill="FFFFFF" w:val="clear"/>
            <w:tcMar>
              <w:top w:type="dxa" w:w="55"/>
              <w:left w:type="dxa" w:w="80"/>
              <w:bottom w:type="dxa" w:w="55"/>
              <w:right w:type="dxa" w:w="80"/>
            </w:tcMar>
            <w:vAlign w:val="center"/>
          </w:tcPr>
          <w:p>
            <w:r>
              <w:rPr>
                <w:sz w:val="15"/>
                <w:szCs w:val="15"/>
              </w:rPr>
              <w:t xml:space="preserve">Fallback to push-only; not launch-blocking but reduces reach</w:t>
            </w:r>
          </w:p>
        </w:tc>
      </w:tr>
      <w:tr>
        <w:tc>
          <w:tcPr>
            <w:tcW w:type="dxa" w:w="2500"/>
            <w:shd w:fill="F2F2F2" w:val="clear"/>
            <w:tcMar>
              <w:top w:type="dxa" w:w="55"/>
              <w:left w:type="dxa" w:w="80"/>
              <w:bottom w:type="dxa" w:w="55"/>
              <w:right w:type="dxa" w:w="80"/>
            </w:tcMar>
            <w:vAlign w:val="center"/>
          </w:tcPr>
          <w:p>
            <w:r>
              <w:rPr>
                <w:sz w:val="15"/>
                <w:szCs w:val="15"/>
              </w:rPr>
              <w:t xml:space="preserve">PDPL legal sign-off</w:t>
            </w:r>
          </w:p>
        </w:tc>
        <w:tc>
          <w:tcPr>
            <w:tcW w:type="dxa" w:w="2500"/>
            <w:shd w:fill="F2F2F2" w:val="clear"/>
            <w:tcMar>
              <w:top w:type="dxa" w:w="55"/>
              <w:left w:type="dxa" w:w="80"/>
              <w:bottom w:type="dxa" w:w="55"/>
              <w:right w:type="dxa" w:w="80"/>
            </w:tcMar>
            <w:vAlign w:val="center"/>
          </w:tcPr>
          <w:p>
            <w:r>
              <w:rPr>
                <w:sz w:val="15"/>
                <w:szCs w:val="15"/>
              </w:rPr>
              <w:t xml:space="preserve">TJ-008 Consent &amp; Privacy Center</w:t>
            </w:r>
          </w:p>
        </w:tc>
        <w:tc>
          <w:tcPr>
            <w:tcW w:type="dxa" w:w="1400"/>
            <w:shd w:fill="F2F2F2" w:val="clear"/>
            <w:tcMar>
              <w:top w:type="dxa" w:w="55"/>
              <w:left w:type="dxa" w:w="80"/>
              <w:bottom w:type="dxa" w:w="55"/>
              <w:right w:type="dxa" w:w="80"/>
            </w:tcMar>
            <w:vAlign w:val="center"/>
          </w:tcPr>
          <w:p>
            <w:r>
              <w:rPr>
                <w:sz w:val="15"/>
                <w:szCs w:val="15"/>
              </w:rPr>
              <w:t xml:space="preserve">Legal</w:t>
            </w:r>
          </w:p>
        </w:tc>
        <w:tc>
          <w:tcPr>
            <w:tcW w:type="dxa" w:w="2950"/>
            <w:shd w:fill="F2F2F2" w:val="clear"/>
            <w:tcMar>
              <w:top w:type="dxa" w:w="55"/>
              <w:left w:type="dxa" w:w="80"/>
              <w:bottom w:type="dxa" w:w="55"/>
              <w:right w:type="dxa" w:w="80"/>
            </w:tcMar>
            <w:vAlign w:val="center"/>
          </w:tcPr>
          <w:p>
            <w:r>
              <w:rPr>
                <w:sz w:val="15"/>
                <w:szCs w:val="15"/>
              </w:rPr>
              <w:t xml:space="preserve">Hard gate — MVP cannot launch without this per FDD non-negotiable</w:t>
            </w:r>
          </w:p>
        </w:tc>
      </w:tr>
      <w:tr>
        <w:tc>
          <w:tcPr>
            <w:tcW w:type="dxa" w:w="2500"/>
            <w:shd w:fill="FFFFFF" w:val="clear"/>
            <w:tcMar>
              <w:top w:type="dxa" w:w="55"/>
              <w:left w:type="dxa" w:w="80"/>
              <w:bottom w:type="dxa" w:w="55"/>
              <w:right w:type="dxa" w:w="80"/>
            </w:tcMar>
            <w:vAlign w:val="center"/>
          </w:tcPr>
          <w:p>
            <w:r>
              <w:rPr>
                <w:sz w:val="15"/>
                <w:szCs w:val="15"/>
              </w:rPr>
              <w:t xml:space="preserve">TJ-020 Campaign Config</w:t>
            </w:r>
          </w:p>
        </w:tc>
        <w:tc>
          <w:tcPr>
            <w:tcW w:type="dxa" w:w="2500"/>
            <w:shd w:fill="FFFFFF" w:val="clear"/>
            <w:tcMar>
              <w:top w:type="dxa" w:w="55"/>
              <w:left w:type="dxa" w:w="80"/>
              <w:bottom w:type="dxa" w:w="55"/>
              <w:right w:type="dxa" w:w="80"/>
            </w:tcMar>
            <w:vAlign w:val="center"/>
          </w:tcPr>
          <w:p>
            <w:r>
              <w:rPr>
                <w:sz w:val="15"/>
                <w:szCs w:val="15"/>
              </w:rPr>
              <w:t xml:space="preserve">TJ-005 QR Redemption</w:t>
            </w:r>
          </w:p>
        </w:tc>
        <w:tc>
          <w:tcPr>
            <w:tcW w:type="dxa" w:w="1400"/>
            <w:shd w:fill="FFFFFF" w:val="clear"/>
            <w:tcMar>
              <w:top w:type="dxa" w:w="55"/>
              <w:left w:type="dxa" w:w="80"/>
              <w:bottom w:type="dxa" w:w="55"/>
              <w:right w:type="dxa" w:w="80"/>
            </w:tcMar>
            <w:vAlign w:val="center"/>
          </w:tcPr>
          <w:p>
            <w:r>
              <w:rPr>
                <w:sz w:val="15"/>
                <w:szCs w:val="15"/>
              </w:rPr>
              <w:t xml:space="preserve">Internal engineering</w:t>
            </w:r>
          </w:p>
        </w:tc>
        <w:tc>
          <w:tcPr>
            <w:tcW w:type="dxa" w:w="2950"/>
            <w:shd w:fill="FFFFFF" w:val="clear"/>
            <w:tcMar>
              <w:top w:type="dxa" w:w="55"/>
              <w:left w:type="dxa" w:w="80"/>
              <w:bottom w:type="dxa" w:w="55"/>
              <w:right w:type="dxa" w:w="80"/>
            </w:tcMar>
            <w:vAlign w:val="center"/>
          </w:tcPr>
          <w:p>
            <w:r>
              <w:rPr>
                <w:sz w:val="15"/>
                <w:szCs w:val="15"/>
              </w:rPr>
              <w:t xml:space="preserve">QR batches have no source; blocks Sprint 2 demo</w:t>
            </w:r>
          </w:p>
        </w:tc>
      </w:tr>
      <w:tr>
        <w:tc>
          <w:tcPr>
            <w:tcW w:type="dxa" w:w="2500"/>
            <w:shd w:fill="F2F2F2" w:val="clear"/>
            <w:tcMar>
              <w:top w:type="dxa" w:w="55"/>
              <w:left w:type="dxa" w:w="80"/>
              <w:bottom w:type="dxa" w:w="55"/>
              <w:right w:type="dxa" w:w="80"/>
            </w:tcMar>
            <w:vAlign w:val="center"/>
          </w:tcPr>
          <w:p>
            <w:r>
              <w:rPr>
                <w:sz w:val="15"/>
                <w:szCs w:val="15"/>
              </w:rPr>
              <w:t xml:space="preserve">TJ-005 QR Redemption</w:t>
            </w:r>
          </w:p>
        </w:tc>
        <w:tc>
          <w:tcPr>
            <w:tcW w:type="dxa" w:w="2500"/>
            <w:shd w:fill="F2F2F2" w:val="clear"/>
            <w:tcMar>
              <w:top w:type="dxa" w:w="55"/>
              <w:left w:type="dxa" w:w="80"/>
              <w:bottom w:type="dxa" w:w="55"/>
              <w:right w:type="dxa" w:w="80"/>
            </w:tcMar>
            <w:vAlign w:val="center"/>
          </w:tcPr>
          <w:p>
            <w:r>
              <w:rPr>
                <w:sz w:val="15"/>
                <w:szCs w:val="15"/>
              </w:rPr>
              <w:t xml:space="preserve">TJ-006 Post-Trial Survey</w:t>
            </w:r>
          </w:p>
        </w:tc>
        <w:tc>
          <w:tcPr>
            <w:tcW w:type="dxa" w:w="1400"/>
            <w:shd w:fill="F2F2F2" w:val="clear"/>
            <w:tcMar>
              <w:top w:type="dxa" w:w="55"/>
              <w:left w:type="dxa" w:w="80"/>
              <w:bottom w:type="dxa" w:w="55"/>
              <w:right w:type="dxa" w:w="80"/>
            </w:tcMar>
            <w:vAlign w:val="center"/>
          </w:tcPr>
          <w:p>
            <w:r>
              <w:rPr>
                <w:sz w:val="15"/>
                <w:szCs w:val="15"/>
              </w:rPr>
              <w:t xml:space="preserve">Internal engineering</w:t>
            </w:r>
          </w:p>
        </w:tc>
        <w:tc>
          <w:tcPr>
            <w:tcW w:type="dxa" w:w="2950"/>
            <w:shd w:fill="F2F2F2" w:val="clear"/>
            <w:tcMar>
              <w:top w:type="dxa" w:w="55"/>
              <w:left w:type="dxa" w:w="80"/>
              <w:bottom w:type="dxa" w:w="55"/>
              <w:right w:type="dxa" w:w="80"/>
            </w:tcMar>
            <w:vAlign w:val="center"/>
          </w:tcPr>
          <w:p>
            <w:r>
              <w:rPr>
                <w:sz w:val="15"/>
                <w:szCs w:val="15"/>
              </w:rPr>
              <w:t xml:space="preserve">Survey cannot trigger without a redemption event</w:t>
            </w:r>
          </w:p>
        </w:tc>
      </w:tr>
      <w:tr>
        <w:tc>
          <w:tcPr>
            <w:tcW w:type="dxa" w:w="2500"/>
            <w:shd w:fill="FFFFFF" w:val="clear"/>
            <w:tcMar>
              <w:top w:type="dxa" w:w="55"/>
              <w:left w:type="dxa" w:w="80"/>
              <w:bottom w:type="dxa" w:w="55"/>
              <w:right w:type="dxa" w:w="80"/>
            </w:tcMar>
            <w:vAlign w:val="center"/>
          </w:tcPr>
          <w:p>
            <w:r>
              <w:rPr>
                <w:sz w:val="15"/>
                <w:szCs w:val="15"/>
              </w:rPr>
              <w:t xml:space="preserve">TJ-006 Post-Trial Survey</w:t>
            </w:r>
          </w:p>
        </w:tc>
        <w:tc>
          <w:tcPr>
            <w:tcW w:type="dxa" w:w="2500"/>
            <w:shd w:fill="FFFFFF" w:val="clear"/>
            <w:tcMar>
              <w:top w:type="dxa" w:w="55"/>
              <w:left w:type="dxa" w:w="80"/>
              <w:bottom w:type="dxa" w:w="55"/>
              <w:right w:type="dxa" w:w="80"/>
            </w:tcMar>
            <w:vAlign w:val="center"/>
          </w:tcPr>
          <w:p>
            <w:r>
              <w:rPr>
                <w:sz w:val="15"/>
                <w:szCs w:val="15"/>
              </w:rPr>
              <w:t xml:space="preserve">TJ-014 Live Monitoring, TJ-015 Analytics Report</w:t>
            </w:r>
          </w:p>
        </w:tc>
        <w:tc>
          <w:tcPr>
            <w:tcW w:type="dxa" w:w="1400"/>
            <w:shd w:fill="FFFFFF" w:val="clear"/>
            <w:tcMar>
              <w:top w:type="dxa" w:w="55"/>
              <w:left w:type="dxa" w:w="80"/>
              <w:bottom w:type="dxa" w:w="55"/>
              <w:right w:type="dxa" w:w="80"/>
            </w:tcMar>
            <w:vAlign w:val="center"/>
          </w:tcPr>
          <w:p>
            <w:r>
              <w:rPr>
                <w:sz w:val="15"/>
                <w:szCs w:val="15"/>
              </w:rPr>
              <w:t xml:space="preserve">Internal engineering</w:t>
            </w:r>
          </w:p>
        </w:tc>
        <w:tc>
          <w:tcPr>
            <w:tcW w:type="dxa" w:w="2950"/>
            <w:shd w:fill="FFFFFF" w:val="clear"/>
            <w:tcMar>
              <w:top w:type="dxa" w:w="55"/>
              <w:left w:type="dxa" w:w="80"/>
              <w:bottom w:type="dxa" w:w="55"/>
              <w:right w:type="dxa" w:w="80"/>
            </w:tcMar>
            <w:vAlign w:val="center"/>
          </w:tcPr>
          <w:p>
            <w:r>
              <w:rPr>
                <w:sz w:val="15"/>
                <w:szCs w:val="15"/>
              </w:rPr>
              <w:t xml:space="preserve">No data to display or export</w:t>
            </w:r>
          </w:p>
        </w:tc>
      </w:tr>
      <w:tr>
        <w:tc>
          <w:tcPr>
            <w:tcW w:type="dxa" w:w="2500"/>
            <w:shd w:fill="F2F2F2" w:val="clear"/>
            <w:tcMar>
              <w:top w:type="dxa" w:w="55"/>
              <w:left w:type="dxa" w:w="80"/>
              <w:bottom w:type="dxa" w:w="55"/>
              <w:right w:type="dxa" w:w="80"/>
            </w:tcMar>
            <w:vAlign w:val="center"/>
          </w:tcPr>
          <w:p>
            <w:r>
              <w:rPr>
                <w:sz w:val="15"/>
                <w:szCs w:val="15"/>
              </w:rPr>
              <w:t xml:space="preserve">Retail-partner location agreements (Ops/Sales)</w:t>
            </w:r>
          </w:p>
        </w:tc>
        <w:tc>
          <w:tcPr>
            <w:tcW w:type="dxa" w:w="2500"/>
            <w:shd w:fill="F2F2F2" w:val="clear"/>
            <w:tcMar>
              <w:top w:type="dxa" w:w="55"/>
              <w:left w:type="dxa" w:w="80"/>
              <w:bottom w:type="dxa" w:w="55"/>
              <w:right w:type="dxa" w:w="80"/>
            </w:tcMar>
            <w:vAlign w:val="center"/>
          </w:tcPr>
          <w:p>
            <w:r>
              <w:rPr>
                <w:sz w:val="15"/>
                <w:szCs w:val="15"/>
              </w:rPr>
              <w:t xml:space="preserve">TJ-020 Campaign Config</w:t>
            </w:r>
          </w:p>
        </w:tc>
        <w:tc>
          <w:tcPr>
            <w:tcW w:type="dxa" w:w="1400"/>
            <w:shd w:fill="F2F2F2" w:val="clear"/>
            <w:tcMar>
              <w:top w:type="dxa" w:w="55"/>
              <w:left w:type="dxa" w:w="80"/>
              <w:bottom w:type="dxa" w:w="55"/>
              <w:right w:type="dxa" w:w="80"/>
            </w:tcMar>
            <w:vAlign w:val="center"/>
          </w:tcPr>
          <w:p>
            <w:r>
              <w:rPr>
                <w:sz w:val="15"/>
                <w:szCs w:val="15"/>
              </w:rPr>
              <w:t xml:space="preserve">Business/external</w:t>
            </w:r>
          </w:p>
        </w:tc>
        <w:tc>
          <w:tcPr>
            <w:tcW w:type="dxa" w:w="2950"/>
            <w:shd w:fill="F2F2F2" w:val="clear"/>
            <w:tcMar>
              <w:top w:type="dxa" w:w="55"/>
              <w:left w:type="dxa" w:w="80"/>
              <w:bottom w:type="dxa" w:w="55"/>
              <w:right w:type="dxa" w:w="80"/>
            </w:tcMar>
            <w:vAlign w:val="center"/>
          </w:tcPr>
          <w:p>
            <w:r>
              <w:rPr>
                <w:sz w:val="15"/>
                <w:szCs w:val="15"/>
              </w:rPr>
              <w:t xml:space="preserve">No physical locations to configure campaigns against</w:t>
            </w:r>
          </w:p>
        </w:tc>
      </w:tr>
      <w:tr>
        <w:tc>
          <w:tcPr>
            <w:tcW w:type="dxa" w:w="2500"/>
            <w:shd w:fill="FFFFFF" w:val="clear"/>
            <w:tcMar>
              <w:top w:type="dxa" w:w="55"/>
              <w:left w:type="dxa" w:w="80"/>
              <w:bottom w:type="dxa" w:w="55"/>
              <w:right w:type="dxa" w:w="80"/>
            </w:tcMar>
            <w:vAlign w:val="center"/>
          </w:tcPr>
          <w:p>
            <w:r>
              <w:rPr>
                <w:sz w:val="15"/>
                <w:szCs w:val="15"/>
              </w:rPr>
              <w:t xml:space="preserve">AWS region / data-residency legal confirmation</w:t>
            </w:r>
          </w:p>
        </w:tc>
        <w:tc>
          <w:tcPr>
            <w:tcW w:type="dxa" w:w="2500"/>
            <w:shd w:fill="FFFFFF" w:val="clear"/>
            <w:tcMar>
              <w:top w:type="dxa" w:w="55"/>
              <w:left w:type="dxa" w:w="80"/>
              <w:bottom w:type="dxa" w:w="55"/>
              <w:right w:type="dxa" w:w="80"/>
            </w:tcMar>
            <w:vAlign w:val="center"/>
          </w:tcPr>
          <w:p>
            <w:r>
              <w:rPr>
                <w:sz w:val="15"/>
                <w:szCs w:val="15"/>
              </w:rPr>
              <w:t xml:space="preserve">All infrastructure provisioning</w:t>
            </w:r>
          </w:p>
        </w:tc>
        <w:tc>
          <w:tcPr>
            <w:tcW w:type="dxa" w:w="1400"/>
            <w:shd w:fill="FFFFFF" w:val="clear"/>
            <w:tcMar>
              <w:top w:type="dxa" w:w="55"/>
              <w:left w:type="dxa" w:w="80"/>
              <w:bottom w:type="dxa" w:w="55"/>
              <w:right w:type="dxa" w:w="80"/>
            </w:tcMar>
            <w:vAlign w:val="center"/>
          </w:tcPr>
          <w:p>
            <w:r>
              <w:rPr>
                <w:sz w:val="15"/>
                <w:szCs w:val="15"/>
              </w:rPr>
              <w:t xml:space="preserve">Legal + infra</w:t>
            </w:r>
          </w:p>
        </w:tc>
        <w:tc>
          <w:tcPr>
            <w:tcW w:type="dxa" w:w="2950"/>
            <w:shd w:fill="FFFFFF" w:val="clear"/>
            <w:tcMar>
              <w:top w:type="dxa" w:w="55"/>
              <w:left w:type="dxa" w:w="80"/>
              <w:bottom w:type="dxa" w:w="55"/>
              <w:right w:type="dxa" w:w="80"/>
            </w:tcMar>
            <w:vAlign w:val="center"/>
          </w:tcPr>
          <w:p>
            <w:r>
              <w:rPr>
                <w:sz w:val="15"/>
                <w:szCs w:val="15"/>
              </w:rPr>
              <w:t xml:space="preserve">Sprint 0 cannot finalize hosting region — open FDD decision</w:t>
            </w:r>
          </w:p>
        </w:tc>
      </w:tr>
    </w:tbl>
    <w:p>
      <w:r>
        <w:br w:type="page"/>
      </w:r>
    </w:p>
    <w:p>
      <w:pPr>
        <w:pStyle w:val="Heading1"/>
        <w:pBdr>
          <w:bottom w:val="single" w:color="1F2A44" w:sz="8" w:space="4"/>
        </w:pBdr>
        <w:spacing w:after="190" w:before="380"/>
      </w:pPr>
      <w:r>
        <w:rPr>
          <w:b/>
          <w:bCs/>
          <w:color w:val="1F2A44"/>
          <w:sz w:val="28"/>
          <w:szCs w:val="28"/>
        </w:rPr>
        <w:t xml:space="preserve">6. Risk Register</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300"/>
        <w:gridCol w:w="1200"/>
        <w:gridCol w:w="1100"/>
        <w:gridCol w:w="1100"/>
        <w:gridCol w:w="1000"/>
        <w:gridCol w:w="1950"/>
      </w:tblGrid>
      <w:tr>
        <w:trPr>
          <w:tblHeader/>
        </w:trPr>
        <w:tc>
          <w:tcPr>
            <w:tcW w:type="dxa" w:w="700"/>
            <w:shd w:fill="1F2A44" w:val="clear"/>
            <w:tcMar>
              <w:top w:type="dxa" w:w="70"/>
              <w:left w:type="dxa" w:w="90"/>
              <w:bottom w:type="dxa" w:w="70"/>
              <w:right w:type="dxa" w:w="90"/>
            </w:tcMar>
            <w:vAlign w:val="center"/>
          </w:tcPr>
          <w:p>
            <w:r>
              <w:rPr>
                <w:b/>
                <w:bCs/>
                <w:color w:val="FFFFFF"/>
                <w:sz w:val="15"/>
                <w:szCs w:val="15"/>
              </w:rPr>
              <w:t xml:space="preserve">ID</w:t>
            </w:r>
          </w:p>
        </w:tc>
        <w:tc>
          <w:tcPr>
            <w:tcW w:type="dxa" w:w="2300"/>
            <w:shd w:fill="1F2A44" w:val="clear"/>
            <w:tcMar>
              <w:top w:type="dxa" w:w="70"/>
              <w:left w:type="dxa" w:w="90"/>
              <w:bottom w:type="dxa" w:w="70"/>
              <w:right w:type="dxa" w:w="90"/>
            </w:tcMar>
            <w:vAlign w:val="center"/>
          </w:tcPr>
          <w:p>
            <w:r>
              <w:rPr>
                <w:b/>
                <w:bCs/>
                <w:color w:val="FFFFFF"/>
                <w:sz w:val="15"/>
                <w:szCs w:val="15"/>
              </w:rPr>
              <w:t xml:space="preserve">Risk</w:t>
            </w:r>
          </w:p>
        </w:tc>
        <w:tc>
          <w:tcPr>
            <w:tcW w:type="dxa" w:w="1200"/>
            <w:shd w:fill="1F2A44" w:val="clear"/>
            <w:tcMar>
              <w:top w:type="dxa" w:w="70"/>
              <w:left w:type="dxa" w:w="90"/>
              <w:bottom w:type="dxa" w:w="70"/>
              <w:right w:type="dxa" w:w="90"/>
            </w:tcMar>
            <w:vAlign w:val="center"/>
          </w:tcPr>
          <w:p>
            <w:r>
              <w:rPr>
                <w:b/>
                <w:bCs/>
                <w:color w:val="FFFFFF"/>
                <w:sz w:val="15"/>
                <w:szCs w:val="15"/>
              </w:rPr>
              <w:t xml:space="preserve">Category</w:t>
            </w:r>
          </w:p>
        </w:tc>
        <w:tc>
          <w:tcPr>
            <w:tcW w:type="dxa" w:w="1100"/>
            <w:shd w:fill="1F2A44" w:val="clear"/>
            <w:tcMar>
              <w:top w:type="dxa" w:w="70"/>
              <w:left w:type="dxa" w:w="90"/>
              <w:bottom w:type="dxa" w:w="70"/>
              <w:right w:type="dxa" w:w="90"/>
            </w:tcMar>
            <w:vAlign w:val="center"/>
          </w:tcPr>
          <w:p>
            <w:r>
              <w:rPr>
                <w:b/>
                <w:bCs/>
                <w:color w:val="FFFFFF"/>
                <w:sz w:val="15"/>
                <w:szCs w:val="15"/>
              </w:rPr>
              <w:t xml:space="preserve">Probability</w:t>
            </w:r>
          </w:p>
        </w:tc>
        <w:tc>
          <w:tcPr>
            <w:tcW w:type="dxa" w:w="1100"/>
            <w:shd w:fill="1F2A44" w:val="clear"/>
            <w:tcMar>
              <w:top w:type="dxa" w:w="70"/>
              <w:left w:type="dxa" w:w="90"/>
              <w:bottom w:type="dxa" w:w="70"/>
              <w:right w:type="dxa" w:w="90"/>
            </w:tcMar>
            <w:vAlign w:val="center"/>
          </w:tcPr>
          <w:p>
            <w:r>
              <w:rPr>
                <w:b/>
                <w:bCs/>
                <w:color w:val="FFFFFF"/>
                <w:sz w:val="15"/>
                <w:szCs w:val="15"/>
              </w:rPr>
              <w:t xml:space="preserve">Impact</w:t>
            </w:r>
          </w:p>
        </w:tc>
        <w:tc>
          <w:tcPr>
            <w:tcW w:type="dxa" w:w="1000"/>
            <w:shd w:fill="1F2A44" w:val="clear"/>
            <w:tcMar>
              <w:top w:type="dxa" w:w="70"/>
              <w:left w:type="dxa" w:w="90"/>
              <w:bottom w:type="dxa" w:w="70"/>
              <w:right w:type="dxa" w:w="90"/>
            </w:tcMar>
            <w:vAlign w:val="center"/>
          </w:tcPr>
          <w:p>
            <w:r>
              <w:rPr>
                <w:b/>
                <w:bCs/>
                <w:color w:val="FFFFFF"/>
                <w:sz w:val="15"/>
                <w:szCs w:val="15"/>
              </w:rPr>
              <w:t xml:space="preserve">Owner</w:t>
            </w:r>
          </w:p>
        </w:tc>
        <w:tc>
          <w:tcPr>
            <w:tcW w:type="dxa" w:w="1950"/>
            <w:shd w:fill="1F2A44" w:val="clear"/>
            <w:tcMar>
              <w:top w:type="dxa" w:w="70"/>
              <w:left w:type="dxa" w:w="90"/>
              <w:bottom w:type="dxa" w:w="70"/>
              <w:right w:type="dxa" w:w="90"/>
            </w:tcMar>
            <w:vAlign w:val="center"/>
          </w:tcPr>
          <w:p>
            <w:r>
              <w:rPr>
                <w:b/>
                <w:bCs/>
                <w:color w:val="FFFFFF"/>
                <w:sz w:val="15"/>
                <w:szCs w:val="15"/>
              </w:rPr>
              <w:t xml:space="preserve">Mitigation</w:t>
            </w:r>
          </w:p>
        </w:tc>
      </w:tr>
      <w:tr>
        <w:tc>
          <w:tcPr>
            <w:tcW w:type="dxa" w:w="700"/>
            <w:shd w:fill="FFFFFF" w:val="clear"/>
            <w:tcMar>
              <w:top w:type="dxa" w:w="55"/>
              <w:left w:type="dxa" w:w="80"/>
              <w:bottom w:type="dxa" w:w="55"/>
              <w:right w:type="dxa" w:w="80"/>
            </w:tcMar>
            <w:vAlign w:val="center"/>
          </w:tcPr>
          <w:p>
            <w:r>
              <w:rPr>
                <w:sz w:val="15"/>
                <w:szCs w:val="15"/>
              </w:rPr>
              <w:t xml:space="preserve">R-01</w:t>
            </w:r>
          </w:p>
        </w:tc>
        <w:tc>
          <w:tcPr>
            <w:tcW w:type="dxa" w:w="2300"/>
            <w:shd w:fill="FFFFFF" w:val="clear"/>
            <w:tcMar>
              <w:top w:type="dxa" w:w="55"/>
              <w:left w:type="dxa" w:w="80"/>
              <w:bottom w:type="dxa" w:w="55"/>
              <w:right w:type="dxa" w:w="80"/>
            </w:tcMar>
            <w:vAlign w:val="center"/>
          </w:tcPr>
          <w:p>
            <w:r>
              <w:rPr>
                <w:sz w:val="15"/>
                <w:szCs w:val="15"/>
              </w:rPr>
              <w:t xml:space="preserve">Validation sprint gate not yet confirmed passed</w:t>
            </w:r>
          </w:p>
        </w:tc>
        <w:tc>
          <w:tcPr>
            <w:tcW w:type="dxa" w:w="1200"/>
            <w:shd w:fill="FFFFFF" w:val="clear"/>
            <w:tcMar>
              <w:top w:type="dxa" w:w="55"/>
              <w:left w:type="dxa" w:w="80"/>
              <w:bottom w:type="dxa" w:w="55"/>
              <w:right w:type="dxa" w:w="80"/>
            </w:tcMar>
            <w:vAlign w:val="center"/>
          </w:tcPr>
          <w:p>
            <w:r>
              <w:rPr>
                <w:sz w:val="15"/>
                <w:szCs w:val="15"/>
              </w:rPr>
              <w:t xml:space="preserve">Programmatic</w:t>
            </w:r>
          </w:p>
        </w:tc>
        <w:tc>
          <w:tcPr>
            <w:tcW w:type="dxa" w:w="1100"/>
            <w:shd w:fill="FFFFFF" w:val="clear"/>
            <w:tcMar>
              <w:top w:type="dxa" w:w="55"/>
              <w:left w:type="dxa" w:w="80"/>
              <w:bottom w:type="dxa" w:w="55"/>
              <w:right w:type="dxa" w:w="80"/>
            </w:tcMar>
            <w:vAlign w:val="center"/>
          </w:tcPr>
          <w:p>
            <w:r>
              <w:rPr>
                <w:sz w:val="15"/>
                <w:szCs w:val="15"/>
              </w:rPr>
              <w:t xml:space="preserve">Confirmed as current state</w:t>
            </w:r>
          </w:p>
        </w:tc>
        <w:tc>
          <w:tcPr>
            <w:tcW w:type="dxa" w:w="1100"/>
            <w:shd w:fill="FFFFFF" w:val="clear"/>
            <w:tcMar>
              <w:top w:type="dxa" w:w="55"/>
              <w:left w:type="dxa" w:w="80"/>
              <w:bottom w:type="dxa" w:w="55"/>
              <w:right w:type="dxa" w:w="80"/>
            </w:tcMar>
            <w:vAlign w:val="center"/>
          </w:tcPr>
          <w:p>
            <w:r>
              <w:rPr>
                <w:sz w:val="15"/>
                <w:szCs w:val="15"/>
              </w:rPr>
              <w:t xml:space="preserve">Critical — blocks everything</w:t>
            </w:r>
          </w:p>
        </w:tc>
        <w:tc>
          <w:tcPr>
            <w:tcW w:type="dxa" w:w="1000"/>
            <w:shd w:fill="FFFFFF" w:val="clear"/>
            <w:tcMar>
              <w:top w:type="dxa" w:w="55"/>
              <w:left w:type="dxa" w:w="80"/>
              <w:bottom w:type="dxa" w:w="55"/>
              <w:right w:type="dxa" w:w="80"/>
            </w:tcMar>
            <w:vAlign w:val="center"/>
          </w:tcPr>
          <w:p>
            <w:r>
              <w:rPr>
                <w:sz w:val="15"/>
                <w:szCs w:val="15"/>
              </w:rPr>
              <w:t xml:space="preserve">CEO/IC</w:t>
            </w:r>
          </w:p>
        </w:tc>
        <w:tc>
          <w:tcPr>
            <w:tcW w:type="dxa" w:w="1950"/>
            <w:shd w:fill="FFFFFF" w:val="clear"/>
            <w:tcMar>
              <w:top w:type="dxa" w:w="55"/>
              <w:left w:type="dxa" w:w="80"/>
              <w:bottom w:type="dxa" w:w="55"/>
              <w:right w:type="dxa" w:w="80"/>
            </w:tcMar>
            <w:vAlign w:val="center"/>
          </w:tcPr>
          <w:p>
            <w:r>
              <w:rPr>
                <w:sz w:val="15"/>
                <w:szCs w:val="15"/>
              </w:rPr>
              <w:t xml:space="preserve">See Section 18 — this is the plan's actual current status, not a future risk</w:t>
            </w:r>
          </w:p>
        </w:tc>
      </w:tr>
      <w:tr>
        <w:tc>
          <w:tcPr>
            <w:tcW w:type="dxa" w:w="700"/>
            <w:shd w:fill="F2F2F2" w:val="clear"/>
            <w:tcMar>
              <w:top w:type="dxa" w:w="55"/>
              <w:left w:type="dxa" w:w="80"/>
              <w:bottom w:type="dxa" w:w="55"/>
              <w:right w:type="dxa" w:w="80"/>
            </w:tcMar>
            <w:vAlign w:val="center"/>
          </w:tcPr>
          <w:p>
            <w:r>
              <w:rPr>
                <w:sz w:val="15"/>
                <w:szCs w:val="15"/>
              </w:rPr>
              <w:t xml:space="preserve">R-02</w:t>
            </w:r>
          </w:p>
        </w:tc>
        <w:tc>
          <w:tcPr>
            <w:tcW w:type="dxa" w:w="2300"/>
            <w:shd w:fill="F2F2F2" w:val="clear"/>
            <w:tcMar>
              <w:top w:type="dxa" w:w="55"/>
              <w:left w:type="dxa" w:w="80"/>
              <w:bottom w:type="dxa" w:w="55"/>
              <w:right w:type="dxa" w:w="80"/>
            </w:tcMar>
            <w:vAlign w:val="center"/>
          </w:tcPr>
          <w:p>
            <w:r>
              <w:rPr>
                <w:sz w:val="15"/>
                <w:szCs w:val="15"/>
              </w:rPr>
              <w:t xml:space="preserve">SMS OTP deliverability fails on a major Egyptian carrier</w:t>
            </w:r>
          </w:p>
        </w:tc>
        <w:tc>
          <w:tcPr>
            <w:tcW w:type="dxa" w:w="1200"/>
            <w:shd w:fill="F2F2F2" w:val="clear"/>
            <w:tcMar>
              <w:top w:type="dxa" w:w="55"/>
              <w:left w:type="dxa" w:w="80"/>
              <w:bottom w:type="dxa" w:w="55"/>
              <w:right w:type="dxa" w:w="80"/>
            </w:tcMar>
            <w:vAlign w:val="center"/>
          </w:tcPr>
          <w:p>
            <w:r>
              <w:rPr>
                <w:sz w:val="15"/>
                <w:szCs w:val="15"/>
              </w:rPr>
              <w:t xml:space="preserve">Technical</w:t>
            </w:r>
          </w:p>
        </w:tc>
        <w:tc>
          <w:tcPr>
            <w:tcW w:type="dxa" w:w="1100"/>
            <w:shd w:fill="F2F2F2" w:val="clear"/>
            <w:tcMar>
              <w:top w:type="dxa" w:w="55"/>
              <w:left w:type="dxa" w:w="80"/>
              <w:bottom w:type="dxa" w:w="55"/>
              <w:right w:type="dxa" w:w="80"/>
            </w:tcMar>
            <w:vAlign w:val="center"/>
          </w:tcPr>
          <w:p>
            <w:r>
              <w:rPr>
                <w:sz w:val="15"/>
                <w:szCs w:val="15"/>
              </w:rPr>
              <w:t xml:space="preserve">Medium</w:t>
            </w:r>
          </w:p>
        </w:tc>
        <w:tc>
          <w:tcPr>
            <w:tcW w:type="dxa" w:w="1100"/>
            <w:shd w:fill="F2F2F2" w:val="clear"/>
            <w:tcMar>
              <w:top w:type="dxa" w:w="55"/>
              <w:left w:type="dxa" w:w="80"/>
              <w:bottom w:type="dxa" w:w="55"/>
              <w:right w:type="dxa" w:w="80"/>
            </w:tcMar>
            <w:vAlign w:val="center"/>
          </w:tcPr>
          <w:p>
            <w:r>
              <w:rPr>
                <w:sz w:val="15"/>
                <w:szCs w:val="15"/>
              </w:rPr>
              <w:t xml:space="preserve">High</w:t>
            </w:r>
          </w:p>
        </w:tc>
        <w:tc>
          <w:tcPr>
            <w:tcW w:type="dxa" w:w="1000"/>
            <w:shd w:fill="F2F2F2" w:val="clear"/>
            <w:tcMar>
              <w:top w:type="dxa" w:w="55"/>
              <w:left w:type="dxa" w:w="80"/>
              <w:bottom w:type="dxa" w:w="55"/>
              <w:right w:type="dxa" w:w="80"/>
            </w:tcMar>
            <w:vAlign w:val="center"/>
          </w:tcPr>
          <w:p>
            <w:r>
              <w:rPr>
                <w:sz w:val="15"/>
                <w:szCs w:val="15"/>
              </w:rPr>
              <w:t xml:space="preserve">Backend Eng</w:t>
            </w:r>
          </w:p>
        </w:tc>
        <w:tc>
          <w:tcPr>
            <w:tcW w:type="dxa" w:w="1950"/>
            <w:shd w:fill="F2F2F2" w:val="clear"/>
            <w:tcMar>
              <w:top w:type="dxa" w:w="55"/>
              <w:left w:type="dxa" w:w="80"/>
              <w:bottom w:type="dxa" w:w="55"/>
              <w:right w:type="dxa" w:w="80"/>
            </w:tcMar>
            <w:vAlign w:val="center"/>
          </w:tcPr>
          <w:p>
            <w:r>
              <w:rPr>
                <w:sz w:val="15"/>
                <w:szCs w:val="15"/>
              </w:rPr>
              <w:t xml:space="preserve">Sprint 0 spike tests all 3 major carriers before Sprint 1 commitment</w:t>
            </w:r>
          </w:p>
        </w:tc>
      </w:tr>
      <w:tr>
        <w:tc>
          <w:tcPr>
            <w:tcW w:type="dxa" w:w="700"/>
            <w:shd w:fill="FFFFFF" w:val="clear"/>
            <w:tcMar>
              <w:top w:type="dxa" w:w="55"/>
              <w:left w:type="dxa" w:w="80"/>
              <w:bottom w:type="dxa" w:w="55"/>
              <w:right w:type="dxa" w:w="80"/>
            </w:tcMar>
            <w:vAlign w:val="center"/>
          </w:tcPr>
          <w:p>
            <w:r>
              <w:rPr>
                <w:sz w:val="15"/>
                <w:szCs w:val="15"/>
              </w:rPr>
              <w:t xml:space="preserve">R-03</w:t>
            </w:r>
          </w:p>
        </w:tc>
        <w:tc>
          <w:tcPr>
            <w:tcW w:type="dxa" w:w="2300"/>
            <w:shd w:fill="FFFFFF" w:val="clear"/>
            <w:tcMar>
              <w:top w:type="dxa" w:w="55"/>
              <w:left w:type="dxa" w:w="80"/>
              <w:bottom w:type="dxa" w:w="55"/>
              <w:right w:type="dxa" w:w="80"/>
            </w:tcMar>
            <w:vAlign w:val="center"/>
          </w:tcPr>
          <w:p>
            <w:r>
              <w:rPr>
                <w:sz w:val="15"/>
                <w:szCs w:val="15"/>
              </w:rPr>
              <w:t xml:space="preserve">QR redemption concurrency bug corrupts data at a high-traffic location</w:t>
            </w:r>
          </w:p>
        </w:tc>
        <w:tc>
          <w:tcPr>
            <w:tcW w:type="dxa" w:w="1200"/>
            <w:shd w:fill="FFFFFF" w:val="clear"/>
            <w:tcMar>
              <w:top w:type="dxa" w:w="55"/>
              <w:left w:type="dxa" w:w="80"/>
              <w:bottom w:type="dxa" w:w="55"/>
              <w:right w:type="dxa" w:w="80"/>
            </w:tcMar>
            <w:vAlign w:val="center"/>
          </w:tcPr>
          <w:p>
            <w:r>
              <w:rPr>
                <w:sz w:val="15"/>
                <w:szCs w:val="15"/>
              </w:rPr>
              <w:t xml:space="preserve">Technical</w:t>
            </w:r>
          </w:p>
        </w:tc>
        <w:tc>
          <w:tcPr>
            <w:tcW w:type="dxa" w:w="1100"/>
            <w:shd w:fill="FFFFFF" w:val="clear"/>
            <w:tcMar>
              <w:top w:type="dxa" w:w="55"/>
              <w:left w:type="dxa" w:w="80"/>
              <w:bottom w:type="dxa" w:w="55"/>
              <w:right w:type="dxa" w:w="80"/>
            </w:tcMar>
            <w:vAlign w:val="center"/>
          </w:tcPr>
          <w:p>
            <w:r>
              <w:rPr>
                <w:sz w:val="15"/>
                <w:szCs w:val="15"/>
              </w:rPr>
              <w:t xml:space="preserve">Medium</w:t>
            </w:r>
          </w:p>
        </w:tc>
        <w:tc>
          <w:tcPr>
            <w:tcW w:type="dxa" w:w="1100"/>
            <w:shd w:fill="FFFFFF" w:val="clear"/>
            <w:tcMar>
              <w:top w:type="dxa" w:w="55"/>
              <w:left w:type="dxa" w:w="80"/>
              <w:bottom w:type="dxa" w:w="55"/>
              <w:right w:type="dxa" w:w="80"/>
            </w:tcMar>
            <w:vAlign w:val="center"/>
          </w:tcPr>
          <w:p>
            <w:r>
              <w:rPr>
                <w:sz w:val="15"/>
                <w:szCs w:val="15"/>
              </w:rPr>
              <w:t xml:space="preserve">Critical</w:t>
            </w:r>
          </w:p>
        </w:tc>
        <w:tc>
          <w:tcPr>
            <w:tcW w:type="dxa" w:w="1000"/>
            <w:shd w:fill="FFFFFF" w:val="clear"/>
            <w:tcMar>
              <w:top w:type="dxa" w:w="55"/>
              <w:left w:type="dxa" w:w="80"/>
              <w:bottom w:type="dxa" w:w="55"/>
              <w:right w:type="dxa" w:w="80"/>
            </w:tcMar>
            <w:vAlign w:val="center"/>
          </w:tcPr>
          <w:p>
            <w:r>
              <w:rPr>
                <w:sz w:val="15"/>
                <w:szCs w:val="15"/>
              </w:rPr>
              <w:t xml:space="preserve">Backend Eng</w:t>
            </w:r>
          </w:p>
        </w:tc>
        <w:tc>
          <w:tcPr>
            <w:tcW w:type="dxa" w:w="1950"/>
            <w:shd w:fill="FFFFFF" w:val="clear"/>
            <w:tcMar>
              <w:top w:type="dxa" w:w="55"/>
              <w:left w:type="dxa" w:w="80"/>
              <w:bottom w:type="dxa" w:w="55"/>
              <w:right w:type="dxa" w:w="80"/>
            </w:tcMar>
            <w:vAlign w:val="center"/>
          </w:tcPr>
          <w:p>
            <w:r>
              <w:rPr>
                <w:sz w:val="15"/>
                <w:szCs w:val="15"/>
              </w:rPr>
              <w:t xml:space="preserve">Load testing mandatory before Sprint 2 exit; feature-flagged rollout</w:t>
            </w:r>
          </w:p>
        </w:tc>
      </w:tr>
      <w:tr>
        <w:tc>
          <w:tcPr>
            <w:tcW w:type="dxa" w:w="700"/>
            <w:shd w:fill="F2F2F2" w:val="clear"/>
            <w:tcMar>
              <w:top w:type="dxa" w:w="55"/>
              <w:left w:type="dxa" w:w="80"/>
              <w:bottom w:type="dxa" w:w="55"/>
              <w:right w:type="dxa" w:w="80"/>
            </w:tcMar>
            <w:vAlign w:val="center"/>
          </w:tcPr>
          <w:p>
            <w:r>
              <w:rPr>
                <w:sz w:val="15"/>
                <w:szCs w:val="15"/>
              </w:rPr>
              <w:t xml:space="preserve">R-04</w:t>
            </w:r>
          </w:p>
        </w:tc>
        <w:tc>
          <w:tcPr>
            <w:tcW w:type="dxa" w:w="2300"/>
            <w:shd w:fill="F2F2F2" w:val="clear"/>
            <w:tcMar>
              <w:top w:type="dxa" w:w="55"/>
              <w:left w:type="dxa" w:w="80"/>
              <w:bottom w:type="dxa" w:w="55"/>
              <w:right w:type="dxa" w:w="80"/>
            </w:tcMar>
            <w:vAlign w:val="center"/>
          </w:tcPr>
          <w:p>
            <w:r>
              <w:rPr>
                <w:sz w:val="15"/>
                <w:szCs w:val="15"/>
              </w:rPr>
              <w:t xml:space="preserve">PDPL legal sign-off delayed beyond Sprint 3</w:t>
            </w:r>
          </w:p>
        </w:tc>
        <w:tc>
          <w:tcPr>
            <w:tcW w:type="dxa" w:w="1200"/>
            <w:shd w:fill="F2F2F2" w:val="clear"/>
            <w:tcMar>
              <w:top w:type="dxa" w:w="55"/>
              <w:left w:type="dxa" w:w="80"/>
              <w:bottom w:type="dxa" w:w="55"/>
              <w:right w:type="dxa" w:w="80"/>
            </w:tcMar>
            <w:vAlign w:val="center"/>
          </w:tcPr>
          <w:p>
            <w:r>
              <w:rPr>
                <w:sz w:val="15"/>
                <w:szCs w:val="15"/>
              </w:rPr>
              <w:t xml:space="preserve">Legal</w:t>
            </w:r>
          </w:p>
        </w:tc>
        <w:tc>
          <w:tcPr>
            <w:tcW w:type="dxa" w:w="1100"/>
            <w:shd w:fill="F2F2F2" w:val="clear"/>
            <w:tcMar>
              <w:top w:type="dxa" w:w="55"/>
              <w:left w:type="dxa" w:w="80"/>
              <w:bottom w:type="dxa" w:w="55"/>
              <w:right w:type="dxa" w:w="80"/>
            </w:tcMar>
            <w:vAlign w:val="center"/>
          </w:tcPr>
          <w:p>
            <w:r>
              <w:rPr>
                <w:sz w:val="15"/>
                <w:szCs w:val="15"/>
              </w:rPr>
              <w:t xml:space="preserve">Medium</w:t>
            </w:r>
          </w:p>
        </w:tc>
        <w:tc>
          <w:tcPr>
            <w:tcW w:type="dxa" w:w="1100"/>
            <w:shd w:fill="F2F2F2" w:val="clear"/>
            <w:tcMar>
              <w:top w:type="dxa" w:w="55"/>
              <w:left w:type="dxa" w:w="80"/>
              <w:bottom w:type="dxa" w:w="55"/>
              <w:right w:type="dxa" w:w="80"/>
            </w:tcMar>
            <w:vAlign w:val="center"/>
          </w:tcPr>
          <w:p>
            <w:r>
              <w:rPr>
                <w:sz w:val="15"/>
                <w:szCs w:val="15"/>
              </w:rPr>
              <w:t xml:space="preserve">Critical</w:t>
            </w:r>
          </w:p>
        </w:tc>
        <w:tc>
          <w:tcPr>
            <w:tcW w:type="dxa" w:w="1000"/>
            <w:shd w:fill="F2F2F2" w:val="clear"/>
            <w:tcMar>
              <w:top w:type="dxa" w:w="55"/>
              <w:left w:type="dxa" w:w="80"/>
              <w:bottom w:type="dxa" w:w="55"/>
              <w:right w:type="dxa" w:w="80"/>
            </w:tcMar>
            <w:vAlign w:val="center"/>
          </w:tcPr>
          <w:p>
            <w:r>
              <w:rPr>
                <w:sz w:val="15"/>
                <w:szCs w:val="15"/>
              </w:rPr>
              <w:t xml:space="preserve">Legal/CEO</w:t>
            </w:r>
          </w:p>
        </w:tc>
        <w:tc>
          <w:tcPr>
            <w:tcW w:type="dxa" w:w="1950"/>
            <w:shd w:fill="F2F2F2" w:val="clear"/>
            <w:tcMar>
              <w:top w:type="dxa" w:w="55"/>
              <w:left w:type="dxa" w:w="80"/>
              <w:bottom w:type="dxa" w:w="55"/>
              <w:right w:type="dxa" w:w="80"/>
            </w:tcMar>
            <w:vAlign w:val="center"/>
          </w:tcPr>
          <w:p>
            <w:r>
              <w:rPr>
                <w:sz w:val="15"/>
                <w:szCs w:val="15"/>
              </w:rPr>
              <w:t xml:space="preserve">Kicked off in Sprint 0, in parallel with engineering, not after</w:t>
            </w:r>
          </w:p>
        </w:tc>
      </w:tr>
      <w:tr>
        <w:tc>
          <w:tcPr>
            <w:tcW w:type="dxa" w:w="700"/>
            <w:shd w:fill="FFFFFF" w:val="clear"/>
            <w:tcMar>
              <w:top w:type="dxa" w:w="55"/>
              <w:left w:type="dxa" w:w="80"/>
              <w:bottom w:type="dxa" w:w="55"/>
              <w:right w:type="dxa" w:w="80"/>
            </w:tcMar>
            <w:vAlign w:val="center"/>
          </w:tcPr>
          <w:p>
            <w:r>
              <w:rPr>
                <w:sz w:val="15"/>
                <w:szCs w:val="15"/>
              </w:rPr>
              <w:t xml:space="preserve">R-05</w:t>
            </w:r>
          </w:p>
        </w:tc>
        <w:tc>
          <w:tcPr>
            <w:tcW w:type="dxa" w:w="2300"/>
            <w:shd w:fill="FFFFFF" w:val="clear"/>
            <w:tcMar>
              <w:top w:type="dxa" w:w="55"/>
              <w:left w:type="dxa" w:w="80"/>
              <w:bottom w:type="dxa" w:w="55"/>
              <w:right w:type="dxa" w:w="80"/>
            </w:tcMar>
            <w:vAlign w:val="center"/>
          </w:tcPr>
          <w:p>
            <w:r>
              <w:rPr>
                <w:sz w:val="15"/>
                <w:szCs w:val="15"/>
              </w:rPr>
              <w:t xml:space="preserve">WhatsApp BSP approval delayed</w:t>
            </w:r>
          </w:p>
        </w:tc>
        <w:tc>
          <w:tcPr>
            <w:tcW w:type="dxa" w:w="1200"/>
            <w:shd w:fill="FFFFFF" w:val="clear"/>
            <w:tcMar>
              <w:top w:type="dxa" w:w="55"/>
              <w:left w:type="dxa" w:w="80"/>
              <w:bottom w:type="dxa" w:w="55"/>
              <w:right w:type="dxa" w:w="80"/>
            </w:tcMar>
            <w:vAlign w:val="center"/>
          </w:tcPr>
          <w:p>
            <w:r>
              <w:rPr>
                <w:sz w:val="15"/>
                <w:szCs w:val="15"/>
              </w:rPr>
              <w:t xml:space="preserve">External/Vendor</w:t>
            </w:r>
          </w:p>
        </w:tc>
        <w:tc>
          <w:tcPr>
            <w:tcW w:type="dxa" w:w="1100"/>
            <w:shd w:fill="FFFFFF" w:val="clear"/>
            <w:tcMar>
              <w:top w:type="dxa" w:w="55"/>
              <w:left w:type="dxa" w:w="80"/>
              <w:bottom w:type="dxa" w:w="55"/>
              <w:right w:type="dxa" w:w="80"/>
            </w:tcMar>
            <w:vAlign w:val="center"/>
          </w:tcPr>
          <w:p>
            <w:r>
              <w:rPr>
                <w:sz w:val="15"/>
                <w:szCs w:val="15"/>
              </w:rPr>
              <w:t xml:space="preserve">Medium</w:t>
            </w:r>
          </w:p>
        </w:tc>
        <w:tc>
          <w:tcPr>
            <w:tcW w:type="dxa" w:w="1100"/>
            <w:shd w:fill="FFFFFF" w:val="clear"/>
            <w:tcMar>
              <w:top w:type="dxa" w:w="55"/>
              <w:left w:type="dxa" w:w="80"/>
              <w:bottom w:type="dxa" w:w="55"/>
              <w:right w:type="dxa" w:w="80"/>
            </w:tcMar>
            <w:vAlign w:val="center"/>
          </w:tcPr>
          <w:p>
            <w:r>
              <w:rPr>
                <w:sz w:val="15"/>
                <w:szCs w:val="15"/>
              </w:rPr>
              <w:t xml:space="preserve">Medium</w:t>
            </w:r>
          </w:p>
        </w:tc>
        <w:tc>
          <w:tcPr>
            <w:tcW w:type="dxa" w:w="1000"/>
            <w:shd w:fill="FFFFFF" w:val="clear"/>
            <w:tcMar>
              <w:top w:type="dxa" w:w="55"/>
              <w:left w:type="dxa" w:w="80"/>
              <w:bottom w:type="dxa" w:w="55"/>
              <w:right w:type="dxa" w:w="80"/>
            </w:tcMar>
            <w:vAlign w:val="center"/>
          </w:tcPr>
          <w:p>
            <w:r>
              <w:rPr>
                <w:sz w:val="15"/>
                <w:szCs w:val="15"/>
              </w:rPr>
              <w:t xml:space="preserve">Ops</w:t>
            </w:r>
          </w:p>
        </w:tc>
        <w:tc>
          <w:tcPr>
            <w:tcW w:type="dxa" w:w="1950"/>
            <w:shd w:fill="FFFFFF" w:val="clear"/>
            <w:tcMar>
              <w:top w:type="dxa" w:w="55"/>
              <w:left w:type="dxa" w:w="80"/>
              <w:bottom w:type="dxa" w:w="55"/>
              <w:right w:type="dxa" w:w="80"/>
            </w:tcMar>
            <w:vAlign w:val="center"/>
          </w:tcPr>
          <w:p>
            <w:r>
              <w:rPr>
                <w:sz w:val="15"/>
                <w:szCs w:val="15"/>
              </w:rPr>
              <w:t xml:space="preserve">Push-notification fallback; not launch-blocking</w:t>
            </w:r>
          </w:p>
        </w:tc>
      </w:tr>
      <w:tr>
        <w:tc>
          <w:tcPr>
            <w:tcW w:type="dxa" w:w="700"/>
            <w:shd w:fill="F2F2F2" w:val="clear"/>
            <w:tcMar>
              <w:top w:type="dxa" w:w="55"/>
              <w:left w:type="dxa" w:w="80"/>
              <w:bottom w:type="dxa" w:w="55"/>
              <w:right w:type="dxa" w:w="80"/>
            </w:tcMar>
            <w:vAlign w:val="center"/>
          </w:tcPr>
          <w:p>
            <w:r>
              <w:rPr>
                <w:sz w:val="15"/>
                <w:szCs w:val="15"/>
              </w:rPr>
              <w:t xml:space="preserve">R-06</w:t>
            </w:r>
          </w:p>
        </w:tc>
        <w:tc>
          <w:tcPr>
            <w:tcW w:type="dxa" w:w="2300"/>
            <w:shd w:fill="F2F2F2" w:val="clear"/>
            <w:tcMar>
              <w:top w:type="dxa" w:w="55"/>
              <w:left w:type="dxa" w:w="80"/>
              <w:bottom w:type="dxa" w:w="55"/>
              <w:right w:type="dxa" w:w="80"/>
            </w:tcMar>
            <w:vAlign w:val="center"/>
          </w:tcPr>
          <w:p>
            <w:r>
              <w:rPr>
                <w:sz w:val="15"/>
                <w:szCs w:val="15"/>
              </w:rPr>
              <w:t xml:space="preserve">Retail-partner locations not secured in time for Sprint 2 demo</w:t>
            </w:r>
          </w:p>
        </w:tc>
        <w:tc>
          <w:tcPr>
            <w:tcW w:type="dxa" w:w="1200"/>
            <w:shd w:fill="F2F2F2" w:val="clear"/>
            <w:tcMar>
              <w:top w:type="dxa" w:w="55"/>
              <w:left w:type="dxa" w:w="80"/>
              <w:bottom w:type="dxa" w:w="55"/>
              <w:right w:type="dxa" w:w="80"/>
            </w:tcMar>
            <w:vAlign w:val="center"/>
          </w:tcPr>
          <w:p>
            <w:r>
              <w:rPr>
                <w:sz w:val="15"/>
                <w:szCs w:val="15"/>
              </w:rPr>
              <w:t xml:space="preserve">Business</w:t>
            </w:r>
          </w:p>
        </w:tc>
        <w:tc>
          <w:tcPr>
            <w:tcW w:type="dxa" w:w="1100"/>
            <w:shd w:fill="F2F2F2" w:val="clear"/>
            <w:tcMar>
              <w:top w:type="dxa" w:w="55"/>
              <w:left w:type="dxa" w:w="80"/>
              <w:bottom w:type="dxa" w:w="55"/>
              <w:right w:type="dxa" w:w="80"/>
            </w:tcMar>
            <w:vAlign w:val="center"/>
          </w:tcPr>
          <w:p>
            <w:r>
              <w:rPr>
                <w:sz w:val="15"/>
                <w:szCs w:val="15"/>
              </w:rPr>
              <w:t xml:space="preserve">Medium</w:t>
            </w:r>
          </w:p>
        </w:tc>
        <w:tc>
          <w:tcPr>
            <w:tcW w:type="dxa" w:w="1100"/>
            <w:shd w:fill="F2F2F2" w:val="clear"/>
            <w:tcMar>
              <w:top w:type="dxa" w:w="55"/>
              <w:left w:type="dxa" w:w="80"/>
              <w:bottom w:type="dxa" w:w="55"/>
              <w:right w:type="dxa" w:w="80"/>
            </w:tcMar>
            <w:vAlign w:val="center"/>
          </w:tcPr>
          <w:p>
            <w:r>
              <w:rPr>
                <w:sz w:val="15"/>
                <w:szCs w:val="15"/>
              </w:rPr>
              <w:t xml:space="preserve">High</w:t>
            </w:r>
          </w:p>
        </w:tc>
        <w:tc>
          <w:tcPr>
            <w:tcW w:type="dxa" w:w="1000"/>
            <w:shd w:fill="F2F2F2" w:val="clear"/>
            <w:tcMar>
              <w:top w:type="dxa" w:w="55"/>
              <w:left w:type="dxa" w:w="80"/>
              <w:bottom w:type="dxa" w:w="55"/>
              <w:right w:type="dxa" w:w="80"/>
            </w:tcMar>
            <w:vAlign w:val="center"/>
          </w:tcPr>
          <w:p>
            <w:r>
              <w:rPr>
                <w:sz w:val="15"/>
                <w:szCs w:val="15"/>
              </w:rPr>
              <w:t xml:space="preserve">Sales/Ops</w:t>
            </w:r>
          </w:p>
        </w:tc>
        <w:tc>
          <w:tcPr>
            <w:tcW w:type="dxa" w:w="1950"/>
            <w:shd w:fill="F2F2F2" w:val="clear"/>
            <w:tcMar>
              <w:top w:type="dxa" w:w="55"/>
              <w:left w:type="dxa" w:w="80"/>
              <w:bottom w:type="dxa" w:w="55"/>
              <w:right w:type="dxa" w:w="80"/>
            </w:tcMar>
            <w:vAlign w:val="center"/>
          </w:tcPr>
          <w:p>
            <w:r>
              <w:rPr>
                <w:sz w:val="15"/>
                <w:szCs w:val="15"/>
              </w:rPr>
              <w:t xml:space="preserve">Begin partner outreach in Track 0/Sprint 0, not Sprint 2</w:t>
            </w:r>
          </w:p>
        </w:tc>
      </w:tr>
      <w:tr>
        <w:tc>
          <w:tcPr>
            <w:tcW w:type="dxa" w:w="700"/>
            <w:shd w:fill="FFFFFF" w:val="clear"/>
            <w:tcMar>
              <w:top w:type="dxa" w:w="55"/>
              <w:left w:type="dxa" w:w="80"/>
              <w:bottom w:type="dxa" w:w="55"/>
              <w:right w:type="dxa" w:w="80"/>
            </w:tcMar>
            <w:vAlign w:val="center"/>
          </w:tcPr>
          <w:p>
            <w:r>
              <w:rPr>
                <w:sz w:val="15"/>
                <w:szCs w:val="15"/>
              </w:rPr>
              <w:t xml:space="preserve">R-07</w:t>
            </w:r>
          </w:p>
        </w:tc>
        <w:tc>
          <w:tcPr>
            <w:tcW w:type="dxa" w:w="2300"/>
            <w:shd w:fill="FFFFFF" w:val="clear"/>
            <w:tcMar>
              <w:top w:type="dxa" w:w="55"/>
              <w:left w:type="dxa" w:w="80"/>
              <w:bottom w:type="dxa" w:w="55"/>
              <w:right w:type="dxa" w:w="80"/>
            </w:tcMar>
            <w:vAlign w:val="center"/>
          </w:tcPr>
          <w:p>
            <w:r>
              <w:rPr>
                <w:sz w:val="15"/>
                <w:szCs w:val="15"/>
              </w:rPr>
              <w:t xml:space="preserve">Team of 5 engineers is understaffed for the Sprint 1–4 scope as estimated</w:t>
            </w:r>
          </w:p>
        </w:tc>
        <w:tc>
          <w:tcPr>
            <w:tcW w:type="dxa" w:w="1200"/>
            <w:shd w:fill="FFFFFF" w:val="clear"/>
            <w:tcMar>
              <w:top w:type="dxa" w:w="55"/>
              <w:left w:type="dxa" w:w="80"/>
              <w:bottom w:type="dxa" w:w="55"/>
              <w:right w:type="dxa" w:w="80"/>
            </w:tcMar>
            <w:vAlign w:val="center"/>
          </w:tcPr>
          <w:p>
            <w:r>
              <w:rPr>
                <w:sz w:val="15"/>
                <w:szCs w:val="15"/>
              </w:rPr>
              <w:t xml:space="preserve">Resourcing</w:t>
            </w:r>
          </w:p>
        </w:tc>
        <w:tc>
          <w:tcPr>
            <w:tcW w:type="dxa" w:w="1100"/>
            <w:shd w:fill="FFFFFF" w:val="clear"/>
            <w:tcMar>
              <w:top w:type="dxa" w:w="55"/>
              <w:left w:type="dxa" w:w="80"/>
              <w:bottom w:type="dxa" w:w="55"/>
              <w:right w:type="dxa" w:w="80"/>
            </w:tcMar>
            <w:vAlign w:val="center"/>
          </w:tcPr>
          <w:p>
            <w:r>
              <w:rPr>
                <w:sz w:val="15"/>
                <w:szCs w:val="15"/>
              </w:rPr>
              <w:t xml:space="preserve">Medium</w:t>
            </w:r>
          </w:p>
        </w:tc>
        <w:tc>
          <w:tcPr>
            <w:tcW w:type="dxa" w:w="1100"/>
            <w:shd w:fill="FFFFFF" w:val="clear"/>
            <w:tcMar>
              <w:top w:type="dxa" w:w="55"/>
              <w:left w:type="dxa" w:w="80"/>
              <w:bottom w:type="dxa" w:w="55"/>
              <w:right w:type="dxa" w:w="80"/>
            </w:tcMar>
            <w:vAlign w:val="center"/>
          </w:tcPr>
          <w:p>
            <w:r>
              <w:rPr>
                <w:sz w:val="15"/>
                <w:szCs w:val="15"/>
              </w:rPr>
              <w:t xml:space="preserve">High</w:t>
            </w:r>
          </w:p>
        </w:tc>
        <w:tc>
          <w:tcPr>
            <w:tcW w:type="dxa" w:w="1000"/>
            <w:shd w:fill="FFFFFF" w:val="clear"/>
            <w:tcMar>
              <w:top w:type="dxa" w:w="55"/>
              <w:left w:type="dxa" w:w="80"/>
              <w:bottom w:type="dxa" w:w="55"/>
              <w:right w:type="dxa" w:w="80"/>
            </w:tcMar>
            <w:vAlign w:val="center"/>
          </w:tcPr>
          <w:p>
            <w:r>
              <w:rPr>
                <w:sz w:val="15"/>
                <w:szCs w:val="15"/>
              </w:rPr>
              <w:t xml:space="preserve">CTO/PMO</w:t>
            </w:r>
          </w:p>
        </w:tc>
        <w:tc>
          <w:tcPr>
            <w:tcW w:type="dxa" w:w="1950"/>
            <w:shd w:fill="FFFFFF" w:val="clear"/>
            <w:tcMar>
              <w:top w:type="dxa" w:w="55"/>
              <w:left w:type="dxa" w:w="80"/>
              <w:bottom w:type="dxa" w:w="55"/>
              <w:right w:type="dxa" w:w="80"/>
            </w:tcMar>
            <w:vAlign w:val="center"/>
          </w:tcPr>
          <w:p>
            <w:r>
              <w:rPr>
                <w:sz w:val="15"/>
                <w:szCs w:val="15"/>
              </w:rPr>
              <w:t xml:space="preserve">Sprint 1 velocity check-in; scope-cut candidates pre-identified (TJ-016, TJ-022 can slip to Sprint 5 buffer)</w:t>
            </w:r>
          </w:p>
        </w:tc>
      </w:tr>
      <w:tr>
        <w:tc>
          <w:tcPr>
            <w:tcW w:type="dxa" w:w="700"/>
            <w:shd w:fill="F2F2F2" w:val="clear"/>
            <w:tcMar>
              <w:top w:type="dxa" w:w="55"/>
              <w:left w:type="dxa" w:w="80"/>
              <w:bottom w:type="dxa" w:w="55"/>
              <w:right w:type="dxa" w:w="80"/>
            </w:tcMar>
            <w:vAlign w:val="center"/>
          </w:tcPr>
          <w:p>
            <w:r>
              <w:rPr>
                <w:sz w:val="15"/>
                <w:szCs w:val="15"/>
              </w:rPr>
              <w:t xml:space="preserve">R-08</w:t>
            </w:r>
          </w:p>
        </w:tc>
        <w:tc>
          <w:tcPr>
            <w:tcW w:type="dxa" w:w="2300"/>
            <w:shd w:fill="F2F2F2" w:val="clear"/>
            <w:tcMar>
              <w:top w:type="dxa" w:w="55"/>
              <w:left w:type="dxa" w:w="80"/>
              <w:bottom w:type="dxa" w:w="55"/>
              <w:right w:type="dxa" w:w="80"/>
            </w:tcMar>
            <w:vAlign w:val="center"/>
          </w:tcPr>
          <w:p>
            <w:r>
              <w:rPr>
                <w:sz w:val="15"/>
                <w:szCs w:val="15"/>
              </w:rPr>
              <w:t xml:space="preserve">Marketeers Research (identified competitor) launches a competing feature during MVP build</w:t>
            </w:r>
          </w:p>
        </w:tc>
        <w:tc>
          <w:tcPr>
            <w:tcW w:type="dxa" w:w="1200"/>
            <w:shd w:fill="F2F2F2" w:val="clear"/>
            <w:tcMar>
              <w:top w:type="dxa" w:w="55"/>
              <w:left w:type="dxa" w:w="80"/>
              <w:bottom w:type="dxa" w:w="55"/>
              <w:right w:type="dxa" w:w="80"/>
            </w:tcMar>
            <w:vAlign w:val="center"/>
          </w:tcPr>
          <w:p>
            <w:r>
              <w:rPr>
                <w:sz w:val="15"/>
                <w:szCs w:val="15"/>
              </w:rPr>
              <w:t xml:space="preserve">Market</w:t>
            </w:r>
          </w:p>
        </w:tc>
        <w:tc>
          <w:tcPr>
            <w:tcW w:type="dxa" w:w="1100"/>
            <w:shd w:fill="F2F2F2" w:val="clear"/>
            <w:tcMar>
              <w:top w:type="dxa" w:w="55"/>
              <w:left w:type="dxa" w:w="80"/>
              <w:bottom w:type="dxa" w:w="55"/>
              <w:right w:type="dxa" w:w="80"/>
            </w:tcMar>
            <w:vAlign w:val="center"/>
          </w:tcPr>
          <w:p>
            <w:r>
              <w:rPr>
                <w:sz w:val="15"/>
                <w:szCs w:val="15"/>
              </w:rPr>
              <w:t xml:space="preserve">Low-Medium</w:t>
            </w:r>
          </w:p>
        </w:tc>
        <w:tc>
          <w:tcPr>
            <w:tcW w:type="dxa" w:w="1100"/>
            <w:shd w:fill="F2F2F2" w:val="clear"/>
            <w:tcMar>
              <w:top w:type="dxa" w:w="55"/>
              <w:left w:type="dxa" w:w="80"/>
              <w:bottom w:type="dxa" w:w="55"/>
              <w:right w:type="dxa" w:w="80"/>
            </w:tcMar>
            <w:vAlign w:val="center"/>
          </w:tcPr>
          <w:p>
            <w:r>
              <w:rPr>
                <w:sz w:val="15"/>
                <w:szCs w:val="15"/>
              </w:rPr>
              <w:t xml:space="preserve">Medium</w:t>
            </w:r>
          </w:p>
        </w:tc>
        <w:tc>
          <w:tcPr>
            <w:tcW w:type="dxa" w:w="1000"/>
            <w:shd w:fill="F2F2F2" w:val="clear"/>
            <w:tcMar>
              <w:top w:type="dxa" w:w="55"/>
              <w:left w:type="dxa" w:w="80"/>
              <w:bottom w:type="dxa" w:w="55"/>
              <w:right w:type="dxa" w:w="80"/>
            </w:tcMar>
            <w:vAlign w:val="center"/>
          </w:tcPr>
          <w:p>
            <w:r>
              <w:rPr>
                <w:sz w:val="15"/>
                <w:szCs w:val="15"/>
              </w:rPr>
              <w:t xml:space="preserve">CEO</w:t>
            </w:r>
          </w:p>
        </w:tc>
        <w:tc>
          <w:tcPr>
            <w:tcW w:type="dxa" w:w="1950"/>
            <w:shd w:fill="F2F2F2" w:val="clear"/>
            <w:tcMar>
              <w:top w:type="dxa" w:w="55"/>
              <w:left w:type="dxa" w:w="80"/>
              <w:bottom w:type="dxa" w:w="55"/>
              <w:right w:type="dxa" w:w="80"/>
            </w:tcMar>
            <w:vAlign w:val="center"/>
          </w:tcPr>
          <w:p>
            <w:r>
              <w:rPr>
                <w:sz w:val="15"/>
                <w:szCs w:val="15"/>
              </w:rPr>
              <w:t xml:space="preserve">No engineering mitigation — monitor via Sales; differentiate on sampling-to-data pipeline per FDD positioning</w:t>
            </w:r>
          </w:p>
        </w:tc>
      </w:tr>
      <w:tr>
        <w:tc>
          <w:tcPr>
            <w:tcW w:type="dxa" w:w="700"/>
            <w:shd w:fill="FFFFFF" w:val="clear"/>
            <w:tcMar>
              <w:top w:type="dxa" w:w="55"/>
              <w:left w:type="dxa" w:w="80"/>
              <w:bottom w:type="dxa" w:w="55"/>
              <w:right w:type="dxa" w:w="80"/>
            </w:tcMar>
            <w:vAlign w:val="center"/>
          </w:tcPr>
          <w:p>
            <w:r>
              <w:rPr>
                <w:sz w:val="15"/>
                <w:szCs w:val="15"/>
              </w:rPr>
              <w:t xml:space="preserve">R-09</w:t>
            </w:r>
          </w:p>
        </w:tc>
        <w:tc>
          <w:tcPr>
            <w:tcW w:type="dxa" w:w="2300"/>
            <w:shd w:fill="FFFFFF" w:val="clear"/>
            <w:tcMar>
              <w:top w:type="dxa" w:w="55"/>
              <w:left w:type="dxa" w:w="80"/>
              <w:bottom w:type="dxa" w:w="55"/>
              <w:right w:type="dxa" w:w="80"/>
            </w:tcMar>
            <w:vAlign w:val="center"/>
          </w:tcPr>
          <w:p>
            <w:r>
              <w:rPr>
                <w:sz w:val="15"/>
                <w:szCs w:val="15"/>
              </w:rPr>
              <w:t xml:space="preserve">AWS data-residency legal question unresolved, blocking Sprint 0 region finalization</w:t>
            </w:r>
          </w:p>
        </w:tc>
        <w:tc>
          <w:tcPr>
            <w:tcW w:type="dxa" w:w="1200"/>
            <w:shd w:fill="FFFFFF" w:val="clear"/>
            <w:tcMar>
              <w:top w:type="dxa" w:w="55"/>
              <w:left w:type="dxa" w:w="80"/>
              <w:bottom w:type="dxa" w:w="55"/>
              <w:right w:type="dxa" w:w="80"/>
            </w:tcMar>
            <w:vAlign w:val="center"/>
          </w:tcPr>
          <w:p>
            <w:r>
              <w:rPr>
                <w:sz w:val="15"/>
                <w:szCs w:val="15"/>
              </w:rPr>
              <w:t xml:space="preserve">Legal/Infra</w:t>
            </w:r>
          </w:p>
        </w:tc>
        <w:tc>
          <w:tcPr>
            <w:tcW w:type="dxa" w:w="1100"/>
            <w:shd w:fill="FFFFFF" w:val="clear"/>
            <w:tcMar>
              <w:top w:type="dxa" w:w="55"/>
              <w:left w:type="dxa" w:w="80"/>
              <w:bottom w:type="dxa" w:w="55"/>
              <w:right w:type="dxa" w:w="80"/>
            </w:tcMar>
            <w:vAlign w:val="center"/>
          </w:tcPr>
          <w:p>
            <w:r>
              <w:rPr>
                <w:sz w:val="15"/>
                <w:szCs w:val="15"/>
              </w:rPr>
              <w:t xml:space="preserve">Medium</w:t>
            </w:r>
          </w:p>
        </w:tc>
        <w:tc>
          <w:tcPr>
            <w:tcW w:type="dxa" w:w="1100"/>
            <w:shd w:fill="FFFFFF" w:val="clear"/>
            <w:tcMar>
              <w:top w:type="dxa" w:w="55"/>
              <w:left w:type="dxa" w:w="80"/>
              <w:bottom w:type="dxa" w:w="55"/>
              <w:right w:type="dxa" w:w="80"/>
            </w:tcMar>
            <w:vAlign w:val="center"/>
          </w:tcPr>
          <w:p>
            <w:r>
              <w:rPr>
                <w:sz w:val="15"/>
                <w:szCs w:val="15"/>
              </w:rPr>
              <w:t xml:space="preserve">High</w:t>
            </w:r>
          </w:p>
        </w:tc>
        <w:tc>
          <w:tcPr>
            <w:tcW w:type="dxa" w:w="1000"/>
            <w:shd w:fill="FFFFFF" w:val="clear"/>
            <w:tcMar>
              <w:top w:type="dxa" w:w="55"/>
              <w:left w:type="dxa" w:w="80"/>
              <w:bottom w:type="dxa" w:w="55"/>
              <w:right w:type="dxa" w:w="80"/>
            </w:tcMar>
            <w:vAlign w:val="center"/>
          </w:tcPr>
          <w:p>
            <w:r>
              <w:rPr>
                <w:sz w:val="15"/>
                <w:szCs w:val="15"/>
              </w:rPr>
              <w:t xml:space="preserve">Legal/CTO</w:t>
            </w:r>
          </w:p>
        </w:tc>
        <w:tc>
          <w:tcPr>
            <w:tcW w:type="dxa" w:w="1950"/>
            <w:shd w:fill="FFFFFF" w:val="clear"/>
            <w:tcMar>
              <w:top w:type="dxa" w:w="55"/>
              <w:left w:type="dxa" w:w="80"/>
              <w:bottom w:type="dxa" w:w="55"/>
              <w:right w:type="dxa" w:w="80"/>
            </w:tcMar>
            <w:vAlign w:val="center"/>
          </w:tcPr>
          <w:p>
            <w:r>
              <w:rPr>
                <w:sz w:val="15"/>
                <w:szCs w:val="15"/>
              </w:rPr>
              <w:t xml:space="preserve">Escalate as a Sprint 0 Day 1 blocker, not a background task</w:t>
            </w:r>
          </w:p>
        </w:tc>
      </w:tr>
    </w:tbl>
    <w:p>
      <w:r>
        <w:br w:type="page"/>
      </w:r>
    </w:p>
    <w:p>
      <w:pPr>
        <w:pStyle w:val="Heading1"/>
        <w:pBdr>
          <w:bottom w:val="single" w:color="1F2A44" w:sz="8" w:space="4"/>
        </w:pBdr>
        <w:spacing w:after="190" w:before="380"/>
      </w:pPr>
      <w:r>
        <w:rPr>
          <w:b/>
          <w:bCs/>
          <w:color w:val="1F2A44"/>
          <w:sz w:val="28"/>
          <w:szCs w:val="28"/>
        </w:rPr>
        <w:t xml:space="preserve">7. Project Timeline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000"/>
        <w:gridCol w:w="3950"/>
      </w:tblGrid>
      <w:tr>
        <w:trPr>
          <w:tblHeader/>
        </w:trPr>
        <w:tc>
          <w:tcPr>
            <w:tcW w:type="dxa" w:w="2400"/>
            <w:shd w:fill="1F2A44" w:val="clear"/>
            <w:tcMar>
              <w:top w:type="dxa" w:w="70"/>
              <w:left w:type="dxa" w:w="90"/>
              <w:bottom w:type="dxa" w:w="70"/>
              <w:right w:type="dxa" w:w="90"/>
            </w:tcMar>
            <w:vAlign w:val="center"/>
          </w:tcPr>
          <w:p>
            <w:r>
              <w:rPr>
                <w:b/>
                <w:bCs/>
                <w:color w:val="FFFFFF"/>
                <w:sz w:val="15"/>
                <w:szCs w:val="15"/>
              </w:rPr>
              <w:t xml:space="preserve">Phase</w:t>
            </w:r>
          </w:p>
        </w:tc>
        <w:tc>
          <w:tcPr>
            <w:tcW w:type="dxa" w:w="3000"/>
            <w:shd w:fill="1F2A44" w:val="clear"/>
            <w:tcMar>
              <w:top w:type="dxa" w:w="70"/>
              <w:left w:type="dxa" w:w="90"/>
              <w:bottom w:type="dxa" w:w="70"/>
              <w:right w:type="dxa" w:w="90"/>
            </w:tcMar>
            <w:vAlign w:val="center"/>
          </w:tcPr>
          <w:p>
            <w:r>
              <w:rPr>
                <w:b/>
                <w:bCs/>
                <w:color w:val="FFFFFF"/>
                <w:sz w:val="15"/>
                <w:szCs w:val="15"/>
              </w:rPr>
              <w:t xml:space="preserve">Duration</w:t>
            </w:r>
          </w:p>
        </w:tc>
        <w:tc>
          <w:tcPr>
            <w:tcW w:type="dxa" w:w="3950"/>
            <w:shd w:fill="1F2A44" w:val="clear"/>
            <w:tcMar>
              <w:top w:type="dxa" w:w="70"/>
              <w:left w:type="dxa" w:w="90"/>
              <w:bottom w:type="dxa" w:w="70"/>
              <w:right w:type="dxa" w:w="90"/>
            </w:tcMar>
            <w:vAlign w:val="center"/>
          </w:tcPr>
          <w:p>
            <w:r>
              <w:rPr>
                <w:b/>
                <w:bCs/>
                <w:color w:val="FFFFFF"/>
                <w:sz w:val="15"/>
                <w:szCs w:val="15"/>
              </w:rPr>
              <w:t xml:space="preserve">Window (from Sprint 0 start)</w:t>
            </w:r>
          </w:p>
        </w:tc>
      </w:tr>
      <w:tr>
        <w:tc>
          <w:tcPr>
            <w:tcW w:type="dxa" w:w="2400"/>
            <w:shd w:fill="FFFFFF" w:val="clear"/>
            <w:tcMar>
              <w:top w:type="dxa" w:w="55"/>
              <w:left w:type="dxa" w:w="80"/>
              <w:bottom w:type="dxa" w:w="55"/>
              <w:right w:type="dxa" w:w="80"/>
            </w:tcMar>
            <w:vAlign w:val="center"/>
          </w:tcPr>
          <w:p>
            <w:r>
              <w:rPr>
                <w:sz w:val="15"/>
                <w:szCs w:val="15"/>
              </w:rPr>
              <w:t xml:space="preserve">Sprint 0 — Setup</w:t>
            </w:r>
          </w:p>
        </w:tc>
        <w:tc>
          <w:tcPr>
            <w:tcW w:type="dxa" w:w="3000"/>
            <w:shd w:fill="FFFFFF" w:val="clear"/>
            <w:tcMar>
              <w:top w:type="dxa" w:w="55"/>
              <w:left w:type="dxa" w:w="80"/>
              <w:bottom w:type="dxa" w:w="55"/>
              <w:right w:type="dxa" w:w="80"/>
            </w:tcMar>
            <w:vAlign w:val="center"/>
          </w:tcPr>
          <w:p>
            <w:r>
              <w:rPr>
                <w:sz w:val="15"/>
                <w:szCs w:val="15"/>
              </w:rPr>
              <w:t xml:space="preserve">2 weeks</w:t>
            </w:r>
          </w:p>
        </w:tc>
        <w:tc>
          <w:tcPr>
            <w:tcW w:type="dxa" w:w="3950"/>
            <w:shd w:fill="FFFFFF" w:val="clear"/>
            <w:tcMar>
              <w:top w:type="dxa" w:w="55"/>
              <w:left w:type="dxa" w:w="80"/>
              <w:bottom w:type="dxa" w:w="55"/>
              <w:right w:type="dxa" w:w="80"/>
            </w:tcMar>
            <w:vAlign w:val="center"/>
          </w:tcPr>
          <w:p>
            <w:r>
              <w:rPr>
                <w:sz w:val="15"/>
                <w:szCs w:val="15"/>
              </w:rPr>
              <w:t xml:space="preserve">Weeks 1–2</w:t>
            </w:r>
          </w:p>
        </w:tc>
      </w:tr>
      <w:tr>
        <w:tc>
          <w:tcPr>
            <w:tcW w:type="dxa" w:w="2400"/>
            <w:shd w:fill="F2F2F2" w:val="clear"/>
            <w:tcMar>
              <w:top w:type="dxa" w:w="55"/>
              <w:left w:type="dxa" w:w="80"/>
              <w:bottom w:type="dxa" w:w="55"/>
              <w:right w:type="dxa" w:w="80"/>
            </w:tcMar>
            <w:vAlign w:val="center"/>
          </w:tcPr>
          <w:p>
            <w:r>
              <w:rPr>
                <w:sz w:val="15"/>
                <w:szCs w:val="15"/>
              </w:rPr>
              <w:t xml:space="preserve">Sprints 1–4 — MVP Build</w:t>
            </w:r>
          </w:p>
        </w:tc>
        <w:tc>
          <w:tcPr>
            <w:tcW w:type="dxa" w:w="3000"/>
            <w:shd w:fill="F2F2F2" w:val="clear"/>
            <w:tcMar>
              <w:top w:type="dxa" w:w="55"/>
              <w:left w:type="dxa" w:w="80"/>
              <w:bottom w:type="dxa" w:w="55"/>
              <w:right w:type="dxa" w:w="80"/>
            </w:tcMar>
            <w:vAlign w:val="center"/>
          </w:tcPr>
          <w:p>
            <w:r>
              <w:rPr>
                <w:sz w:val="15"/>
                <w:szCs w:val="15"/>
              </w:rPr>
              <w:t xml:space="preserve">8 weeks</w:t>
            </w:r>
          </w:p>
        </w:tc>
        <w:tc>
          <w:tcPr>
            <w:tcW w:type="dxa" w:w="3950"/>
            <w:shd w:fill="F2F2F2" w:val="clear"/>
            <w:tcMar>
              <w:top w:type="dxa" w:w="55"/>
              <w:left w:type="dxa" w:w="80"/>
              <w:bottom w:type="dxa" w:w="55"/>
              <w:right w:type="dxa" w:w="80"/>
            </w:tcMar>
            <w:vAlign w:val="center"/>
          </w:tcPr>
          <w:p>
            <w:r>
              <w:rPr>
                <w:sz w:val="15"/>
                <w:szCs w:val="15"/>
              </w:rPr>
              <w:t xml:space="preserve">Weeks 3–10</w:t>
            </w:r>
          </w:p>
        </w:tc>
      </w:tr>
      <w:tr>
        <w:tc>
          <w:tcPr>
            <w:tcW w:type="dxa" w:w="2400"/>
            <w:shd w:fill="FFFFFF" w:val="clear"/>
            <w:tcMar>
              <w:top w:type="dxa" w:w="55"/>
              <w:left w:type="dxa" w:w="80"/>
              <w:bottom w:type="dxa" w:w="55"/>
              <w:right w:type="dxa" w:w="80"/>
            </w:tcMar>
            <w:vAlign w:val="center"/>
          </w:tcPr>
          <w:p>
            <w:r>
              <w:rPr>
                <w:sz w:val="15"/>
                <w:szCs w:val="15"/>
              </w:rPr>
              <w:t xml:space="preserve">Sprint 5 — Hardening</w:t>
            </w:r>
          </w:p>
        </w:tc>
        <w:tc>
          <w:tcPr>
            <w:tcW w:type="dxa" w:w="3000"/>
            <w:shd w:fill="FFFFFF" w:val="clear"/>
            <w:tcMar>
              <w:top w:type="dxa" w:w="55"/>
              <w:left w:type="dxa" w:w="80"/>
              <w:bottom w:type="dxa" w:w="55"/>
              <w:right w:type="dxa" w:w="80"/>
            </w:tcMar>
            <w:vAlign w:val="center"/>
          </w:tcPr>
          <w:p>
            <w:r>
              <w:rPr>
                <w:sz w:val="15"/>
                <w:szCs w:val="15"/>
              </w:rPr>
              <w:t xml:space="preserve">2 weeks</w:t>
            </w:r>
          </w:p>
        </w:tc>
        <w:tc>
          <w:tcPr>
            <w:tcW w:type="dxa" w:w="3950"/>
            <w:shd w:fill="FFFFFF" w:val="clear"/>
            <w:tcMar>
              <w:top w:type="dxa" w:w="55"/>
              <w:left w:type="dxa" w:w="80"/>
              <w:bottom w:type="dxa" w:w="55"/>
              <w:right w:type="dxa" w:w="80"/>
            </w:tcMar>
            <w:vAlign w:val="center"/>
          </w:tcPr>
          <w:p>
            <w:r>
              <w:rPr>
                <w:sz w:val="15"/>
                <w:szCs w:val="15"/>
              </w:rPr>
              <w:t xml:space="preserve">Weeks 11–12</w:t>
            </w:r>
          </w:p>
        </w:tc>
      </w:tr>
      <w:tr>
        <w:tc>
          <w:tcPr>
            <w:tcW w:type="dxa" w:w="2400"/>
            <w:shd w:fill="F2F2F2" w:val="clear"/>
            <w:tcMar>
              <w:top w:type="dxa" w:w="55"/>
              <w:left w:type="dxa" w:w="80"/>
              <w:bottom w:type="dxa" w:w="55"/>
              <w:right w:type="dxa" w:w="80"/>
            </w:tcMar>
            <w:vAlign w:val="center"/>
          </w:tcPr>
          <w:p>
            <w:r>
              <w:rPr>
                <w:sz w:val="15"/>
                <w:szCs w:val="15"/>
              </w:rPr>
              <w:t xml:space="preserve">Sprint 6 — Private Beta Prep</w:t>
            </w:r>
          </w:p>
        </w:tc>
        <w:tc>
          <w:tcPr>
            <w:tcW w:type="dxa" w:w="3000"/>
            <w:shd w:fill="F2F2F2" w:val="clear"/>
            <w:tcMar>
              <w:top w:type="dxa" w:w="55"/>
              <w:left w:type="dxa" w:w="80"/>
              <w:bottom w:type="dxa" w:w="55"/>
              <w:right w:type="dxa" w:w="80"/>
            </w:tcMar>
            <w:vAlign w:val="center"/>
          </w:tcPr>
          <w:p>
            <w:r>
              <w:rPr>
                <w:sz w:val="15"/>
                <w:szCs w:val="15"/>
              </w:rPr>
              <w:t xml:space="preserve">2 weeks</w:t>
            </w:r>
          </w:p>
        </w:tc>
        <w:tc>
          <w:tcPr>
            <w:tcW w:type="dxa" w:w="3950"/>
            <w:shd w:fill="F2F2F2" w:val="clear"/>
            <w:tcMar>
              <w:top w:type="dxa" w:w="55"/>
              <w:left w:type="dxa" w:w="80"/>
              <w:bottom w:type="dxa" w:w="55"/>
              <w:right w:type="dxa" w:w="80"/>
            </w:tcMar>
            <w:vAlign w:val="center"/>
          </w:tcPr>
          <w:p>
            <w:r>
              <w:rPr>
                <w:sz w:val="15"/>
                <w:szCs w:val="15"/>
              </w:rPr>
              <w:t xml:space="preserve">Weeks 13–14</w:t>
            </w:r>
          </w:p>
        </w:tc>
      </w:tr>
      <w:tr>
        <w:tc>
          <w:tcPr>
            <w:tcW w:type="dxa" w:w="2400"/>
            <w:shd w:fill="FFFFFF" w:val="clear"/>
            <w:tcMar>
              <w:top w:type="dxa" w:w="55"/>
              <w:left w:type="dxa" w:w="80"/>
              <w:bottom w:type="dxa" w:w="55"/>
              <w:right w:type="dxa" w:w="80"/>
            </w:tcMar>
            <w:vAlign w:val="center"/>
          </w:tcPr>
          <w:p>
            <w:r>
              <w:rPr>
                <w:sz w:val="15"/>
                <w:szCs w:val="15"/>
              </w:rPr>
              <w:t xml:space="preserve">Private Beta</w:t>
            </w:r>
          </w:p>
        </w:tc>
        <w:tc>
          <w:tcPr>
            <w:tcW w:type="dxa" w:w="3000"/>
            <w:shd w:fill="FFFFFF" w:val="clear"/>
            <w:tcMar>
              <w:top w:type="dxa" w:w="55"/>
              <w:left w:type="dxa" w:w="80"/>
              <w:bottom w:type="dxa" w:w="55"/>
              <w:right w:type="dxa" w:w="80"/>
            </w:tcMar>
            <w:vAlign w:val="center"/>
          </w:tcPr>
          <w:p>
            <w:r>
              <w:rPr>
                <w:sz w:val="15"/>
                <w:szCs w:val="15"/>
              </w:rPr>
              <w:t xml:space="preserve">2–4 weeks (variable, exit-criteria gated)</w:t>
            </w:r>
          </w:p>
        </w:tc>
        <w:tc>
          <w:tcPr>
            <w:tcW w:type="dxa" w:w="3950"/>
            <w:shd w:fill="FFFFFF" w:val="clear"/>
            <w:tcMar>
              <w:top w:type="dxa" w:w="55"/>
              <w:left w:type="dxa" w:w="80"/>
              <w:bottom w:type="dxa" w:w="55"/>
              <w:right w:type="dxa" w:w="80"/>
            </w:tcMar>
            <w:vAlign w:val="center"/>
          </w:tcPr>
          <w:p>
            <w:r>
              <w:rPr>
                <w:sz w:val="15"/>
                <w:szCs w:val="15"/>
              </w:rPr>
              <w:t xml:space="preserve">Weeks 15–18</w:t>
            </w:r>
          </w:p>
        </w:tc>
      </w:tr>
      <w:tr>
        <w:tc>
          <w:tcPr>
            <w:tcW w:type="dxa" w:w="2400"/>
            <w:shd w:fill="F2F2F2" w:val="clear"/>
            <w:tcMar>
              <w:top w:type="dxa" w:w="55"/>
              <w:left w:type="dxa" w:w="80"/>
              <w:bottom w:type="dxa" w:w="55"/>
              <w:right w:type="dxa" w:w="80"/>
            </w:tcMar>
            <w:vAlign w:val="center"/>
          </w:tcPr>
          <w:p>
            <w:r>
              <w:rPr>
                <w:sz w:val="15"/>
                <w:szCs w:val="15"/>
              </w:rPr>
              <w:t xml:space="preserve">Public Beta</w:t>
            </w:r>
          </w:p>
        </w:tc>
        <w:tc>
          <w:tcPr>
            <w:tcW w:type="dxa" w:w="3000"/>
            <w:shd w:fill="F2F2F2" w:val="clear"/>
            <w:tcMar>
              <w:top w:type="dxa" w:w="55"/>
              <w:left w:type="dxa" w:w="80"/>
              <w:bottom w:type="dxa" w:w="55"/>
              <w:right w:type="dxa" w:w="80"/>
            </w:tcMar>
            <w:vAlign w:val="center"/>
          </w:tcPr>
          <w:p>
            <w:r>
              <w:rPr>
                <w:sz w:val="15"/>
                <w:szCs w:val="15"/>
              </w:rPr>
              <w:t xml:space="preserve">2–4 weeks (variable)</w:t>
            </w:r>
          </w:p>
        </w:tc>
        <w:tc>
          <w:tcPr>
            <w:tcW w:type="dxa" w:w="3950"/>
            <w:shd w:fill="F2F2F2" w:val="clear"/>
            <w:tcMar>
              <w:top w:type="dxa" w:w="55"/>
              <w:left w:type="dxa" w:w="80"/>
              <w:bottom w:type="dxa" w:w="55"/>
              <w:right w:type="dxa" w:w="80"/>
            </w:tcMar>
            <w:vAlign w:val="center"/>
          </w:tcPr>
          <w:p>
            <w:r>
              <w:rPr>
                <w:sz w:val="15"/>
                <w:szCs w:val="15"/>
              </w:rPr>
              <w:t xml:space="preserve">Weeks 19–22</w:t>
            </w:r>
          </w:p>
        </w:tc>
      </w:tr>
      <w:tr>
        <w:tc>
          <w:tcPr>
            <w:tcW w:type="dxa" w:w="2400"/>
            <w:shd w:fill="FFFFFF" w:val="clear"/>
            <w:tcMar>
              <w:top w:type="dxa" w:w="55"/>
              <w:left w:type="dxa" w:w="80"/>
              <w:bottom w:type="dxa" w:w="55"/>
              <w:right w:type="dxa" w:w="80"/>
            </w:tcMar>
            <w:vAlign w:val="center"/>
          </w:tcPr>
          <w:p>
            <w:r>
              <w:rPr>
                <w:sz w:val="15"/>
                <w:szCs w:val="15"/>
              </w:rPr>
              <w:t xml:space="preserve">Release Candidate + Production</w:t>
            </w:r>
          </w:p>
        </w:tc>
        <w:tc>
          <w:tcPr>
            <w:tcW w:type="dxa" w:w="3000"/>
            <w:shd w:fill="FFFFFF" w:val="clear"/>
            <w:tcMar>
              <w:top w:type="dxa" w:w="55"/>
              <w:left w:type="dxa" w:w="80"/>
              <w:bottom w:type="dxa" w:w="55"/>
              <w:right w:type="dxa" w:w="80"/>
            </w:tcMar>
            <w:vAlign w:val="center"/>
          </w:tcPr>
          <w:p>
            <w:r>
              <w:rPr>
                <w:sz w:val="15"/>
                <w:szCs w:val="15"/>
              </w:rPr>
              <w:t xml:space="preserve">2 weeks</w:t>
            </w:r>
          </w:p>
        </w:tc>
        <w:tc>
          <w:tcPr>
            <w:tcW w:type="dxa" w:w="3950"/>
            <w:shd w:fill="FFFFFF" w:val="clear"/>
            <w:tcMar>
              <w:top w:type="dxa" w:w="55"/>
              <w:left w:type="dxa" w:w="80"/>
              <w:bottom w:type="dxa" w:w="55"/>
              <w:right w:type="dxa" w:w="80"/>
            </w:tcMar>
            <w:vAlign w:val="center"/>
          </w:tcPr>
          <w:p>
            <w:r>
              <w:rPr>
                <w:sz w:val="15"/>
                <w:szCs w:val="15"/>
              </w:rPr>
              <w:t xml:space="preserve">Weeks 23–24</w:t>
            </w:r>
          </w:p>
        </w:tc>
      </w:tr>
    </w:tbl>
    <w:p>
      <w:pPr>
        <w:spacing w:after="110" w:line="260"/>
      </w:pPr>
      <w:r>
        <w:rPr>
          <w:sz w:val="19"/>
          <w:szCs w:val="19"/>
        </w:rPr>
        <w:t xml:space="preserve">Total: approximately 24 weeks (~6 months) from Sprint 0 start to Production v1.0 — consistent with the 6–12 month horizon in the Master Execution Blueprint. Critical path: Sprint 0 legal/infra → Sprint 1 Auth → Sprint 2 Campaign+QR → Sprint 3 Survey+Notification → Sprint 4 Analytics → Hardening → Beta gates → Production.</w:t>
      </w:r>
    </w:p>
    <w:p>
      <w:r>
        <w:br w:type="page"/>
      </w:r>
    </w:p>
    <w:p>
      <w:pPr>
        <w:pStyle w:val="Heading1"/>
        <w:pBdr>
          <w:bottom w:val="single" w:color="1F2A44" w:sz="8" w:space="4"/>
        </w:pBdr>
        <w:spacing w:after="190" w:before="380"/>
      </w:pPr>
      <w:r>
        <w:rPr>
          <w:b/>
          <w:bCs/>
          <w:color w:val="1F2A44"/>
          <w:sz w:val="28"/>
          <w:szCs w:val="28"/>
        </w:rPr>
        <w:t xml:space="preserve">8. Resource Plan</w:t>
      </w:r>
    </w:p>
    <w:p>
      <w:pPr>
        <w:spacing w:after="110" w:line="260"/>
      </w:pPr>
      <w:r>
        <w:rPr>
          <w:sz w:val="19"/>
          <w:szCs w:val="19"/>
        </w:rPr>
        <w:t xml:space="preserve">Reuses the Year-1 team from the Master Execution Blueprint, allocated to sprint capacity.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1200"/>
        <w:gridCol w:w="5650"/>
      </w:tblGrid>
      <w:tr>
        <w:trPr>
          <w:tblHeader/>
        </w:trPr>
        <w:tc>
          <w:tcPr>
            <w:tcW w:type="dxa" w:w="2500"/>
            <w:shd w:fill="1F2A44" w:val="clear"/>
            <w:tcMar>
              <w:top w:type="dxa" w:w="70"/>
              <w:left w:type="dxa" w:w="90"/>
              <w:bottom w:type="dxa" w:w="70"/>
              <w:right w:type="dxa" w:w="90"/>
            </w:tcMar>
            <w:vAlign w:val="center"/>
          </w:tcPr>
          <w:p>
            <w:r>
              <w:rPr>
                <w:b/>
                <w:bCs/>
                <w:color w:val="FFFFFF"/>
                <w:sz w:val="15"/>
                <w:szCs w:val="15"/>
              </w:rPr>
              <w:t xml:space="preserve">Role</w:t>
            </w:r>
          </w:p>
        </w:tc>
        <w:tc>
          <w:tcPr>
            <w:tcW w:type="dxa" w:w="1200"/>
            <w:shd w:fill="1F2A44" w:val="clear"/>
            <w:tcMar>
              <w:top w:type="dxa" w:w="70"/>
              <w:left w:type="dxa" w:w="90"/>
              <w:bottom w:type="dxa" w:w="70"/>
              <w:right w:type="dxa" w:w="90"/>
            </w:tcMar>
            <w:vAlign w:val="center"/>
          </w:tcPr>
          <w:p>
            <w:r>
              <w:rPr>
                <w:b/>
                <w:bCs/>
                <w:color w:val="FFFFFF"/>
                <w:sz w:val="15"/>
                <w:szCs w:val="15"/>
              </w:rPr>
              <w:t xml:space="preserve">Count</w:t>
            </w:r>
          </w:p>
        </w:tc>
        <w:tc>
          <w:tcPr>
            <w:tcW w:type="dxa" w:w="5650"/>
            <w:shd w:fill="1F2A44" w:val="clear"/>
            <w:tcMar>
              <w:top w:type="dxa" w:w="70"/>
              <w:left w:type="dxa" w:w="90"/>
              <w:bottom w:type="dxa" w:w="70"/>
              <w:right w:type="dxa" w:w="90"/>
            </w:tcMar>
            <w:vAlign w:val="center"/>
          </w:tcPr>
          <w:p>
            <w:r>
              <w:rPr>
                <w:b/>
                <w:bCs/>
                <w:color w:val="FFFFFF"/>
                <w:sz w:val="15"/>
                <w:szCs w:val="15"/>
              </w:rPr>
              <w:t xml:space="preserve">Sprint 0–6 Allocation</w:t>
            </w:r>
          </w:p>
        </w:tc>
      </w:tr>
      <w:tr>
        <w:tc>
          <w:tcPr>
            <w:tcW w:type="dxa" w:w="2500"/>
            <w:shd w:fill="FFFFFF" w:val="clear"/>
            <w:tcMar>
              <w:top w:type="dxa" w:w="55"/>
              <w:left w:type="dxa" w:w="80"/>
              <w:bottom w:type="dxa" w:w="55"/>
              <w:right w:type="dxa" w:w="80"/>
            </w:tcMar>
            <w:vAlign w:val="center"/>
          </w:tcPr>
          <w:p>
            <w:r>
              <w:rPr>
                <w:sz w:val="15"/>
                <w:szCs w:val="15"/>
              </w:rPr>
              <w:t xml:space="preserve">CTO</w:t>
            </w:r>
          </w:p>
        </w:tc>
        <w:tc>
          <w:tcPr>
            <w:tcW w:type="dxa" w:w="1200"/>
            <w:shd w:fill="FFFFFF" w:val="clear"/>
            <w:tcMar>
              <w:top w:type="dxa" w:w="55"/>
              <w:left w:type="dxa" w:w="80"/>
              <w:bottom w:type="dxa" w:w="55"/>
              <w:right w:type="dxa" w:w="80"/>
            </w:tcMar>
            <w:vAlign w:val="center"/>
          </w:tcPr>
          <w:p>
            <w:r>
              <w:rPr>
                <w:sz w:val="15"/>
                <w:szCs w:val="15"/>
              </w:rPr>
              <w:t xml:space="preserve">1</w:t>
            </w:r>
          </w:p>
        </w:tc>
        <w:tc>
          <w:tcPr>
            <w:tcW w:type="dxa" w:w="5650"/>
            <w:shd w:fill="FFFFFF" w:val="clear"/>
            <w:tcMar>
              <w:top w:type="dxa" w:w="55"/>
              <w:left w:type="dxa" w:w="80"/>
              <w:bottom w:type="dxa" w:w="55"/>
              <w:right w:type="dxa" w:w="80"/>
            </w:tcMar>
            <w:vAlign w:val="center"/>
          </w:tcPr>
          <w:p>
            <w:r>
              <w:rPr>
                <w:sz w:val="15"/>
                <w:szCs w:val="15"/>
              </w:rPr>
              <w:t xml:space="preserve">Architecture ownership, code review, Sprint 2 QR redemption (highest-risk item)</w:t>
            </w:r>
          </w:p>
        </w:tc>
      </w:tr>
      <w:tr>
        <w:tc>
          <w:tcPr>
            <w:tcW w:type="dxa" w:w="2500"/>
            <w:shd w:fill="F2F2F2" w:val="clear"/>
            <w:tcMar>
              <w:top w:type="dxa" w:w="55"/>
              <w:left w:type="dxa" w:w="80"/>
              <w:bottom w:type="dxa" w:w="55"/>
              <w:right w:type="dxa" w:w="80"/>
            </w:tcMar>
            <w:vAlign w:val="center"/>
          </w:tcPr>
          <w:p>
            <w:r>
              <w:rPr>
                <w:sz w:val="15"/>
                <w:szCs w:val="15"/>
              </w:rPr>
              <w:t xml:space="preserve">Backend Engineer</w:t>
            </w:r>
          </w:p>
        </w:tc>
        <w:tc>
          <w:tcPr>
            <w:tcW w:type="dxa" w:w="1200"/>
            <w:shd w:fill="F2F2F2" w:val="clear"/>
            <w:tcMar>
              <w:top w:type="dxa" w:w="55"/>
              <w:left w:type="dxa" w:w="80"/>
              <w:bottom w:type="dxa" w:w="55"/>
              <w:right w:type="dxa" w:w="80"/>
            </w:tcMar>
            <w:vAlign w:val="center"/>
          </w:tcPr>
          <w:p>
            <w:r>
              <w:rPr>
                <w:sz w:val="15"/>
                <w:szCs w:val="15"/>
              </w:rPr>
              <w:t xml:space="preserve">2</w:t>
            </w:r>
          </w:p>
        </w:tc>
        <w:tc>
          <w:tcPr>
            <w:tcW w:type="dxa" w:w="5650"/>
            <w:shd w:fill="F2F2F2" w:val="clear"/>
            <w:tcMar>
              <w:top w:type="dxa" w:w="55"/>
              <w:left w:type="dxa" w:w="80"/>
              <w:bottom w:type="dxa" w:w="55"/>
              <w:right w:type="dxa" w:w="80"/>
            </w:tcMar>
            <w:vAlign w:val="center"/>
          </w:tcPr>
          <w:p>
            <w:r>
              <w:rPr>
                <w:sz w:val="15"/>
                <w:szCs w:val="15"/>
              </w:rPr>
              <w:t xml:space="preserve">Split across Auth/Campaign/Fulfillment (Eng 1) and Survey/Analytics/Notification (Eng 2)</w:t>
            </w:r>
          </w:p>
        </w:tc>
      </w:tr>
      <w:tr>
        <w:tc>
          <w:tcPr>
            <w:tcW w:type="dxa" w:w="2500"/>
            <w:shd w:fill="FFFFFF" w:val="clear"/>
            <w:tcMar>
              <w:top w:type="dxa" w:w="55"/>
              <w:left w:type="dxa" w:w="80"/>
              <w:bottom w:type="dxa" w:w="55"/>
              <w:right w:type="dxa" w:w="80"/>
            </w:tcMar>
            <w:vAlign w:val="center"/>
          </w:tcPr>
          <w:p>
            <w:r>
              <w:rPr>
                <w:sz w:val="15"/>
                <w:szCs w:val="15"/>
              </w:rPr>
              <w:t xml:space="preserve">Mobile Engineer (Flutter)</w:t>
            </w:r>
          </w:p>
        </w:tc>
        <w:tc>
          <w:tcPr>
            <w:tcW w:type="dxa" w:w="1200"/>
            <w:shd w:fill="FFFFFF" w:val="clear"/>
            <w:tcMar>
              <w:top w:type="dxa" w:w="55"/>
              <w:left w:type="dxa" w:w="80"/>
              <w:bottom w:type="dxa" w:w="55"/>
              <w:right w:type="dxa" w:w="80"/>
            </w:tcMar>
            <w:vAlign w:val="center"/>
          </w:tcPr>
          <w:p>
            <w:r>
              <w:rPr>
                <w:sz w:val="15"/>
                <w:szCs w:val="15"/>
              </w:rPr>
              <w:t xml:space="preserve">1</w:t>
            </w:r>
          </w:p>
        </w:tc>
        <w:tc>
          <w:tcPr>
            <w:tcW w:type="dxa" w:w="5650"/>
            <w:shd w:fill="FFFFFF" w:val="clear"/>
            <w:tcMar>
              <w:top w:type="dxa" w:w="55"/>
              <w:left w:type="dxa" w:w="80"/>
              <w:bottom w:type="dxa" w:w="55"/>
              <w:right w:type="dxa" w:w="80"/>
            </w:tcMar>
            <w:vAlign w:val="center"/>
          </w:tcPr>
          <w:p>
            <w:r>
              <w:rPr>
                <w:sz w:val="15"/>
                <w:szCs w:val="15"/>
              </w:rPr>
              <w:t xml:space="preserve">Consumer app — all consumer-facing stories</w:t>
            </w:r>
          </w:p>
        </w:tc>
      </w:tr>
      <w:tr>
        <w:tc>
          <w:tcPr>
            <w:tcW w:type="dxa" w:w="2500"/>
            <w:shd w:fill="F2F2F2" w:val="clear"/>
            <w:tcMar>
              <w:top w:type="dxa" w:w="55"/>
              <w:left w:type="dxa" w:w="80"/>
              <w:bottom w:type="dxa" w:w="55"/>
              <w:right w:type="dxa" w:w="80"/>
            </w:tcMar>
            <w:vAlign w:val="center"/>
          </w:tcPr>
          <w:p>
            <w:r>
              <w:rPr>
                <w:sz w:val="15"/>
                <w:szCs w:val="15"/>
              </w:rPr>
              <w:t xml:space="preserve">Frontend Engineer (Next.js)</w:t>
            </w:r>
          </w:p>
        </w:tc>
        <w:tc>
          <w:tcPr>
            <w:tcW w:type="dxa" w:w="1200"/>
            <w:shd w:fill="F2F2F2" w:val="clear"/>
            <w:tcMar>
              <w:top w:type="dxa" w:w="55"/>
              <w:left w:type="dxa" w:w="80"/>
              <w:bottom w:type="dxa" w:w="55"/>
              <w:right w:type="dxa" w:w="80"/>
            </w:tcMar>
            <w:vAlign w:val="center"/>
          </w:tcPr>
          <w:p>
            <w:r>
              <w:rPr>
                <w:sz w:val="15"/>
                <w:szCs w:val="15"/>
              </w:rPr>
              <w:t xml:space="preserve">1</w:t>
            </w:r>
          </w:p>
        </w:tc>
        <w:tc>
          <w:tcPr>
            <w:tcW w:type="dxa" w:w="5650"/>
            <w:shd w:fill="F2F2F2" w:val="clear"/>
            <w:tcMar>
              <w:top w:type="dxa" w:w="55"/>
              <w:left w:type="dxa" w:w="80"/>
              <w:bottom w:type="dxa" w:w="55"/>
              <w:right w:type="dxa" w:w="80"/>
            </w:tcMar>
            <w:vAlign w:val="center"/>
          </w:tcPr>
          <w:p>
            <w:r>
              <w:rPr>
                <w:sz w:val="15"/>
                <w:szCs w:val="15"/>
              </w:rPr>
              <w:t xml:space="preserve">Brand dashboard + Admin portal</w:t>
            </w:r>
          </w:p>
        </w:tc>
      </w:tr>
      <w:tr>
        <w:tc>
          <w:tcPr>
            <w:tcW w:type="dxa" w:w="2500"/>
            <w:shd w:fill="FFFFFF" w:val="clear"/>
            <w:tcMar>
              <w:top w:type="dxa" w:w="55"/>
              <w:left w:type="dxa" w:w="80"/>
              <w:bottom w:type="dxa" w:w="55"/>
              <w:right w:type="dxa" w:w="80"/>
            </w:tcMar>
            <w:vAlign w:val="center"/>
          </w:tcPr>
          <w:p>
            <w:r>
              <w:rPr>
                <w:sz w:val="15"/>
                <w:szCs w:val="15"/>
              </w:rPr>
              <w:t xml:space="preserve">Product Manager / CEO (dual role, Y1)</w:t>
            </w:r>
          </w:p>
        </w:tc>
        <w:tc>
          <w:tcPr>
            <w:tcW w:type="dxa" w:w="1200"/>
            <w:shd w:fill="FFFFFF" w:val="clear"/>
            <w:tcMar>
              <w:top w:type="dxa" w:w="55"/>
              <w:left w:type="dxa" w:w="80"/>
              <w:bottom w:type="dxa" w:w="55"/>
              <w:right w:type="dxa" w:w="80"/>
            </w:tcMar>
            <w:vAlign w:val="center"/>
          </w:tcPr>
          <w:p>
            <w:r>
              <w:rPr>
                <w:sz w:val="15"/>
                <w:szCs w:val="15"/>
              </w:rPr>
              <w:t xml:space="preserve">1</w:t>
            </w:r>
          </w:p>
        </w:tc>
        <w:tc>
          <w:tcPr>
            <w:tcW w:type="dxa" w:w="5650"/>
            <w:shd w:fill="FFFFFF" w:val="clear"/>
            <w:tcMar>
              <w:top w:type="dxa" w:w="55"/>
              <w:left w:type="dxa" w:w="80"/>
              <w:bottom w:type="dxa" w:w="55"/>
              <w:right w:type="dxa" w:w="80"/>
            </w:tcMar>
            <w:vAlign w:val="center"/>
          </w:tcPr>
          <w:p>
            <w:r>
              <w:rPr>
                <w:sz w:val="15"/>
                <w:szCs w:val="15"/>
              </w:rPr>
              <w:t xml:space="preserve">Backlog grooming, sprint demos, brand pilot relationships</w:t>
            </w:r>
          </w:p>
        </w:tc>
      </w:tr>
      <w:tr>
        <w:tc>
          <w:tcPr>
            <w:tcW w:type="dxa" w:w="2500"/>
            <w:shd w:fill="F2F2F2" w:val="clear"/>
            <w:tcMar>
              <w:top w:type="dxa" w:w="55"/>
              <w:left w:type="dxa" w:w="80"/>
              <w:bottom w:type="dxa" w:w="55"/>
              <w:right w:type="dxa" w:w="80"/>
            </w:tcMar>
            <w:vAlign w:val="center"/>
          </w:tcPr>
          <w:p>
            <w:r>
              <w:rPr>
                <w:sz w:val="15"/>
                <w:szCs w:val="15"/>
              </w:rPr>
              <w:t xml:space="preserve">Ops Manager</w:t>
            </w:r>
          </w:p>
        </w:tc>
        <w:tc>
          <w:tcPr>
            <w:tcW w:type="dxa" w:w="1200"/>
            <w:shd w:fill="F2F2F2" w:val="clear"/>
            <w:tcMar>
              <w:top w:type="dxa" w:w="55"/>
              <w:left w:type="dxa" w:w="80"/>
              <w:bottom w:type="dxa" w:w="55"/>
              <w:right w:type="dxa" w:w="80"/>
            </w:tcMar>
            <w:vAlign w:val="center"/>
          </w:tcPr>
          <w:p>
            <w:r>
              <w:rPr>
                <w:sz w:val="15"/>
                <w:szCs w:val="15"/>
              </w:rPr>
              <w:t xml:space="preserve">1</w:t>
            </w:r>
          </w:p>
        </w:tc>
        <w:tc>
          <w:tcPr>
            <w:tcW w:type="dxa" w:w="5650"/>
            <w:shd w:fill="F2F2F2" w:val="clear"/>
            <w:tcMar>
              <w:top w:type="dxa" w:w="55"/>
              <w:left w:type="dxa" w:w="80"/>
              <w:bottom w:type="dxa" w:w="55"/>
              <w:right w:type="dxa" w:w="80"/>
            </w:tcMar>
            <w:vAlign w:val="center"/>
          </w:tcPr>
          <w:p>
            <w:r>
              <w:rPr>
                <w:sz w:val="15"/>
                <w:szCs w:val="15"/>
              </w:rPr>
              <w:t xml:space="preserve">Retail-partner agreements, field-staff coordination for Private Beta</w:t>
            </w:r>
          </w:p>
        </w:tc>
      </w:tr>
      <w:tr>
        <w:tc>
          <w:tcPr>
            <w:tcW w:type="dxa" w:w="2500"/>
            <w:shd w:fill="FFFFFF" w:val="clear"/>
            <w:tcMar>
              <w:top w:type="dxa" w:w="55"/>
              <w:left w:type="dxa" w:w="80"/>
              <w:bottom w:type="dxa" w:w="55"/>
              <w:right w:type="dxa" w:w="80"/>
            </w:tcMar>
            <w:vAlign w:val="center"/>
          </w:tcPr>
          <w:p>
            <w:r>
              <w:rPr>
                <w:sz w:val="15"/>
                <w:szCs w:val="15"/>
              </w:rPr>
              <w:t xml:space="preserve">Fractional Legal Counsel</w:t>
            </w:r>
          </w:p>
        </w:tc>
        <w:tc>
          <w:tcPr>
            <w:tcW w:type="dxa" w:w="1200"/>
            <w:shd w:fill="FFFFFF" w:val="clear"/>
            <w:tcMar>
              <w:top w:type="dxa" w:w="55"/>
              <w:left w:type="dxa" w:w="80"/>
              <w:bottom w:type="dxa" w:w="55"/>
              <w:right w:type="dxa" w:w="80"/>
            </w:tcMar>
            <w:vAlign w:val="center"/>
          </w:tcPr>
          <w:p>
            <w:r>
              <w:rPr>
                <w:sz w:val="15"/>
                <w:szCs w:val="15"/>
              </w:rPr>
              <w:t xml:space="preserve">External</w:t>
            </w:r>
          </w:p>
        </w:tc>
        <w:tc>
          <w:tcPr>
            <w:tcW w:type="dxa" w:w="5650"/>
            <w:shd w:fill="FFFFFF" w:val="clear"/>
            <w:tcMar>
              <w:top w:type="dxa" w:w="55"/>
              <w:left w:type="dxa" w:w="80"/>
              <w:bottom w:type="dxa" w:w="55"/>
              <w:right w:type="dxa" w:w="80"/>
            </w:tcMar>
            <w:vAlign w:val="center"/>
          </w:tcPr>
          <w:p>
            <w:r>
              <w:rPr>
                <w:sz w:val="15"/>
                <w:szCs w:val="15"/>
              </w:rPr>
              <w:t xml:space="preserve">PDPL sign-off (Sprint 0–3), contract review</w:t>
            </w:r>
          </w:p>
        </w:tc>
      </w:tr>
      <w:tr>
        <w:tc>
          <w:tcPr>
            <w:tcW w:type="dxa" w:w="2500"/>
            <w:shd w:fill="F2F2F2" w:val="clear"/>
            <w:tcMar>
              <w:top w:type="dxa" w:w="55"/>
              <w:left w:type="dxa" w:w="80"/>
              <w:bottom w:type="dxa" w:w="55"/>
              <w:right w:type="dxa" w:w="80"/>
            </w:tcMar>
            <w:vAlign w:val="center"/>
          </w:tcPr>
          <w:p>
            <w:r>
              <w:rPr>
                <w:sz w:val="15"/>
                <w:szCs w:val="15"/>
              </w:rPr>
              <w:t xml:space="preserve">Fractional QA</w:t>
            </w:r>
          </w:p>
        </w:tc>
        <w:tc>
          <w:tcPr>
            <w:tcW w:type="dxa" w:w="1200"/>
            <w:shd w:fill="F2F2F2" w:val="clear"/>
            <w:tcMar>
              <w:top w:type="dxa" w:w="55"/>
              <w:left w:type="dxa" w:w="80"/>
              <w:bottom w:type="dxa" w:w="55"/>
              <w:right w:type="dxa" w:w="80"/>
            </w:tcMar>
            <w:vAlign w:val="center"/>
          </w:tcPr>
          <w:p>
            <w:r>
              <w:rPr>
                <w:sz w:val="15"/>
                <w:szCs w:val="15"/>
              </w:rPr>
              <w:t xml:space="preserve">0.5 FTE from Sprint 2</w:t>
            </w:r>
          </w:p>
        </w:tc>
        <w:tc>
          <w:tcPr>
            <w:tcW w:type="dxa" w:w="5650"/>
            <w:shd w:fill="F2F2F2" w:val="clear"/>
            <w:tcMar>
              <w:top w:type="dxa" w:w="55"/>
              <w:left w:type="dxa" w:w="80"/>
              <w:bottom w:type="dxa" w:w="55"/>
              <w:right w:type="dxa" w:w="80"/>
            </w:tcMar>
            <w:vAlign w:val="center"/>
          </w:tcPr>
          <w:p>
            <w:r>
              <w:rPr>
                <w:sz w:val="15"/>
                <w:szCs w:val="15"/>
              </w:rPr>
              <w:t xml:space="preserve">Load testing, security test coordination, UAT facilitation</w:t>
            </w:r>
          </w:p>
        </w:tc>
      </w:tr>
    </w:tbl>
    <w:p>
      <w:r>
        <w:br w:type="page"/>
      </w:r>
    </w:p>
    <w:p>
      <w:pPr>
        <w:pStyle w:val="Heading1"/>
        <w:pBdr>
          <w:bottom w:val="single" w:color="1F2A44" w:sz="8" w:space="4"/>
        </w:pBdr>
        <w:spacing w:after="190" w:before="380"/>
      </w:pPr>
      <w:r>
        <w:rPr>
          <w:b/>
          <w:bCs/>
          <w:color w:val="1F2A44"/>
          <w:sz w:val="28"/>
          <w:szCs w:val="28"/>
        </w:rPr>
        <w:t xml:space="preserve">9. QA Master Plan</w:t>
      </w:r>
    </w:p>
    <w:p>
      <w:pPr>
        <w:pStyle w:val="Heading2"/>
        <w:spacing w:after="120" w:before="240"/>
      </w:pPr>
      <w:r>
        <w:rPr>
          <w:b/>
          <w:bCs/>
          <w:color w:val="1F2A44"/>
          <w:sz w:val="22"/>
          <w:szCs w:val="22"/>
        </w:rPr>
        <w:t xml:space="preserve">Test Strategy</w:t>
      </w:r>
    </w:p>
    <w:p>
      <w:pPr>
        <w:spacing w:after="110" w:line="260"/>
      </w:pPr>
      <w:r>
        <w:rPr>
          <w:sz w:val="19"/>
          <w:szCs w:val="19"/>
        </w:rPr>
        <w:t xml:space="preserve">Shift-left: unit and integration tests are written alongside feature code, not after. E2E and performance tests target the critical path defined in the Master PRD. No feature reaches "Done" without its Definition of Done testing requirements met (Section 2).</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2600"/>
        <w:gridCol w:w="2650"/>
        <w:gridCol w:w="1800"/>
      </w:tblGrid>
      <w:tr>
        <w:trPr>
          <w:tblHeader/>
        </w:trPr>
        <w:tc>
          <w:tcPr>
            <w:tcW w:type="dxa" w:w="1300"/>
            <w:shd w:fill="1F2A44" w:val="clear"/>
            <w:tcMar>
              <w:top w:type="dxa" w:w="70"/>
              <w:left w:type="dxa" w:w="90"/>
              <w:bottom w:type="dxa" w:w="70"/>
              <w:right w:type="dxa" w:w="90"/>
            </w:tcMar>
            <w:vAlign w:val="center"/>
          </w:tcPr>
          <w:p>
            <w:r>
              <w:rPr>
                <w:b/>
                <w:bCs/>
                <w:color w:val="FFFFFF"/>
                <w:sz w:val="15"/>
                <w:szCs w:val="15"/>
              </w:rPr>
              <w:t xml:space="preserve">Test Type</w:t>
            </w:r>
          </w:p>
        </w:tc>
        <w:tc>
          <w:tcPr>
            <w:tcW w:type="dxa" w:w="2600"/>
            <w:shd w:fill="1F2A44" w:val="clear"/>
            <w:tcMar>
              <w:top w:type="dxa" w:w="70"/>
              <w:left w:type="dxa" w:w="90"/>
              <w:bottom w:type="dxa" w:w="70"/>
              <w:right w:type="dxa" w:w="90"/>
            </w:tcMar>
            <w:vAlign w:val="center"/>
          </w:tcPr>
          <w:p>
            <w:r>
              <w:rPr>
                <w:b/>
                <w:bCs/>
                <w:color w:val="FFFFFF"/>
                <w:sz w:val="15"/>
                <w:szCs w:val="15"/>
              </w:rPr>
              <w:t xml:space="preserve">Scope</w:t>
            </w:r>
          </w:p>
        </w:tc>
        <w:tc>
          <w:tcPr>
            <w:tcW w:type="dxa" w:w="2650"/>
            <w:shd w:fill="1F2A44" w:val="clear"/>
            <w:tcMar>
              <w:top w:type="dxa" w:w="70"/>
              <w:left w:type="dxa" w:w="90"/>
              <w:bottom w:type="dxa" w:w="70"/>
              <w:right w:type="dxa" w:w="90"/>
            </w:tcMar>
            <w:vAlign w:val="center"/>
          </w:tcPr>
          <w:p>
            <w:r>
              <w:rPr>
                <w:b/>
                <w:bCs/>
                <w:color w:val="FFFFFF"/>
                <w:sz w:val="15"/>
                <w:szCs w:val="15"/>
              </w:rPr>
              <w:t xml:space="preserve">Tooling</w:t>
            </w:r>
          </w:p>
        </w:tc>
        <w:tc>
          <w:tcPr>
            <w:tcW w:type="dxa" w:w="1800"/>
            <w:shd w:fill="1F2A44" w:val="clear"/>
            <w:tcMar>
              <w:top w:type="dxa" w:w="70"/>
              <w:left w:type="dxa" w:w="90"/>
              <w:bottom w:type="dxa" w:w="70"/>
              <w:right w:type="dxa" w:w="90"/>
            </w:tcMar>
            <w:vAlign w:val="center"/>
          </w:tcPr>
          <w:p>
            <w:r>
              <w:rPr>
                <w:b/>
                <w:bCs/>
                <w:color w:val="FFFFFF"/>
                <w:sz w:val="15"/>
                <w:szCs w:val="15"/>
              </w:rPr>
              <w:t xml:space="preserve">When</w:t>
            </w:r>
          </w:p>
        </w:tc>
      </w:tr>
      <w:tr>
        <w:tc>
          <w:tcPr>
            <w:tcW w:type="dxa" w:w="1300"/>
            <w:shd w:fill="FFFFFF" w:val="clear"/>
            <w:tcMar>
              <w:top w:type="dxa" w:w="55"/>
              <w:left w:type="dxa" w:w="80"/>
              <w:bottom w:type="dxa" w:w="55"/>
              <w:right w:type="dxa" w:w="80"/>
            </w:tcMar>
            <w:vAlign w:val="center"/>
          </w:tcPr>
          <w:p>
            <w:r>
              <w:rPr>
                <w:sz w:val="15"/>
                <w:szCs w:val="15"/>
              </w:rPr>
              <w:t xml:space="preserve">Unit</w:t>
            </w:r>
          </w:p>
        </w:tc>
        <w:tc>
          <w:tcPr>
            <w:tcW w:type="dxa" w:w="2600"/>
            <w:shd w:fill="FFFFFF" w:val="clear"/>
            <w:tcMar>
              <w:top w:type="dxa" w:w="55"/>
              <w:left w:type="dxa" w:w="80"/>
              <w:bottom w:type="dxa" w:w="55"/>
              <w:right w:type="dxa" w:w="80"/>
            </w:tcMar>
            <w:vAlign w:val="center"/>
          </w:tcPr>
          <w:p>
            <w:r>
              <w:rPr>
                <w:sz w:val="15"/>
                <w:szCs w:val="15"/>
              </w:rPr>
              <w:t xml:space="preserve">Business logic in every module</w:t>
            </w:r>
          </w:p>
        </w:tc>
        <w:tc>
          <w:tcPr>
            <w:tcW w:type="dxa" w:w="2650"/>
            <w:shd w:fill="FFFFFF" w:val="clear"/>
            <w:tcMar>
              <w:top w:type="dxa" w:w="55"/>
              <w:left w:type="dxa" w:w="80"/>
              <w:bottom w:type="dxa" w:w="55"/>
              <w:right w:type="dxa" w:w="80"/>
            </w:tcMar>
            <w:vAlign w:val="center"/>
          </w:tcPr>
          <w:p>
            <w:r>
              <w:rPr>
                <w:sz w:val="15"/>
                <w:szCs w:val="15"/>
              </w:rPr>
              <w:t xml:space="preserve">Jest (Node/React), Flutter test, Pytest (AI service)</w:t>
            </w:r>
          </w:p>
        </w:tc>
        <w:tc>
          <w:tcPr>
            <w:tcW w:type="dxa" w:w="1800"/>
            <w:shd w:fill="FFFFFF" w:val="clear"/>
            <w:tcMar>
              <w:top w:type="dxa" w:w="55"/>
              <w:left w:type="dxa" w:w="80"/>
              <w:bottom w:type="dxa" w:w="55"/>
              <w:right w:type="dxa" w:w="80"/>
            </w:tcMar>
            <w:vAlign w:val="center"/>
          </w:tcPr>
          <w:p>
            <w:r>
              <w:rPr>
                <w:sz w:val="15"/>
                <w:szCs w:val="15"/>
              </w:rPr>
              <w:t xml:space="preserve">Every PR</w:t>
            </w:r>
          </w:p>
        </w:tc>
      </w:tr>
      <w:tr>
        <w:tc>
          <w:tcPr>
            <w:tcW w:type="dxa" w:w="1300"/>
            <w:shd w:fill="F2F2F2" w:val="clear"/>
            <w:tcMar>
              <w:top w:type="dxa" w:w="55"/>
              <w:left w:type="dxa" w:w="80"/>
              <w:bottom w:type="dxa" w:w="55"/>
              <w:right w:type="dxa" w:w="80"/>
            </w:tcMar>
            <w:vAlign w:val="center"/>
          </w:tcPr>
          <w:p>
            <w:r>
              <w:rPr>
                <w:sz w:val="15"/>
                <w:szCs w:val="15"/>
              </w:rPr>
              <w:t xml:space="preserve">Integration</w:t>
            </w:r>
          </w:p>
        </w:tc>
        <w:tc>
          <w:tcPr>
            <w:tcW w:type="dxa" w:w="2600"/>
            <w:shd w:fill="F2F2F2" w:val="clear"/>
            <w:tcMar>
              <w:top w:type="dxa" w:w="55"/>
              <w:left w:type="dxa" w:w="80"/>
              <w:bottom w:type="dxa" w:w="55"/>
              <w:right w:type="dxa" w:w="80"/>
            </w:tcMar>
            <w:vAlign w:val="center"/>
          </w:tcPr>
          <w:p>
            <w:r>
              <w:rPr>
                <w:sz w:val="15"/>
                <w:szCs w:val="15"/>
              </w:rPr>
              <w:t xml:space="preserve">API endpoints against test DB</w:t>
            </w:r>
          </w:p>
        </w:tc>
        <w:tc>
          <w:tcPr>
            <w:tcW w:type="dxa" w:w="2650"/>
            <w:shd w:fill="F2F2F2" w:val="clear"/>
            <w:tcMar>
              <w:top w:type="dxa" w:w="55"/>
              <w:left w:type="dxa" w:w="80"/>
              <w:bottom w:type="dxa" w:w="55"/>
              <w:right w:type="dxa" w:w="80"/>
            </w:tcMar>
            <w:vAlign w:val="center"/>
          </w:tcPr>
          <w:p>
            <w:r>
              <w:rPr>
                <w:sz w:val="15"/>
                <w:szCs w:val="15"/>
              </w:rPr>
              <w:t xml:space="preserve">Jest + Testcontainers</w:t>
            </w:r>
          </w:p>
        </w:tc>
        <w:tc>
          <w:tcPr>
            <w:tcW w:type="dxa" w:w="1800"/>
            <w:shd w:fill="F2F2F2" w:val="clear"/>
            <w:tcMar>
              <w:top w:type="dxa" w:w="55"/>
              <w:left w:type="dxa" w:w="80"/>
              <w:bottom w:type="dxa" w:w="55"/>
              <w:right w:type="dxa" w:w="80"/>
            </w:tcMar>
            <w:vAlign w:val="center"/>
          </w:tcPr>
          <w:p>
            <w:r>
              <w:rPr>
                <w:sz w:val="15"/>
                <w:szCs w:val="15"/>
              </w:rPr>
              <w:t xml:space="preserve">Every PR</w:t>
            </w:r>
          </w:p>
        </w:tc>
      </w:tr>
      <w:tr>
        <w:tc>
          <w:tcPr>
            <w:tcW w:type="dxa" w:w="1300"/>
            <w:shd w:fill="FFFFFF" w:val="clear"/>
            <w:tcMar>
              <w:top w:type="dxa" w:w="55"/>
              <w:left w:type="dxa" w:w="80"/>
              <w:bottom w:type="dxa" w:w="55"/>
              <w:right w:type="dxa" w:w="80"/>
            </w:tcMar>
            <w:vAlign w:val="center"/>
          </w:tcPr>
          <w:p>
            <w:r>
              <w:rPr>
                <w:sz w:val="15"/>
                <w:szCs w:val="15"/>
              </w:rPr>
              <w:t xml:space="preserve">API</w:t>
            </w:r>
          </w:p>
        </w:tc>
        <w:tc>
          <w:tcPr>
            <w:tcW w:type="dxa" w:w="2600"/>
            <w:shd w:fill="FFFFFF" w:val="clear"/>
            <w:tcMar>
              <w:top w:type="dxa" w:w="55"/>
              <w:left w:type="dxa" w:w="80"/>
              <w:bottom w:type="dxa" w:w="55"/>
              <w:right w:type="dxa" w:w="80"/>
            </w:tcMar>
            <w:vAlign w:val="center"/>
          </w:tcPr>
          <w:p>
            <w:r>
              <w:rPr>
                <w:sz w:val="15"/>
                <w:szCs w:val="15"/>
              </w:rPr>
              <w:t xml:space="preserve">Full request/response contract per OpenAPI spec</w:t>
            </w:r>
          </w:p>
        </w:tc>
        <w:tc>
          <w:tcPr>
            <w:tcW w:type="dxa" w:w="2650"/>
            <w:shd w:fill="FFFFFF" w:val="clear"/>
            <w:tcMar>
              <w:top w:type="dxa" w:w="55"/>
              <w:left w:type="dxa" w:w="80"/>
              <w:bottom w:type="dxa" w:w="55"/>
              <w:right w:type="dxa" w:w="80"/>
            </w:tcMar>
            <w:vAlign w:val="center"/>
          </w:tcPr>
          <w:p>
            <w:r>
              <w:rPr>
                <w:sz w:val="15"/>
                <w:szCs w:val="15"/>
              </w:rPr>
              <w:t xml:space="preserve">Postman/Newman or Jest+Supertest</w:t>
            </w:r>
          </w:p>
        </w:tc>
        <w:tc>
          <w:tcPr>
            <w:tcW w:type="dxa" w:w="1800"/>
            <w:shd w:fill="FFFFFF" w:val="clear"/>
            <w:tcMar>
              <w:top w:type="dxa" w:w="55"/>
              <w:left w:type="dxa" w:w="80"/>
              <w:bottom w:type="dxa" w:w="55"/>
              <w:right w:type="dxa" w:w="80"/>
            </w:tcMar>
            <w:vAlign w:val="center"/>
          </w:tcPr>
          <w:p>
            <w:r>
              <w:rPr>
                <w:sz w:val="15"/>
                <w:szCs w:val="15"/>
              </w:rPr>
              <w:t xml:space="preserve">Every PR, full suite nightly</w:t>
            </w:r>
          </w:p>
        </w:tc>
      </w:tr>
      <w:tr>
        <w:tc>
          <w:tcPr>
            <w:tcW w:type="dxa" w:w="1300"/>
            <w:shd w:fill="F2F2F2" w:val="clear"/>
            <w:tcMar>
              <w:top w:type="dxa" w:w="55"/>
              <w:left w:type="dxa" w:w="80"/>
              <w:bottom w:type="dxa" w:w="55"/>
              <w:right w:type="dxa" w:w="80"/>
            </w:tcMar>
            <w:vAlign w:val="center"/>
          </w:tcPr>
          <w:p>
            <w:r>
              <w:rPr>
                <w:sz w:val="15"/>
                <w:szCs w:val="15"/>
              </w:rPr>
              <w:t xml:space="preserve">UI</w:t>
            </w:r>
          </w:p>
        </w:tc>
        <w:tc>
          <w:tcPr>
            <w:tcW w:type="dxa" w:w="2600"/>
            <w:shd w:fill="F2F2F2" w:val="clear"/>
            <w:tcMar>
              <w:top w:type="dxa" w:w="55"/>
              <w:left w:type="dxa" w:w="80"/>
              <w:bottom w:type="dxa" w:w="55"/>
              <w:right w:type="dxa" w:w="80"/>
            </w:tcMar>
            <w:vAlign w:val="center"/>
          </w:tcPr>
          <w:p>
            <w:r>
              <w:rPr>
                <w:sz w:val="15"/>
                <w:szCs w:val="15"/>
              </w:rPr>
              <w:t xml:space="preserve">Component rendering, RTL/Arabic layout correctness</w:t>
            </w:r>
          </w:p>
        </w:tc>
        <w:tc>
          <w:tcPr>
            <w:tcW w:type="dxa" w:w="2650"/>
            <w:shd w:fill="F2F2F2" w:val="clear"/>
            <w:tcMar>
              <w:top w:type="dxa" w:w="55"/>
              <w:left w:type="dxa" w:w="80"/>
              <w:bottom w:type="dxa" w:w="55"/>
              <w:right w:type="dxa" w:w="80"/>
            </w:tcMar>
            <w:vAlign w:val="center"/>
          </w:tcPr>
          <w:p>
            <w:r>
              <w:rPr>
                <w:sz w:val="15"/>
                <w:szCs w:val="15"/>
              </w:rPr>
              <w:t xml:space="preserve">React Testing Library, Flutter widget tests</w:t>
            </w:r>
          </w:p>
        </w:tc>
        <w:tc>
          <w:tcPr>
            <w:tcW w:type="dxa" w:w="1800"/>
            <w:shd w:fill="F2F2F2" w:val="clear"/>
            <w:tcMar>
              <w:top w:type="dxa" w:w="55"/>
              <w:left w:type="dxa" w:w="80"/>
              <w:bottom w:type="dxa" w:w="55"/>
              <w:right w:type="dxa" w:w="80"/>
            </w:tcMar>
            <w:vAlign w:val="center"/>
          </w:tcPr>
          <w:p>
            <w:r>
              <w:rPr>
                <w:sz w:val="15"/>
                <w:szCs w:val="15"/>
              </w:rPr>
              <w:t xml:space="preserve">Every PR</w:t>
            </w:r>
          </w:p>
        </w:tc>
      </w:tr>
      <w:tr>
        <w:tc>
          <w:tcPr>
            <w:tcW w:type="dxa" w:w="1300"/>
            <w:shd w:fill="FFFFFF" w:val="clear"/>
            <w:tcMar>
              <w:top w:type="dxa" w:w="55"/>
              <w:left w:type="dxa" w:w="80"/>
              <w:bottom w:type="dxa" w:w="55"/>
              <w:right w:type="dxa" w:w="80"/>
            </w:tcMar>
            <w:vAlign w:val="center"/>
          </w:tcPr>
          <w:p>
            <w:r>
              <w:rPr>
                <w:sz w:val="15"/>
                <w:szCs w:val="15"/>
              </w:rPr>
              <w:t xml:space="preserve">Regression</w:t>
            </w:r>
          </w:p>
        </w:tc>
        <w:tc>
          <w:tcPr>
            <w:tcW w:type="dxa" w:w="2600"/>
            <w:shd w:fill="FFFFFF" w:val="clear"/>
            <w:tcMar>
              <w:top w:type="dxa" w:w="55"/>
              <w:left w:type="dxa" w:w="80"/>
              <w:bottom w:type="dxa" w:w="55"/>
              <w:right w:type="dxa" w:w="80"/>
            </w:tcMar>
            <w:vAlign w:val="center"/>
          </w:tcPr>
          <w:p>
            <w:r>
              <w:rPr>
                <w:sz w:val="15"/>
                <w:szCs w:val="15"/>
              </w:rPr>
              <w:t xml:space="preserve">Full critical-path suite</w:t>
            </w:r>
          </w:p>
        </w:tc>
        <w:tc>
          <w:tcPr>
            <w:tcW w:type="dxa" w:w="2650"/>
            <w:shd w:fill="FFFFFF" w:val="clear"/>
            <w:tcMar>
              <w:top w:type="dxa" w:w="55"/>
              <w:left w:type="dxa" w:w="80"/>
              <w:bottom w:type="dxa" w:w="55"/>
              <w:right w:type="dxa" w:w="80"/>
            </w:tcMar>
            <w:vAlign w:val="center"/>
          </w:tcPr>
          <w:p>
            <w:r>
              <w:rPr>
                <w:sz w:val="15"/>
                <w:szCs w:val="15"/>
              </w:rPr>
              <w:t xml:space="preserve">Playwright (web), Flutter integration_test (mobile)</w:t>
            </w:r>
          </w:p>
        </w:tc>
        <w:tc>
          <w:tcPr>
            <w:tcW w:type="dxa" w:w="1800"/>
            <w:shd w:fill="FFFFFF" w:val="clear"/>
            <w:tcMar>
              <w:top w:type="dxa" w:w="55"/>
              <w:left w:type="dxa" w:w="80"/>
              <w:bottom w:type="dxa" w:w="55"/>
              <w:right w:type="dxa" w:w="80"/>
            </w:tcMar>
            <w:vAlign w:val="center"/>
          </w:tcPr>
          <w:p>
            <w:r>
              <w:rPr>
                <w:sz w:val="15"/>
                <w:szCs w:val="15"/>
              </w:rPr>
              <w:t xml:space="preserve">Nightly + before every release gate</w:t>
            </w:r>
          </w:p>
        </w:tc>
      </w:tr>
      <w:tr>
        <w:tc>
          <w:tcPr>
            <w:tcW w:type="dxa" w:w="1300"/>
            <w:shd w:fill="F2F2F2" w:val="clear"/>
            <w:tcMar>
              <w:top w:type="dxa" w:w="55"/>
              <w:left w:type="dxa" w:w="80"/>
              <w:bottom w:type="dxa" w:w="55"/>
              <w:right w:type="dxa" w:w="80"/>
            </w:tcMar>
            <w:vAlign w:val="center"/>
          </w:tcPr>
          <w:p>
            <w:r>
              <w:rPr>
                <w:sz w:val="15"/>
                <w:szCs w:val="15"/>
              </w:rPr>
              <w:t xml:space="preserve">Performance</w:t>
            </w:r>
          </w:p>
        </w:tc>
        <w:tc>
          <w:tcPr>
            <w:tcW w:type="dxa" w:w="2600"/>
            <w:shd w:fill="F2F2F2" w:val="clear"/>
            <w:tcMar>
              <w:top w:type="dxa" w:w="55"/>
              <w:left w:type="dxa" w:w="80"/>
              <w:bottom w:type="dxa" w:w="55"/>
              <w:right w:type="dxa" w:w="80"/>
            </w:tcMar>
            <w:vAlign w:val="center"/>
          </w:tcPr>
          <w:p>
            <w:r>
              <w:rPr>
                <w:sz w:val="15"/>
                <w:szCs w:val="15"/>
              </w:rPr>
              <w:t xml:space="preserve">API p95 targets, QR redemption concurrency</w:t>
            </w:r>
          </w:p>
        </w:tc>
        <w:tc>
          <w:tcPr>
            <w:tcW w:type="dxa" w:w="2650"/>
            <w:shd w:fill="F2F2F2" w:val="clear"/>
            <w:tcMar>
              <w:top w:type="dxa" w:w="55"/>
              <w:left w:type="dxa" w:w="80"/>
              <w:bottom w:type="dxa" w:w="55"/>
              <w:right w:type="dxa" w:w="80"/>
            </w:tcMar>
            <w:vAlign w:val="center"/>
          </w:tcPr>
          <w:p>
            <w:r>
              <w:rPr>
                <w:sz w:val="15"/>
                <w:szCs w:val="15"/>
              </w:rPr>
              <w:t xml:space="preserve">k6 or Artillery load testing</w:t>
            </w:r>
          </w:p>
        </w:tc>
        <w:tc>
          <w:tcPr>
            <w:tcW w:type="dxa" w:w="1800"/>
            <w:shd w:fill="F2F2F2" w:val="clear"/>
            <w:tcMar>
              <w:top w:type="dxa" w:w="55"/>
              <w:left w:type="dxa" w:w="80"/>
              <w:bottom w:type="dxa" w:w="55"/>
              <w:right w:type="dxa" w:w="80"/>
            </w:tcMar>
            <w:vAlign w:val="center"/>
          </w:tcPr>
          <w:p>
            <w:r>
              <w:rPr>
                <w:sz w:val="15"/>
                <w:szCs w:val="15"/>
              </w:rPr>
              <w:t xml:space="preserve">Before Sprint 2 exit, before every release gate</w:t>
            </w:r>
          </w:p>
        </w:tc>
      </w:tr>
      <w:tr>
        <w:tc>
          <w:tcPr>
            <w:tcW w:type="dxa" w:w="1300"/>
            <w:shd w:fill="FFFFFF" w:val="clear"/>
            <w:tcMar>
              <w:top w:type="dxa" w:w="55"/>
              <w:left w:type="dxa" w:w="80"/>
              <w:bottom w:type="dxa" w:w="55"/>
              <w:right w:type="dxa" w:w="80"/>
            </w:tcMar>
            <w:vAlign w:val="center"/>
          </w:tcPr>
          <w:p>
            <w:r>
              <w:rPr>
                <w:sz w:val="15"/>
                <w:szCs w:val="15"/>
              </w:rPr>
              <w:t xml:space="preserve">Security</w:t>
            </w:r>
          </w:p>
        </w:tc>
        <w:tc>
          <w:tcPr>
            <w:tcW w:type="dxa" w:w="2600"/>
            <w:shd w:fill="FFFFFF" w:val="clear"/>
            <w:tcMar>
              <w:top w:type="dxa" w:w="55"/>
              <w:left w:type="dxa" w:w="80"/>
              <w:bottom w:type="dxa" w:w="55"/>
              <w:right w:type="dxa" w:w="80"/>
            </w:tcMar>
            <w:vAlign w:val="center"/>
          </w:tcPr>
          <w:p>
            <w:r>
              <w:rPr>
                <w:sz w:val="15"/>
                <w:szCs w:val="15"/>
              </w:rPr>
              <w:t xml:space="preserve">OWASP Top 10, auth/authz bypass attempts</w:t>
            </w:r>
          </w:p>
        </w:tc>
        <w:tc>
          <w:tcPr>
            <w:tcW w:type="dxa" w:w="2650"/>
            <w:shd w:fill="FFFFFF" w:val="clear"/>
            <w:tcMar>
              <w:top w:type="dxa" w:w="55"/>
              <w:left w:type="dxa" w:w="80"/>
              <w:bottom w:type="dxa" w:w="55"/>
              <w:right w:type="dxa" w:w="80"/>
            </w:tcMar>
            <w:vAlign w:val="center"/>
          </w:tcPr>
          <w:p>
            <w:r>
              <w:rPr>
                <w:sz w:val="15"/>
                <w:szCs w:val="15"/>
              </w:rPr>
              <w:t xml:space="preserve">OWASP ZAP automated scan + manual pentest (Sprint 5, quarterly thereafter)</w:t>
            </w:r>
          </w:p>
        </w:tc>
        <w:tc>
          <w:tcPr>
            <w:tcW w:type="dxa" w:w="1800"/>
            <w:shd w:fill="FFFFFF" w:val="clear"/>
            <w:tcMar>
              <w:top w:type="dxa" w:w="55"/>
              <w:left w:type="dxa" w:w="80"/>
              <w:bottom w:type="dxa" w:w="55"/>
              <w:right w:type="dxa" w:w="80"/>
            </w:tcMar>
            <w:vAlign w:val="center"/>
          </w:tcPr>
          <w:p>
            <w:r>
              <w:rPr>
                <w:sz w:val="15"/>
                <w:szCs w:val="15"/>
              </w:rPr>
              <w:t xml:space="preserve">Sprint 5, quarterly</w:t>
            </w:r>
          </w:p>
        </w:tc>
      </w:tr>
      <w:tr>
        <w:tc>
          <w:tcPr>
            <w:tcW w:type="dxa" w:w="1300"/>
            <w:shd w:fill="F2F2F2" w:val="clear"/>
            <w:tcMar>
              <w:top w:type="dxa" w:w="55"/>
              <w:left w:type="dxa" w:w="80"/>
              <w:bottom w:type="dxa" w:w="55"/>
              <w:right w:type="dxa" w:w="80"/>
            </w:tcMar>
            <w:vAlign w:val="center"/>
          </w:tcPr>
          <w:p>
            <w:r>
              <w:rPr>
                <w:sz w:val="15"/>
                <w:szCs w:val="15"/>
              </w:rPr>
              <w:t xml:space="preserve">Acceptance</w:t>
            </w:r>
          </w:p>
        </w:tc>
        <w:tc>
          <w:tcPr>
            <w:tcW w:type="dxa" w:w="2600"/>
            <w:shd w:fill="F2F2F2" w:val="clear"/>
            <w:tcMar>
              <w:top w:type="dxa" w:w="55"/>
              <w:left w:type="dxa" w:w="80"/>
              <w:bottom w:type="dxa" w:w="55"/>
              <w:right w:type="dxa" w:w="80"/>
            </w:tcMar>
            <w:vAlign w:val="center"/>
          </w:tcPr>
          <w:p>
            <w:r>
              <w:rPr>
                <w:sz w:val="15"/>
                <w:szCs w:val="15"/>
              </w:rPr>
              <w:t xml:space="preserve">Against each backlog item's Acceptance Criteria</w:t>
            </w:r>
          </w:p>
        </w:tc>
        <w:tc>
          <w:tcPr>
            <w:tcW w:type="dxa" w:w="2650"/>
            <w:shd w:fill="F2F2F2" w:val="clear"/>
            <w:tcMar>
              <w:top w:type="dxa" w:w="55"/>
              <w:left w:type="dxa" w:w="80"/>
              <w:bottom w:type="dxa" w:w="55"/>
              <w:right w:type="dxa" w:w="80"/>
            </w:tcMar>
            <w:vAlign w:val="center"/>
          </w:tcPr>
          <w:p>
            <w:r>
              <w:rPr>
                <w:sz w:val="15"/>
                <w:szCs w:val="15"/>
              </w:rPr>
              <w:t xml:space="preserve">Manual, Product-led</w:t>
            </w:r>
          </w:p>
        </w:tc>
        <w:tc>
          <w:tcPr>
            <w:tcW w:type="dxa" w:w="1800"/>
            <w:shd w:fill="F2F2F2" w:val="clear"/>
            <w:tcMar>
              <w:top w:type="dxa" w:w="55"/>
              <w:left w:type="dxa" w:w="80"/>
              <w:bottom w:type="dxa" w:w="55"/>
              <w:right w:type="dxa" w:w="80"/>
            </w:tcMar>
            <w:vAlign w:val="center"/>
          </w:tcPr>
          <w:p>
            <w:r>
              <w:rPr>
                <w:sz w:val="15"/>
                <w:szCs w:val="15"/>
              </w:rPr>
              <w:t xml:space="preserve">Before marking any story Done</w:t>
            </w:r>
          </w:p>
        </w:tc>
      </w:tr>
      <w:tr>
        <w:tc>
          <w:tcPr>
            <w:tcW w:type="dxa" w:w="1300"/>
            <w:shd w:fill="FFFFFF" w:val="clear"/>
            <w:tcMar>
              <w:top w:type="dxa" w:w="55"/>
              <w:left w:type="dxa" w:w="80"/>
              <w:bottom w:type="dxa" w:w="55"/>
              <w:right w:type="dxa" w:w="80"/>
            </w:tcMar>
            <w:vAlign w:val="center"/>
          </w:tcPr>
          <w:p>
            <w:r>
              <w:rPr>
                <w:sz w:val="15"/>
                <w:szCs w:val="15"/>
              </w:rPr>
              <w:t xml:space="preserve">Smoke</w:t>
            </w:r>
          </w:p>
        </w:tc>
        <w:tc>
          <w:tcPr>
            <w:tcW w:type="dxa" w:w="2600"/>
            <w:shd w:fill="FFFFFF" w:val="clear"/>
            <w:tcMar>
              <w:top w:type="dxa" w:w="55"/>
              <w:left w:type="dxa" w:w="80"/>
              <w:bottom w:type="dxa" w:w="55"/>
              <w:right w:type="dxa" w:w="80"/>
            </w:tcMar>
            <w:vAlign w:val="center"/>
          </w:tcPr>
          <w:p>
            <w:r>
              <w:rPr>
                <w:sz w:val="15"/>
                <w:szCs w:val="15"/>
              </w:rPr>
              <w:t xml:space="preserve">Critical path only, post-deploy</w:t>
            </w:r>
          </w:p>
        </w:tc>
        <w:tc>
          <w:tcPr>
            <w:tcW w:type="dxa" w:w="2650"/>
            <w:shd w:fill="FFFFFF" w:val="clear"/>
            <w:tcMar>
              <w:top w:type="dxa" w:w="55"/>
              <w:left w:type="dxa" w:w="80"/>
              <w:bottom w:type="dxa" w:w="55"/>
              <w:right w:type="dxa" w:w="80"/>
            </w:tcMar>
            <w:vAlign w:val="center"/>
          </w:tcPr>
          <w:p>
            <w:r>
              <w:rPr>
                <w:sz w:val="15"/>
                <w:szCs w:val="15"/>
              </w:rPr>
              <w:t xml:space="preserve">Automated script, &lt;5 min runtime</w:t>
            </w:r>
          </w:p>
        </w:tc>
        <w:tc>
          <w:tcPr>
            <w:tcW w:type="dxa" w:w="1800"/>
            <w:shd w:fill="FFFFFF" w:val="clear"/>
            <w:tcMar>
              <w:top w:type="dxa" w:w="55"/>
              <w:left w:type="dxa" w:w="80"/>
              <w:bottom w:type="dxa" w:w="55"/>
              <w:right w:type="dxa" w:w="80"/>
            </w:tcMar>
            <w:vAlign w:val="center"/>
          </w:tcPr>
          <w:p>
            <w:r>
              <w:rPr>
                <w:sz w:val="15"/>
                <w:szCs w:val="15"/>
              </w:rPr>
              <w:t xml:space="preserve">Every production deploy</w:t>
            </w:r>
          </w:p>
        </w:tc>
      </w:tr>
      <w:tr>
        <w:tc>
          <w:tcPr>
            <w:tcW w:type="dxa" w:w="1300"/>
            <w:shd w:fill="F2F2F2" w:val="clear"/>
            <w:tcMar>
              <w:top w:type="dxa" w:w="55"/>
              <w:left w:type="dxa" w:w="80"/>
              <w:bottom w:type="dxa" w:w="55"/>
              <w:right w:type="dxa" w:w="80"/>
            </w:tcMar>
            <w:vAlign w:val="center"/>
          </w:tcPr>
          <w:p>
            <w:r>
              <w:rPr>
                <w:sz w:val="15"/>
                <w:szCs w:val="15"/>
              </w:rPr>
              <w:t xml:space="preserve">UAT</w:t>
            </w:r>
          </w:p>
        </w:tc>
        <w:tc>
          <w:tcPr>
            <w:tcW w:type="dxa" w:w="2600"/>
            <w:shd w:fill="F2F2F2" w:val="clear"/>
            <w:tcMar>
              <w:top w:type="dxa" w:w="55"/>
              <w:left w:type="dxa" w:w="80"/>
              <w:bottom w:type="dxa" w:w="55"/>
              <w:right w:type="dxa" w:w="80"/>
            </w:tcMar>
            <w:vAlign w:val="center"/>
          </w:tcPr>
          <w:p>
            <w:r>
              <w:rPr>
                <w:sz w:val="15"/>
                <w:szCs w:val="15"/>
              </w:rPr>
              <w:t xml:space="preserve">Real brand pilots using the actual product</w:t>
            </w:r>
          </w:p>
        </w:tc>
        <w:tc>
          <w:tcPr>
            <w:tcW w:type="dxa" w:w="2650"/>
            <w:shd w:fill="F2F2F2" w:val="clear"/>
            <w:tcMar>
              <w:top w:type="dxa" w:w="55"/>
              <w:left w:type="dxa" w:w="80"/>
              <w:bottom w:type="dxa" w:w="55"/>
              <w:right w:type="dxa" w:w="80"/>
            </w:tcMar>
            <w:vAlign w:val="center"/>
          </w:tcPr>
          <w:p>
            <w:r>
              <w:rPr>
                <w:sz w:val="15"/>
                <w:szCs w:val="15"/>
              </w:rPr>
              <w:t xml:space="preserve">Manual, brand-facing</w:t>
            </w:r>
          </w:p>
        </w:tc>
        <w:tc>
          <w:tcPr>
            <w:tcW w:type="dxa" w:w="1800"/>
            <w:shd w:fill="F2F2F2" w:val="clear"/>
            <w:tcMar>
              <w:top w:type="dxa" w:w="55"/>
              <w:left w:type="dxa" w:w="80"/>
              <w:bottom w:type="dxa" w:w="55"/>
              <w:right w:type="dxa" w:w="80"/>
            </w:tcMar>
            <w:vAlign w:val="center"/>
          </w:tcPr>
          <w:p>
            <w:r>
              <w:rPr>
                <w:sz w:val="15"/>
                <w:szCs w:val="15"/>
              </w:rPr>
              <w:t xml:space="preserve">Private Beta</w:t>
            </w:r>
          </w:p>
        </w:tc>
      </w:tr>
    </w:tbl>
    <w:p>
      <w:pPr>
        <w:pStyle w:val="Heading2"/>
        <w:spacing w:after="120" w:before="240"/>
      </w:pPr>
      <w:r>
        <w:rPr>
          <w:b/>
          <w:bCs/>
          <w:color w:val="1F2A44"/>
          <w:sz w:val="22"/>
          <w:szCs w:val="22"/>
        </w:rPr>
        <w:t xml:space="preserve">Bug Severity Matrix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5150"/>
        <w:gridCol w:w="2600"/>
      </w:tblGrid>
      <w:tr>
        <w:trPr>
          <w:tblHeader/>
        </w:trPr>
        <w:tc>
          <w:tcPr>
            <w:tcW w:type="dxa" w:w="1600"/>
            <w:shd w:fill="1F2A44" w:val="clear"/>
            <w:tcMar>
              <w:top w:type="dxa" w:w="70"/>
              <w:left w:type="dxa" w:w="90"/>
              <w:bottom w:type="dxa" w:w="70"/>
              <w:right w:type="dxa" w:w="90"/>
            </w:tcMar>
            <w:vAlign w:val="center"/>
          </w:tcPr>
          <w:p>
            <w:r>
              <w:rPr>
                <w:b/>
                <w:bCs/>
                <w:color w:val="FFFFFF"/>
                <w:sz w:val="15"/>
                <w:szCs w:val="15"/>
              </w:rPr>
              <w:t xml:space="preserve">Severity</w:t>
            </w:r>
          </w:p>
        </w:tc>
        <w:tc>
          <w:tcPr>
            <w:tcW w:type="dxa" w:w="5150"/>
            <w:shd w:fill="1F2A44" w:val="clear"/>
            <w:tcMar>
              <w:top w:type="dxa" w:w="70"/>
              <w:left w:type="dxa" w:w="90"/>
              <w:bottom w:type="dxa" w:w="70"/>
              <w:right w:type="dxa" w:w="90"/>
            </w:tcMar>
            <w:vAlign w:val="center"/>
          </w:tcPr>
          <w:p>
            <w:r>
              <w:rPr>
                <w:b/>
                <w:bCs/>
                <w:color w:val="FFFFFF"/>
                <w:sz w:val="15"/>
                <w:szCs w:val="15"/>
              </w:rPr>
              <w:t xml:space="preserve">Definition</w:t>
            </w:r>
          </w:p>
        </w:tc>
        <w:tc>
          <w:tcPr>
            <w:tcW w:type="dxa" w:w="2600"/>
            <w:shd w:fill="1F2A44" w:val="clear"/>
            <w:tcMar>
              <w:top w:type="dxa" w:w="70"/>
              <w:left w:type="dxa" w:w="90"/>
              <w:bottom w:type="dxa" w:w="70"/>
              <w:right w:type="dxa" w:w="90"/>
            </w:tcMar>
            <w:vAlign w:val="center"/>
          </w:tcPr>
          <w:p>
            <w:r>
              <w:rPr>
                <w:b/>
                <w:bCs/>
                <w:color w:val="FFFFFF"/>
                <w:sz w:val="15"/>
                <w:szCs w:val="15"/>
              </w:rPr>
              <w:t xml:space="preserve">Response SLA</w:t>
            </w:r>
          </w:p>
        </w:tc>
      </w:tr>
      <w:tr>
        <w:tc>
          <w:tcPr>
            <w:tcW w:type="dxa" w:w="1600"/>
            <w:shd w:fill="FFFFFF" w:val="clear"/>
            <w:tcMar>
              <w:top w:type="dxa" w:w="55"/>
              <w:left w:type="dxa" w:w="80"/>
              <w:bottom w:type="dxa" w:w="55"/>
              <w:right w:type="dxa" w:w="80"/>
            </w:tcMar>
            <w:vAlign w:val="center"/>
          </w:tcPr>
          <w:p>
            <w:r>
              <w:rPr>
                <w:sz w:val="15"/>
                <w:szCs w:val="15"/>
              </w:rPr>
              <w:t xml:space="preserve">P0 / Blocker</w:t>
            </w:r>
          </w:p>
        </w:tc>
        <w:tc>
          <w:tcPr>
            <w:tcW w:type="dxa" w:w="5150"/>
            <w:shd w:fill="FFFFFF" w:val="clear"/>
            <w:tcMar>
              <w:top w:type="dxa" w:w="55"/>
              <w:left w:type="dxa" w:w="80"/>
              <w:bottom w:type="dxa" w:w="55"/>
              <w:right w:type="dxa" w:w="80"/>
            </w:tcMar>
            <w:vAlign w:val="center"/>
          </w:tcPr>
          <w:p>
            <w:r>
              <w:rPr>
                <w:sz w:val="15"/>
                <w:szCs w:val="15"/>
              </w:rPr>
              <w:t xml:space="preserve">Data corruption, security breach, core loop broken (e.g. redemption fails entirely)</w:t>
            </w:r>
          </w:p>
        </w:tc>
        <w:tc>
          <w:tcPr>
            <w:tcW w:type="dxa" w:w="2600"/>
            <w:shd w:fill="FFFFFF" w:val="clear"/>
            <w:tcMar>
              <w:top w:type="dxa" w:w="55"/>
              <w:left w:type="dxa" w:w="80"/>
              <w:bottom w:type="dxa" w:w="55"/>
              <w:right w:type="dxa" w:w="80"/>
            </w:tcMar>
            <w:vAlign w:val="center"/>
          </w:tcPr>
          <w:p>
            <w:r>
              <w:rPr>
                <w:sz w:val="15"/>
                <w:szCs w:val="15"/>
              </w:rPr>
              <w:t xml:space="preserve">Immediate — halts release</w:t>
            </w:r>
          </w:p>
        </w:tc>
      </w:tr>
      <w:tr>
        <w:tc>
          <w:tcPr>
            <w:tcW w:type="dxa" w:w="1600"/>
            <w:shd w:fill="F2F2F2" w:val="clear"/>
            <w:tcMar>
              <w:top w:type="dxa" w:w="55"/>
              <w:left w:type="dxa" w:w="80"/>
              <w:bottom w:type="dxa" w:w="55"/>
              <w:right w:type="dxa" w:w="80"/>
            </w:tcMar>
            <w:vAlign w:val="center"/>
          </w:tcPr>
          <w:p>
            <w:r>
              <w:rPr>
                <w:sz w:val="15"/>
                <w:szCs w:val="15"/>
              </w:rPr>
              <w:t xml:space="preserve">P1 / Critical</w:t>
            </w:r>
          </w:p>
        </w:tc>
        <w:tc>
          <w:tcPr>
            <w:tcW w:type="dxa" w:w="5150"/>
            <w:shd w:fill="F2F2F2" w:val="clear"/>
            <w:tcMar>
              <w:top w:type="dxa" w:w="55"/>
              <w:left w:type="dxa" w:w="80"/>
              <w:bottom w:type="dxa" w:w="55"/>
              <w:right w:type="dxa" w:w="80"/>
            </w:tcMar>
            <w:vAlign w:val="center"/>
          </w:tcPr>
          <w:p>
            <w:r>
              <w:rPr>
                <w:sz w:val="15"/>
                <w:szCs w:val="15"/>
              </w:rPr>
              <w:t xml:space="preserve">Major feature broken but workaround exists</w:t>
            </w:r>
          </w:p>
        </w:tc>
        <w:tc>
          <w:tcPr>
            <w:tcW w:type="dxa" w:w="2600"/>
            <w:shd w:fill="F2F2F2" w:val="clear"/>
            <w:tcMar>
              <w:top w:type="dxa" w:w="55"/>
              <w:left w:type="dxa" w:w="80"/>
              <w:bottom w:type="dxa" w:w="55"/>
              <w:right w:type="dxa" w:w="80"/>
            </w:tcMar>
            <w:vAlign w:val="center"/>
          </w:tcPr>
          <w:p>
            <w:r>
              <w:rPr>
                <w:sz w:val="15"/>
                <w:szCs w:val="15"/>
              </w:rPr>
              <w:t xml:space="preserve">Fixed before next release gate</w:t>
            </w:r>
          </w:p>
        </w:tc>
      </w:tr>
      <w:tr>
        <w:tc>
          <w:tcPr>
            <w:tcW w:type="dxa" w:w="1600"/>
            <w:shd w:fill="FFFFFF" w:val="clear"/>
            <w:tcMar>
              <w:top w:type="dxa" w:w="55"/>
              <w:left w:type="dxa" w:w="80"/>
              <w:bottom w:type="dxa" w:w="55"/>
              <w:right w:type="dxa" w:w="80"/>
            </w:tcMar>
            <w:vAlign w:val="center"/>
          </w:tcPr>
          <w:p>
            <w:r>
              <w:rPr>
                <w:sz w:val="15"/>
                <w:szCs w:val="15"/>
              </w:rPr>
              <w:t xml:space="preserve">P2 / Major</w:t>
            </w:r>
          </w:p>
        </w:tc>
        <w:tc>
          <w:tcPr>
            <w:tcW w:type="dxa" w:w="5150"/>
            <w:shd w:fill="FFFFFF" w:val="clear"/>
            <w:tcMar>
              <w:top w:type="dxa" w:w="55"/>
              <w:left w:type="dxa" w:w="80"/>
              <w:bottom w:type="dxa" w:w="55"/>
              <w:right w:type="dxa" w:w="80"/>
            </w:tcMar>
            <w:vAlign w:val="center"/>
          </w:tcPr>
          <w:p>
            <w:r>
              <w:rPr>
                <w:sz w:val="15"/>
                <w:szCs w:val="15"/>
              </w:rPr>
              <w:t xml:space="preserve">Feature degraded, non-blocking</w:t>
            </w:r>
          </w:p>
        </w:tc>
        <w:tc>
          <w:tcPr>
            <w:tcW w:type="dxa" w:w="2600"/>
            <w:shd w:fill="FFFFFF" w:val="clear"/>
            <w:tcMar>
              <w:top w:type="dxa" w:w="55"/>
              <w:left w:type="dxa" w:w="80"/>
              <w:bottom w:type="dxa" w:w="55"/>
              <w:right w:type="dxa" w:w="80"/>
            </w:tcMar>
            <w:vAlign w:val="center"/>
          </w:tcPr>
          <w:p>
            <w:r>
              <w:rPr>
                <w:sz w:val="15"/>
                <w:szCs w:val="15"/>
              </w:rPr>
              <w:t xml:space="preserve">Fixed within the current release cycle</w:t>
            </w:r>
          </w:p>
        </w:tc>
      </w:tr>
      <w:tr>
        <w:tc>
          <w:tcPr>
            <w:tcW w:type="dxa" w:w="1600"/>
            <w:shd w:fill="F2F2F2" w:val="clear"/>
            <w:tcMar>
              <w:top w:type="dxa" w:w="55"/>
              <w:left w:type="dxa" w:w="80"/>
              <w:bottom w:type="dxa" w:w="55"/>
              <w:right w:type="dxa" w:w="80"/>
            </w:tcMar>
            <w:vAlign w:val="center"/>
          </w:tcPr>
          <w:p>
            <w:r>
              <w:rPr>
                <w:sz w:val="15"/>
                <w:szCs w:val="15"/>
              </w:rPr>
              <w:t xml:space="preserve">P3 / Minor</w:t>
            </w:r>
          </w:p>
        </w:tc>
        <w:tc>
          <w:tcPr>
            <w:tcW w:type="dxa" w:w="5150"/>
            <w:shd w:fill="F2F2F2" w:val="clear"/>
            <w:tcMar>
              <w:top w:type="dxa" w:w="55"/>
              <w:left w:type="dxa" w:w="80"/>
              <w:bottom w:type="dxa" w:w="55"/>
              <w:right w:type="dxa" w:w="80"/>
            </w:tcMar>
            <w:vAlign w:val="center"/>
          </w:tcPr>
          <w:p>
            <w:r>
              <w:rPr>
                <w:sz w:val="15"/>
                <w:szCs w:val="15"/>
              </w:rPr>
              <w:t xml:space="preserve">Cosmetic, low-impact</w:t>
            </w:r>
          </w:p>
        </w:tc>
        <w:tc>
          <w:tcPr>
            <w:tcW w:type="dxa" w:w="2600"/>
            <w:shd w:fill="F2F2F2" w:val="clear"/>
            <w:tcMar>
              <w:top w:type="dxa" w:w="55"/>
              <w:left w:type="dxa" w:w="80"/>
              <w:bottom w:type="dxa" w:w="55"/>
              <w:right w:type="dxa" w:w="80"/>
            </w:tcMar>
            <w:vAlign w:val="center"/>
          </w:tcPr>
          <w:p>
            <w:r>
              <w:rPr>
                <w:sz w:val="15"/>
                <w:szCs w:val="15"/>
              </w:rPr>
              <w:t xml:space="preserve">Backlogged, fixed opportunistically</w:t>
            </w:r>
          </w:p>
        </w:tc>
      </w:tr>
    </w:tbl>
    <w:p>
      <w:pPr>
        <w:pStyle w:val="Heading2"/>
        <w:spacing w:after="120" w:before="240"/>
      </w:pPr>
      <w:r>
        <w:rPr>
          <w:b/>
          <w:bCs/>
          <w:color w:val="1F2A44"/>
          <w:sz w:val="22"/>
          <w:szCs w:val="22"/>
        </w:rPr>
        <w:t xml:space="preserve">Exit Criteria (per release gate)</w:t>
      </w:r>
    </w:p>
    <w:p>
      <w:pPr>
        <w:spacing w:after="110" w:line="260"/>
      </w:pPr>
      <w:r>
        <w:rPr>
          <w:sz w:val="19"/>
          <w:szCs w:val="19"/>
        </w:rPr>
        <w:t xml:space="preserve">Zero open P0/P1 bugs; all Section 9 test types passed for in-scope features; UAT sign-off (Beta stages); security scan findings triaged (Hardening onward).</w:t>
      </w:r>
    </w:p>
    <w:p>
      <w:r>
        <w:br w:type="page"/>
      </w:r>
    </w:p>
    <w:p>
      <w:pPr>
        <w:pStyle w:val="Heading1"/>
        <w:pBdr>
          <w:bottom w:val="single" w:color="1F2A44" w:sz="8" w:space="4"/>
        </w:pBdr>
        <w:spacing w:after="190" w:before="380"/>
      </w:pPr>
      <w:r>
        <w:rPr>
          <w:b/>
          <w:bCs/>
          <w:color w:val="1F2A44"/>
          <w:sz w:val="28"/>
          <w:szCs w:val="28"/>
        </w:rPr>
        <w:t xml:space="preserve">10. DevOps Plan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7550"/>
      </w:tblGrid>
      <w:tr>
        <w:trPr>
          <w:tblHeader/>
        </w:trPr>
        <w:tc>
          <w:tcPr>
            <w:tcW w:type="dxa" w:w="1800"/>
            <w:shd w:fill="1F2A44" w:val="clear"/>
            <w:tcMar>
              <w:top w:type="dxa" w:w="70"/>
              <w:left w:type="dxa" w:w="90"/>
              <w:bottom w:type="dxa" w:w="70"/>
              <w:right w:type="dxa" w:w="90"/>
            </w:tcMar>
            <w:vAlign w:val="center"/>
          </w:tcPr>
          <w:p>
            <w:r>
              <w:rPr>
                <w:b/>
                <w:bCs/>
                <w:color w:val="FFFFFF"/>
                <w:sz w:val="15"/>
                <w:szCs w:val="15"/>
              </w:rPr>
              <w:t xml:space="preserve">Area</w:t>
            </w:r>
          </w:p>
        </w:tc>
        <w:tc>
          <w:tcPr>
            <w:tcW w:type="dxa" w:w="7550"/>
            <w:shd w:fill="1F2A44" w:val="clear"/>
            <w:tcMar>
              <w:top w:type="dxa" w:w="70"/>
              <w:left w:type="dxa" w:w="90"/>
              <w:bottom w:type="dxa" w:w="70"/>
              <w:right w:type="dxa" w:w="90"/>
            </w:tcMar>
            <w:vAlign w:val="center"/>
          </w:tcPr>
          <w:p>
            <w:r>
              <w:rPr>
                <w:b/>
                <w:bCs/>
                <w:color w:val="FFFFFF"/>
                <w:sz w:val="15"/>
                <w:szCs w:val="15"/>
              </w:rPr>
              <w:t xml:space="preserve">Decision</w:t>
            </w:r>
          </w:p>
        </w:tc>
      </w:tr>
      <w:tr>
        <w:tc>
          <w:tcPr>
            <w:tcW w:type="dxa" w:w="1800"/>
            <w:shd w:fill="FFFFFF" w:val="clear"/>
            <w:tcMar>
              <w:top w:type="dxa" w:w="55"/>
              <w:left w:type="dxa" w:w="80"/>
              <w:bottom w:type="dxa" w:w="55"/>
              <w:right w:type="dxa" w:w="80"/>
            </w:tcMar>
            <w:vAlign w:val="center"/>
          </w:tcPr>
          <w:p>
            <w:r>
              <w:rPr>
                <w:sz w:val="15"/>
                <w:szCs w:val="15"/>
              </w:rPr>
              <w:t xml:space="preserve">Repository</w:t>
            </w:r>
          </w:p>
        </w:tc>
        <w:tc>
          <w:tcPr>
            <w:tcW w:type="dxa" w:w="7550"/>
            <w:shd w:fill="FFFFFF" w:val="clear"/>
            <w:tcMar>
              <w:top w:type="dxa" w:w="55"/>
              <w:left w:type="dxa" w:w="80"/>
              <w:bottom w:type="dxa" w:w="55"/>
              <w:right w:type="dxa" w:w="80"/>
            </w:tcMar>
            <w:vAlign w:val="center"/>
          </w:tcPr>
          <w:p>
            <w:r>
              <w:rPr>
                <w:sz w:val="15"/>
                <w:szCs w:val="15"/>
              </w:rPr>
              <w:t xml:space="preserve">Monorepo (Nx/Turborepo) — consumer-app, brand-dashboard, admin-portal, backend-api, ai-service, shared packages (per Technical Architecture Phase 10)</w:t>
            </w:r>
          </w:p>
        </w:tc>
      </w:tr>
      <w:tr>
        <w:tc>
          <w:tcPr>
            <w:tcW w:type="dxa" w:w="1800"/>
            <w:shd w:fill="F2F2F2" w:val="clear"/>
            <w:tcMar>
              <w:top w:type="dxa" w:w="55"/>
              <w:left w:type="dxa" w:w="80"/>
              <w:bottom w:type="dxa" w:w="55"/>
              <w:right w:type="dxa" w:w="80"/>
            </w:tcMar>
            <w:vAlign w:val="center"/>
          </w:tcPr>
          <w:p>
            <w:r>
              <w:rPr>
                <w:sz w:val="15"/>
                <w:szCs w:val="15"/>
              </w:rPr>
              <w:t xml:space="preserve">Branch strategy</w:t>
            </w:r>
          </w:p>
        </w:tc>
        <w:tc>
          <w:tcPr>
            <w:tcW w:type="dxa" w:w="7550"/>
            <w:shd w:fill="F2F2F2" w:val="clear"/>
            <w:tcMar>
              <w:top w:type="dxa" w:w="55"/>
              <w:left w:type="dxa" w:w="80"/>
              <w:bottom w:type="dxa" w:w="55"/>
              <w:right w:type="dxa" w:w="80"/>
            </w:tcMar>
            <w:vAlign w:val="center"/>
          </w:tcPr>
          <w:p>
            <w:r>
              <w:rPr>
                <w:sz w:val="15"/>
                <w:szCs w:val="15"/>
              </w:rPr>
              <w:t xml:space="preserve">Trunk-based development; short-lived feature branches (&lt;3 days); PR required for all merges to main</w:t>
            </w:r>
          </w:p>
        </w:tc>
      </w:tr>
      <w:tr>
        <w:tc>
          <w:tcPr>
            <w:tcW w:type="dxa" w:w="1800"/>
            <w:shd w:fill="FFFFFF" w:val="clear"/>
            <w:tcMar>
              <w:top w:type="dxa" w:w="55"/>
              <w:left w:type="dxa" w:w="80"/>
              <w:bottom w:type="dxa" w:w="55"/>
              <w:right w:type="dxa" w:w="80"/>
            </w:tcMar>
            <w:vAlign w:val="center"/>
          </w:tcPr>
          <w:p>
            <w:r>
              <w:rPr>
                <w:sz w:val="15"/>
                <w:szCs w:val="15"/>
              </w:rPr>
              <w:t xml:space="preserve">CI/CD</w:t>
            </w:r>
          </w:p>
        </w:tc>
        <w:tc>
          <w:tcPr>
            <w:tcW w:type="dxa" w:w="7550"/>
            <w:shd w:fill="FFFFFF" w:val="clear"/>
            <w:tcMar>
              <w:top w:type="dxa" w:w="55"/>
              <w:left w:type="dxa" w:w="80"/>
              <w:bottom w:type="dxa" w:w="55"/>
              <w:right w:type="dxa" w:w="80"/>
            </w:tcMar>
            <w:vAlign w:val="center"/>
          </w:tcPr>
          <w:p>
            <w:r>
              <w:rPr>
                <w:sz w:val="15"/>
                <w:szCs w:val="15"/>
              </w:rPr>
              <w:t xml:space="preserve">GitHub Actions — lint/test/build on every PR; auto-deploy to staging on merge to main; manual approval gate to production</w:t>
            </w:r>
          </w:p>
        </w:tc>
      </w:tr>
      <w:tr>
        <w:tc>
          <w:tcPr>
            <w:tcW w:type="dxa" w:w="1800"/>
            <w:shd w:fill="F2F2F2" w:val="clear"/>
            <w:tcMar>
              <w:top w:type="dxa" w:w="55"/>
              <w:left w:type="dxa" w:w="80"/>
              <w:bottom w:type="dxa" w:w="55"/>
              <w:right w:type="dxa" w:w="80"/>
            </w:tcMar>
            <w:vAlign w:val="center"/>
          </w:tcPr>
          <w:p>
            <w:r>
              <w:rPr>
                <w:sz w:val="15"/>
                <w:szCs w:val="15"/>
              </w:rPr>
              <w:t xml:space="preserve">Secrets</w:t>
            </w:r>
          </w:p>
        </w:tc>
        <w:tc>
          <w:tcPr>
            <w:tcW w:type="dxa" w:w="7550"/>
            <w:shd w:fill="F2F2F2" w:val="clear"/>
            <w:tcMar>
              <w:top w:type="dxa" w:w="55"/>
              <w:left w:type="dxa" w:w="80"/>
              <w:bottom w:type="dxa" w:w="55"/>
              <w:right w:type="dxa" w:w="80"/>
            </w:tcMar>
            <w:vAlign w:val="center"/>
          </w:tcPr>
          <w:p>
            <w:r>
              <w:rPr>
                <w:sz w:val="15"/>
                <w:szCs w:val="15"/>
              </w:rPr>
              <w:t xml:space="preserve">AWS Secrets Manager; zero secrets in source control; rotated quarterly</w:t>
            </w:r>
          </w:p>
        </w:tc>
      </w:tr>
      <w:tr>
        <w:tc>
          <w:tcPr>
            <w:tcW w:type="dxa" w:w="1800"/>
            <w:shd w:fill="FFFFFF" w:val="clear"/>
            <w:tcMar>
              <w:top w:type="dxa" w:w="55"/>
              <w:left w:type="dxa" w:w="80"/>
              <w:bottom w:type="dxa" w:w="55"/>
              <w:right w:type="dxa" w:w="80"/>
            </w:tcMar>
            <w:vAlign w:val="center"/>
          </w:tcPr>
          <w:p>
            <w:r>
              <w:rPr>
                <w:sz w:val="15"/>
                <w:szCs w:val="15"/>
              </w:rPr>
              <w:t xml:space="preserve">Monitoring</w:t>
            </w:r>
          </w:p>
        </w:tc>
        <w:tc>
          <w:tcPr>
            <w:tcW w:type="dxa" w:w="7550"/>
            <w:shd w:fill="FFFFFF" w:val="clear"/>
            <w:tcMar>
              <w:top w:type="dxa" w:w="55"/>
              <w:left w:type="dxa" w:w="80"/>
              <w:bottom w:type="dxa" w:w="55"/>
              <w:right w:type="dxa" w:w="80"/>
            </w:tcMar>
            <w:vAlign w:val="center"/>
          </w:tcPr>
          <w:p>
            <w:r>
              <w:rPr>
                <w:sz w:val="15"/>
                <w:szCs w:val="15"/>
              </w:rPr>
              <w:t xml:space="preserve">CloudWatch (infra) + Grafana/Prometheus (application metrics) + Sentry (error tracking)</w:t>
            </w:r>
          </w:p>
        </w:tc>
      </w:tr>
      <w:tr>
        <w:tc>
          <w:tcPr>
            <w:tcW w:type="dxa" w:w="1800"/>
            <w:shd w:fill="F2F2F2" w:val="clear"/>
            <w:tcMar>
              <w:top w:type="dxa" w:w="55"/>
              <w:left w:type="dxa" w:w="80"/>
              <w:bottom w:type="dxa" w:w="55"/>
              <w:right w:type="dxa" w:w="80"/>
            </w:tcMar>
            <w:vAlign w:val="center"/>
          </w:tcPr>
          <w:p>
            <w:r>
              <w:rPr>
                <w:sz w:val="15"/>
                <w:szCs w:val="15"/>
              </w:rPr>
              <w:t xml:space="preserve">Logging</w:t>
            </w:r>
          </w:p>
        </w:tc>
        <w:tc>
          <w:tcPr>
            <w:tcW w:type="dxa" w:w="7550"/>
            <w:shd w:fill="F2F2F2" w:val="clear"/>
            <w:tcMar>
              <w:top w:type="dxa" w:w="55"/>
              <w:left w:type="dxa" w:w="80"/>
              <w:bottom w:type="dxa" w:w="55"/>
              <w:right w:type="dxa" w:w="80"/>
            </w:tcMar>
            <w:vAlign w:val="center"/>
          </w:tcPr>
          <w:p>
            <w:r>
              <w:rPr>
                <w:sz w:val="15"/>
                <w:szCs w:val="15"/>
              </w:rPr>
              <w:t xml:space="preserve">Structured JSON logs → CloudWatch Logs, correlation IDs on every request for cross-service tracing</w:t>
            </w:r>
          </w:p>
        </w:tc>
      </w:tr>
      <w:tr>
        <w:tc>
          <w:tcPr>
            <w:tcW w:type="dxa" w:w="1800"/>
            <w:shd w:fill="FFFFFF" w:val="clear"/>
            <w:tcMar>
              <w:top w:type="dxa" w:w="55"/>
              <w:left w:type="dxa" w:w="80"/>
              <w:bottom w:type="dxa" w:w="55"/>
              <w:right w:type="dxa" w:w="80"/>
            </w:tcMar>
            <w:vAlign w:val="center"/>
          </w:tcPr>
          <w:p>
            <w:r>
              <w:rPr>
                <w:sz w:val="15"/>
                <w:szCs w:val="15"/>
              </w:rPr>
              <w:t xml:space="preserve">Alerts</w:t>
            </w:r>
          </w:p>
        </w:tc>
        <w:tc>
          <w:tcPr>
            <w:tcW w:type="dxa" w:w="7550"/>
            <w:shd w:fill="FFFFFF" w:val="clear"/>
            <w:tcMar>
              <w:top w:type="dxa" w:w="55"/>
              <w:left w:type="dxa" w:w="80"/>
              <w:bottom w:type="dxa" w:w="55"/>
              <w:right w:type="dxa" w:w="80"/>
            </w:tcMar>
            <w:vAlign w:val="center"/>
          </w:tcPr>
          <w:p>
            <w:r>
              <w:rPr>
                <w:sz w:val="15"/>
                <w:szCs w:val="15"/>
              </w:rPr>
              <w:t xml:space="preserve">PagerDuty (or equivalent) for P0/P1 alerts — API error-rate spike, QR redemption failure rate, DB connection exhaustion</w:t>
            </w:r>
          </w:p>
        </w:tc>
      </w:tr>
      <w:tr>
        <w:tc>
          <w:tcPr>
            <w:tcW w:type="dxa" w:w="1800"/>
            <w:shd w:fill="F2F2F2" w:val="clear"/>
            <w:tcMar>
              <w:top w:type="dxa" w:w="55"/>
              <w:left w:type="dxa" w:w="80"/>
              <w:bottom w:type="dxa" w:w="55"/>
              <w:right w:type="dxa" w:w="80"/>
            </w:tcMar>
            <w:vAlign w:val="center"/>
          </w:tcPr>
          <w:p>
            <w:r>
              <w:rPr>
                <w:sz w:val="15"/>
                <w:szCs w:val="15"/>
              </w:rPr>
              <w:t xml:space="preserve">Infrastructure</w:t>
            </w:r>
          </w:p>
        </w:tc>
        <w:tc>
          <w:tcPr>
            <w:tcW w:type="dxa" w:w="7550"/>
            <w:shd w:fill="F2F2F2" w:val="clear"/>
            <w:tcMar>
              <w:top w:type="dxa" w:w="55"/>
              <w:left w:type="dxa" w:w="80"/>
              <w:bottom w:type="dxa" w:w="55"/>
              <w:right w:type="dxa" w:w="80"/>
            </w:tcMar>
            <w:vAlign w:val="center"/>
          </w:tcPr>
          <w:p>
            <w:r>
              <w:rPr>
                <w:sz w:val="15"/>
                <w:szCs w:val="15"/>
              </w:rPr>
              <w:t xml:space="preserve">Terraform, one module per environment, reviewed via PR like application code</w:t>
            </w:r>
          </w:p>
        </w:tc>
      </w:tr>
      <w:tr>
        <w:tc>
          <w:tcPr>
            <w:tcW w:type="dxa" w:w="1800"/>
            <w:shd w:fill="FFFFFF" w:val="clear"/>
            <w:tcMar>
              <w:top w:type="dxa" w:w="55"/>
              <w:left w:type="dxa" w:w="80"/>
              <w:bottom w:type="dxa" w:w="55"/>
              <w:right w:type="dxa" w:w="80"/>
            </w:tcMar>
            <w:vAlign w:val="center"/>
          </w:tcPr>
          <w:p>
            <w:r>
              <w:rPr>
                <w:sz w:val="15"/>
                <w:szCs w:val="15"/>
              </w:rPr>
              <w:t xml:space="preserve">Containers</w:t>
            </w:r>
          </w:p>
        </w:tc>
        <w:tc>
          <w:tcPr>
            <w:tcW w:type="dxa" w:w="7550"/>
            <w:shd w:fill="FFFFFF" w:val="clear"/>
            <w:tcMar>
              <w:top w:type="dxa" w:w="55"/>
              <w:left w:type="dxa" w:w="80"/>
              <w:bottom w:type="dxa" w:w="55"/>
              <w:right w:type="dxa" w:w="80"/>
            </w:tcMar>
            <w:vAlign w:val="center"/>
          </w:tcPr>
          <w:p>
            <w:r>
              <w:rPr>
                <w:sz w:val="15"/>
                <w:szCs w:val="15"/>
              </w:rPr>
              <w:t xml:space="preserve">Docker images for all services; ECS Fargate task definitions versioned alongside code</w:t>
            </w:r>
          </w:p>
        </w:tc>
      </w:tr>
      <w:tr>
        <w:tc>
          <w:tcPr>
            <w:tcW w:type="dxa" w:w="1800"/>
            <w:shd w:fill="F2F2F2" w:val="clear"/>
            <w:tcMar>
              <w:top w:type="dxa" w:w="55"/>
              <w:left w:type="dxa" w:w="80"/>
              <w:bottom w:type="dxa" w:w="55"/>
              <w:right w:type="dxa" w:w="80"/>
            </w:tcMar>
            <w:vAlign w:val="center"/>
          </w:tcPr>
          <w:p>
            <w:r>
              <w:rPr>
                <w:sz w:val="15"/>
                <w:szCs w:val="15"/>
              </w:rPr>
              <w:t xml:space="preserve">Scaling</w:t>
            </w:r>
          </w:p>
        </w:tc>
        <w:tc>
          <w:tcPr>
            <w:tcW w:type="dxa" w:w="7550"/>
            <w:shd w:fill="F2F2F2" w:val="clear"/>
            <w:tcMar>
              <w:top w:type="dxa" w:w="55"/>
              <w:left w:type="dxa" w:w="80"/>
              <w:bottom w:type="dxa" w:w="55"/>
              <w:right w:type="dxa" w:w="80"/>
            </w:tcMar>
            <w:vAlign w:val="center"/>
          </w:tcPr>
          <w:p>
            <w:r>
              <w:rPr>
                <w:sz w:val="15"/>
                <w:szCs w:val="15"/>
              </w:rPr>
              <w:t xml:space="preserve">ECS service autoscaling on CPU/memory/request-count; Redis and RDS scaled manually until volume justifies automation</w:t>
            </w:r>
          </w:p>
        </w:tc>
      </w:tr>
      <w:tr>
        <w:tc>
          <w:tcPr>
            <w:tcW w:type="dxa" w:w="1800"/>
            <w:shd w:fill="FFFFFF" w:val="clear"/>
            <w:tcMar>
              <w:top w:type="dxa" w:w="55"/>
              <w:left w:type="dxa" w:w="80"/>
              <w:bottom w:type="dxa" w:w="55"/>
              <w:right w:type="dxa" w:w="80"/>
            </w:tcMar>
            <w:vAlign w:val="center"/>
          </w:tcPr>
          <w:p>
            <w:r>
              <w:rPr>
                <w:sz w:val="15"/>
                <w:szCs w:val="15"/>
              </w:rPr>
              <w:t xml:space="preserve">Backup</w:t>
            </w:r>
          </w:p>
        </w:tc>
        <w:tc>
          <w:tcPr>
            <w:tcW w:type="dxa" w:w="7550"/>
            <w:shd w:fill="FFFFFF" w:val="clear"/>
            <w:tcMar>
              <w:top w:type="dxa" w:w="55"/>
              <w:left w:type="dxa" w:w="80"/>
              <w:bottom w:type="dxa" w:w="55"/>
              <w:right w:type="dxa" w:w="80"/>
            </w:tcMar>
            <w:vAlign w:val="center"/>
          </w:tcPr>
          <w:p>
            <w:r>
              <w:rPr>
                <w:sz w:val="15"/>
                <w:szCs w:val="15"/>
              </w:rPr>
              <w:t xml:space="preserve">RDS automated daily snapshots, 7-day PITR minimum; weekly cross-region replication</w:t>
            </w:r>
          </w:p>
        </w:tc>
      </w:tr>
      <w:tr>
        <w:tc>
          <w:tcPr>
            <w:tcW w:type="dxa" w:w="1800"/>
            <w:shd w:fill="F2F2F2" w:val="clear"/>
            <w:tcMar>
              <w:top w:type="dxa" w:w="55"/>
              <w:left w:type="dxa" w:w="80"/>
              <w:bottom w:type="dxa" w:w="55"/>
              <w:right w:type="dxa" w:w="80"/>
            </w:tcMar>
            <w:vAlign w:val="center"/>
          </w:tcPr>
          <w:p>
            <w:r>
              <w:rPr>
                <w:sz w:val="15"/>
                <w:szCs w:val="15"/>
              </w:rPr>
              <w:t xml:space="preserve">Disaster Recovery</w:t>
            </w:r>
          </w:p>
        </w:tc>
        <w:tc>
          <w:tcPr>
            <w:tcW w:type="dxa" w:w="7550"/>
            <w:shd w:fill="F2F2F2" w:val="clear"/>
            <w:tcMar>
              <w:top w:type="dxa" w:w="55"/>
              <w:left w:type="dxa" w:w="80"/>
              <w:bottom w:type="dxa" w:w="55"/>
              <w:right w:type="dxa" w:w="80"/>
            </w:tcMar>
            <w:vAlign w:val="center"/>
          </w:tcPr>
          <w:p>
            <w:r>
              <w:rPr>
                <w:sz w:val="15"/>
                <w:szCs w:val="15"/>
              </w:rPr>
              <w:t xml:space="preserve">RTO 4hrs / RPO 1hr at MVP (Technical Architecture Phase 9); quarterly restore drills</w:t>
            </w:r>
          </w:p>
        </w:tc>
      </w:tr>
      <w:tr>
        <w:tc>
          <w:tcPr>
            <w:tcW w:type="dxa" w:w="1800"/>
            <w:shd w:fill="FFFFFF" w:val="clear"/>
            <w:tcMar>
              <w:top w:type="dxa" w:w="55"/>
              <w:left w:type="dxa" w:w="80"/>
              <w:bottom w:type="dxa" w:w="55"/>
              <w:right w:type="dxa" w:w="80"/>
            </w:tcMar>
            <w:vAlign w:val="center"/>
          </w:tcPr>
          <w:p>
            <w:r>
              <w:rPr>
                <w:sz w:val="15"/>
                <w:szCs w:val="15"/>
              </w:rPr>
              <w:t xml:space="preserve">Rollback</w:t>
            </w:r>
          </w:p>
        </w:tc>
        <w:tc>
          <w:tcPr>
            <w:tcW w:type="dxa" w:w="7550"/>
            <w:shd w:fill="FFFFFF" w:val="clear"/>
            <w:tcMar>
              <w:top w:type="dxa" w:w="55"/>
              <w:left w:type="dxa" w:w="80"/>
              <w:bottom w:type="dxa" w:w="55"/>
              <w:right w:type="dxa" w:w="80"/>
            </w:tcMar>
            <w:vAlign w:val="center"/>
          </w:tcPr>
          <w:p>
            <w:r>
              <w:rPr>
                <w:sz w:val="15"/>
                <w:szCs w:val="15"/>
              </w:rPr>
              <w:t xml:space="preserve">ECS task-definition revert for application rollback; feature flags for instant feature-level disable without a deploy</w:t>
            </w:r>
          </w:p>
        </w:tc>
      </w:tr>
      <w:tr>
        <w:tc>
          <w:tcPr>
            <w:tcW w:type="dxa" w:w="1800"/>
            <w:shd w:fill="F2F2F2" w:val="clear"/>
            <w:tcMar>
              <w:top w:type="dxa" w:w="55"/>
              <w:left w:type="dxa" w:w="80"/>
              <w:bottom w:type="dxa" w:w="55"/>
              <w:right w:type="dxa" w:w="80"/>
            </w:tcMar>
            <w:vAlign w:val="center"/>
          </w:tcPr>
          <w:p>
            <w:r>
              <w:rPr>
                <w:sz w:val="15"/>
                <w:szCs w:val="15"/>
              </w:rPr>
              <w:t xml:space="preserve">Observability</w:t>
            </w:r>
          </w:p>
        </w:tc>
        <w:tc>
          <w:tcPr>
            <w:tcW w:type="dxa" w:w="7550"/>
            <w:shd w:fill="F2F2F2" w:val="clear"/>
            <w:tcMar>
              <w:top w:type="dxa" w:w="55"/>
              <w:left w:type="dxa" w:w="80"/>
              <w:bottom w:type="dxa" w:w="55"/>
              <w:right w:type="dxa" w:w="80"/>
            </w:tcMar>
            <w:vAlign w:val="center"/>
          </w:tcPr>
          <w:p>
            <w:r>
              <w:rPr>
                <w:sz w:val="15"/>
                <w:szCs w:val="15"/>
              </w:rPr>
              <w:t xml:space="preserve">Distributed tracing via correlation IDs; dashboards per module (Auth, Fulfillment, Survey) tied to the KPIs in the FDD/PRD</w:t>
            </w:r>
          </w:p>
        </w:tc>
      </w:tr>
    </w:tbl>
    <w:p>
      <w:r>
        <w:br w:type="page"/>
      </w:r>
    </w:p>
    <w:p>
      <w:pPr>
        <w:pStyle w:val="Heading1"/>
        <w:pBdr>
          <w:bottom w:val="single" w:color="1F2A44" w:sz="8" w:space="4"/>
        </w:pBdr>
        <w:spacing w:after="190" w:before="380"/>
      </w:pPr>
      <w:r>
        <w:rPr>
          <w:b/>
          <w:bCs/>
          <w:color w:val="1F2A44"/>
          <w:sz w:val="28"/>
          <w:szCs w:val="28"/>
        </w:rPr>
        <w:t xml:space="preserve">11. Security Plan — Implementation Tasks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5600"/>
        <w:gridCol w:w="2150"/>
      </w:tblGrid>
      <w:tr>
        <w:trPr>
          <w:tblHeader/>
        </w:trPr>
        <w:tc>
          <w:tcPr>
            <w:tcW w:type="dxa" w:w="1600"/>
            <w:shd w:fill="1F2A44" w:val="clear"/>
            <w:tcMar>
              <w:top w:type="dxa" w:w="70"/>
              <w:left w:type="dxa" w:w="90"/>
              <w:bottom w:type="dxa" w:w="70"/>
              <w:right w:type="dxa" w:w="90"/>
            </w:tcMar>
            <w:vAlign w:val="center"/>
          </w:tcPr>
          <w:p>
            <w:r>
              <w:rPr>
                <w:b/>
                <w:bCs/>
                <w:color w:val="FFFFFF"/>
                <w:sz w:val="15"/>
                <w:szCs w:val="15"/>
              </w:rPr>
              <w:t xml:space="preserve">Area</w:t>
            </w:r>
          </w:p>
        </w:tc>
        <w:tc>
          <w:tcPr>
            <w:tcW w:type="dxa" w:w="5600"/>
            <w:shd w:fill="1F2A44" w:val="clear"/>
            <w:tcMar>
              <w:top w:type="dxa" w:w="70"/>
              <w:left w:type="dxa" w:w="90"/>
              <w:bottom w:type="dxa" w:w="70"/>
              <w:right w:type="dxa" w:w="90"/>
            </w:tcMar>
            <w:vAlign w:val="center"/>
          </w:tcPr>
          <w:p>
            <w:r>
              <w:rPr>
                <w:b/>
                <w:bCs/>
                <w:color w:val="FFFFFF"/>
                <w:sz w:val="15"/>
                <w:szCs w:val="15"/>
              </w:rPr>
              <w:t xml:space="preserve">Implementation Task</w:t>
            </w:r>
          </w:p>
        </w:tc>
        <w:tc>
          <w:tcPr>
            <w:tcW w:type="dxa" w:w="2150"/>
            <w:shd w:fill="1F2A44" w:val="clear"/>
            <w:tcMar>
              <w:top w:type="dxa" w:w="70"/>
              <w:left w:type="dxa" w:w="90"/>
              <w:bottom w:type="dxa" w:w="70"/>
              <w:right w:type="dxa" w:w="90"/>
            </w:tcMar>
            <w:vAlign w:val="center"/>
          </w:tcPr>
          <w:p>
            <w:r>
              <w:rPr>
                <w:b/>
                <w:bCs/>
                <w:color w:val="FFFFFF"/>
                <w:sz w:val="15"/>
                <w:szCs w:val="15"/>
              </w:rPr>
              <w:t xml:space="preserve">Backlog Link</w:t>
            </w:r>
          </w:p>
        </w:tc>
      </w:tr>
      <w:tr>
        <w:tc>
          <w:tcPr>
            <w:tcW w:type="dxa" w:w="1600"/>
            <w:shd w:fill="FFFFFF" w:val="clear"/>
            <w:tcMar>
              <w:top w:type="dxa" w:w="55"/>
              <w:left w:type="dxa" w:w="80"/>
              <w:bottom w:type="dxa" w:w="55"/>
              <w:right w:type="dxa" w:w="80"/>
            </w:tcMar>
            <w:vAlign w:val="center"/>
          </w:tcPr>
          <w:p>
            <w:r>
              <w:rPr>
                <w:sz w:val="15"/>
                <w:szCs w:val="15"/>
              </w:rPr>
              <w:t xml:space="preserve">Authentication</w:t>
            </w:r>
          </w:p>
        </w:tc>
        <w:tc>
          <w:tcPr>
            <w:tcW w:type="dxa" w:w="5600"/>
            <w:shd w:fill="FFFFFF" w:val="clear"/>
            <w:tcMar>
              <w:top w:type="dxa" w:w="55"/>
              <w:left w:type="dxa" w:w="80"/>
              <w:bottom w:type="dxa" w:w="55"/>
              <w:right w:type="dxa" w:w="80"/>
            </w:tcMar>
            <w:vAlign w:val="center"/>
          </w:tcPr>
          <w:p>
            <w:r>
              <w:rPr>
                <w:sz w:val="15"/>
                <w:szCs w:val="15"/>
              </w:rPr>
              <w:t xml:space="preserve">OTP rate limiting (3/10min), JWT short-lived access tokens, mandatory internal 2FA</w:t>
            </w:r>
          </w:p>
        </w:tc>
        <w:tc>
          <w:tcPr>
            <w:tcW w:type="dxa" w:w="2150"/>
            <w:shd w:fill="FFFFFF" w:val="clear"/>
            <w:tcMar>
              <w:top w:type="dxa" w:w="55"/>
              <w:left w:type="dxa" w:w="80"/>
              <w:bottom w:type="dxa" w:w="55"/>
              <w:right w:type="dxa" w:w="80"/>
            </w:tcMar>
            <w:vAlign w:val="center"/>
          </w:tcPr>
          <w:p>
            <w:r>
              <w:rPr>
                <w:sz w:val="15"/>
                <w:szCs w:val="15"/>
              </w:rPr>
              <w:t xml:space="preserve">TJ-001, EPIC-12</w:t>
            </w:r>
          </w:p>
        </w:tc>
      </w:tr>
      <w:tr>
        <w:tc>
          <w:tcPr>
            <w:tcW w:type="dxa" w:w="1600"/>
            <w:shd w:fill="F2F2F2" w:val="clear"/>
            <w:tcMar>
              <w:top w:type="dxa" w:w="55"/>
              <w:left w:type="dxa" w:w="80"/>
              <w:bottom w:type="dxa" w:w="55"/>
              <w:right w:type="dxa" w:w="80"/>
            </w:tcMar>
            <w:vAlign w:val="center"/>
          </w:tcPr>
          <w:p>
            <w:r>
              <w:rPr>
                <w:sz w:val="15"/>
                <w:szCs w:val="15"/>
              </w:rPr>
              <w:t xml:space="preserve">Authorization</w:t>
            </w:r>
          </w:p>
        </w:tc>
        <w:tc>
          <w:tcPr>
            <w:tcW w:type="dxa" w:w="5600"/>
            <w:shd w:fill="F2F2F2" w:val="clear"/>
            <w:tcMar>
              <w:top w:type="dxa" w:w="55"/>
              <w:left w:type="dxa" w:w="80"/>
              <w:bottom w:type="dxa" w:w="55"/>
              <w:right w:type="dxa" w:w="80"/>
            </w:tcMar>
            <w:vAlign w:val="center"/>
          </w:tcPr>
          <w:p>
            <w:r>
              <w:rPr>
                <w:sz w:val="15"/>
                <w:szCs w:val="15"/>
              </w:rPr>
              <w:t xml:space="preserve">RBAC via NestJS Guards + CASL mapped to PRD Permissions Matrix</w:t>
            </w:r>
          </w:p>
        </w:tc>
        <w:tc>
          <w:tcPr>
            <w:tcW w:type="dxa" w:w="2150"/>
            <w:shd w:fill="F2F2F2" w:val="clear"/>
            <w:tcMar>
              <w:top w:type="dxa" w:w="55"/>
              <w:left w:type="dxa" w:w="80"/>
              <w:bottom w:type="dxa" w:w="55"/>
              <w:right w:type="dxa" w:w="80"/>
            </w:tcMar>
            <w:vAlign w:val="center"/>
          </w:tcPr>
          <w:p>
            <w:r>
              <w:rPr>
                <w:sz w:val="15"/>
                <w:szCs w:val="15"/>
              </w:rPr>
              <w:t xml:space="preserve">EPIC-12 (Sprint 0)</w:t>
            </w:r>
          </w:p>
        </w:tc>
      </w:tr>
      <w:tr>
        <w:tc>
          <w:tcPr>
            <w:tcW w:type="dxa" w:w="1600"/>
            <w:shd w:fill="FFFFFF" w:val="clear"/>
            <w:tcMar>
              <w:top w:type="dxa" w:w="55"/>
              <w:left w:type="dxa" w:w="80"/>
              <w:bottom w:type="dxa" w:w="55"/>
              <w:right w:type="dxa" w:w="80"/>
            </w:tcMar>
            <w:vAlign w:val="center"/>
          </w:tcPr>
          <w:p>
            <w:r>
              <w:rPr>
                <w:sz w:val="15"/>
                <w:szCs w:val="15"/>
              </w:rPr>
              <w:t xml:space="preserve">Encryption</w:t>
            </w:r>
          </w:p>
        </w:tc>
        <w:tc>
          <w:tcPr>
            <w:tcW w:type="dxa" w:w="5600"/>
            <w:shd w:fill="FFFFFF" w:val="clear"/>
            <w:tcMar>
              <w:top w:type="dxa" w:w="55"/>
              <w:left w:type="dxa" w:w="80"/>
              <w:bottom w:type="dxa" w:w="55"/>
              <w:right w:type="dxa" w:w="80"/>
            </w:tcMar>
            <w:vAlign w:val="center"/>
          </w:tcPr>
          <w:p>
            <w:r>
              <w:rPr>
                <w:sz w:val="15"/>
                <w:szCs w:val="15"/>
              </w:rPr>
              <w:t xml:space="preserve">TLS 1.2+ everywhere; AES-256 at rest; KMS envelope encryption for phone-number field</w:t>
            </w:r>
          </w:p>
        </w:tc>
        <w:tc>
          <w:tcPr>
            <w:tcW w:type="dxa" w:w="2150"/>
            <w:shd w:fill="FFFFFF" w:val="clear"/>
            <w:tcMar>
              <w:top w:type="dxa" w:w="55"/>
              <w:left w:type="dxa" w:w="80"/>
              <w:bottom w:type="dxa" w:w="55"/>
              <w:right w:type="dxa" w:w="80"/>
            </w:tcMar>
            <w:vAlign w:val="center"/>
          </w:tcPr>
          <w:p>
            <w:r>
              <w:rPr>
                <w:sz w:val="15"/>
                <w:szCs w:val="15"/>
              </w:rPr>
              <w:t xml:space="preserve">EPIC-12 (Sprint 0)</w:t>
            </w:r>
          </w:p>
        </w:tc>
      </w:tr>
      <w:tr>
        <w:tc>
          <w:tcPr>
            <w:tcW w:type="dxa" w:w="1600"/>
            <w:shd w:fill="F2F2F2" w:val="clear"/>
            <w:tcMar>
              <w:top w:type="dxa" w:w="55"/>
              <w:left w:type="dxa" w:w="80"/>
              <w:bottom w:type="dxa" w:w="55"/>
              <w:right w:type="dxa" w:w="80"/>
            </w:tcMar>
            <w:vAlign w:val="center"/>
          </w:tcPr>
          <w:p>
            <w:r>
              <w:rPr>
                <w:sz w:val="15"/>
                <w:szCs w:val="15"/>
              </w:rPr>
              <w:t xml:space="preserve">Audit Logs</w:t>
            </w:r>
          </w:p>
        </w:tc>
        <w:tc>
          <w:tcPr>
            <w:tcW w:type="dxa" w:w="5600"/>
            <w:shd w:fill="F2F2F2" w:val="clear"/>
            <w:tcMar>
              <w:top w:type="dxa" w:w="55"/>
              <w:left w:type="dxa" w:w="80"/>
              <w:bottom w:type="dxa" w:w="55"/>
              <w:right w:type="dxa" w:w="80"/>
            </w:tcMar>
            <w:vAlign w:val="center"/>
          </w:tcPr>
          <w:p>
            <w:r>
              <w:rPr>
                <w:sz w:val="15"/>
                <w:szCs w:val="15"/>
              </w:rPr>
              <w:t xml:space="preserve">Immutable AuditLog table on every Consumer/SurveyResponse write; CloudTrail for infra actions</w:t>
            </w:r>
          </w:p>
        </w:tc>
        <w:tc>
          <w:tcPr>
            <w:tcW w:type="dxa" w:w="2150"/>
            <w:shd w:fill="F2F2F2" w:val="clear"/>
            <w:tcMar>
              <w:top w:type="dxa" w:w="55"/>
              <w:left w:type="dxa" w:w="80"/>
              <w:bottom w:type="dxa" w:w="55"/>
              <w:right w:type="dxa" w:w="80"/>
            </w:tcMar>
            <w:vAlign w:val="center"/>
          </w:tcPr>
          <w:p>
            <w:r>
              <w:rPr>
                <w:sz w:val="15"/>
                <w:szCs w:val="15"/>
              </w:rPr>
              <w:t xml:space="preserve">EPIC-12 (Sprint 0)</w:t>
            </w:r>
          </w:p>
        </w:tc>
      </w:tr>
      <w:tr>
        <w:tc>
          <w:tcPr>
            <w:tcW w:type="dxa" w:w="1600"/>
            <w:shd w:fill="FFFFFF" w:val="clear"/>
            <w:tcMar>
              <w:top w:type="dxa" w:w="55"/>
              <w:left w:type="dxa" w:w="80"/>
              <w:bottom w:type="dxa" w:w="55"/>
              <w:right w:type="dxa" w:w="80"/>
            </w:tcMar>
            <w:vAlign w:val="center"/>
          </w:tcPr>
          <w:p>
            <w:r>
              <w:rPr>
                <w:sz w:val="15"/>
                <w:szCs w:val="15"/>
              </w:rPr>
              <w:t xml:space="preserve">OWASP</w:t>
            </w:r>
          </w:p>
        </w:tc>
        <w:tc>
          <w:tcPr>
            <w:tcW w:type="dxa" w:w="5600"/>
            <w:shd w:fill="FFFFFF" w:val="clear"/>
            <w:tcMar>
              <w:top w:type="dxa" w:w="55"/>
              <w:left w:type="dxa" w:w="80"/>
              <w:bottom w:type="dxa" w:w="55"/>
              <w:right w:type="dxa" w:w="80"/>
            </w:tcMar>
            <w:vAlign w:val="center"/>
          </w:tcPr>
          <w:p>
            <w:r>
              <w:rPr>
                <w:sz w:val="15"/>
                <w:szCs w:val="15"/>
              </w:rPr>
              <w:t xml:space="preserve">Input validation (class-validator), parameterized queries (ORM default), CSRF protection, CSP headers, Dependabot/Snyk in CI</w:t>
            </w:r>
          </w:p>
        </w:tc>
        <w:tc>
          <w:tcPr>
            <w:tcW w:type="dxa" w:w="2150"/>
            <w:shd w:fill="FFFFFF" w:val="clear"/>
            <w:tcMar>
              <w:top w:type="dxa" w:w="55"/>
              <w:left w:type="dxa" w:w="80"/>
              <w:bottom w:type="dxa" w:w="55"/>
              <w:right w:type="dxa" w:w="80"/>
            </w:tcMar>
            <w:vAlign w:val="center"/>
          </w:tcPr>
          <w:p>
            <w:r>
              <w:rPr>
                <w:sz w:val="15"/>
                <w:szCs w:val="15"/>
              </w:rPr>
              <w:t xml:space="preserve">Sprint 0 + ongoing</w:t>
            </w:r>
          </w:p>
        </w:tc>
      </w:tr>
      <w:tr>
        <w:tc>
          <w:tcPr>
            <w:tcW w:type="dxa" w:w="1600"/>
            <w:shd w:fill="F2F2F2" w:val="clear"/>
            <w:tcMar>
              <w:top w:type="dxa" w:w="55"/>
              <w:left w:type="dxa" w:w="80"/>
              <w:bottom w:type="dxa" w:w="55"/>
              <w:right w:type="dxa" w:w="80"/>
            </w:tcMar>
            <w:vAlign w:val="center"/>
          </w:tcPr>
          <w:p>
            <w:r>
              <w:rPr>
                <w:sz w:val="15"/>
                <w:szCs w:val="15"/>
              </w:rPr>
              <w:t xml:space="preserve">Rate Limiting</w:t>
            </w:r>
          </w:p>
        </w:tc>
        <w:tc>
          <w:tcPr>
            <w:tcW w:type="dxa" w:w="5600"/>
            <w:shd w:fill="F2F2F2" w:val="clear"/>
            <w:tcMar>
              <w:top w:type="dxa" w:w="55"/>
              <w:left w:type="dxa" w:w="80"/>
              <w:bottom w:type="dxa" w:w="55"/>
              <w:right w:type="dxa" w:w="80"/>
            </w:tcMar>
            <w:vAlign w:val="center"/>
          </w:tcPr>
          <w:p>
            <w:r>
              <w:rPr>
                <w:sz w:val="15"/>
                <w:szCs w:val="15"/>
              </w:rPr>
              <w:t xml:space="preserve">NestJS throttler guard on all public endpoints, stricter limits on OTP/auth endpoints</w:t>
            </w:r>
          </w:p>
        </w:tc>
        <w:tc>
          <w:tcPr>
            <w:tcW w:type="dxa" w:w="2150"/>
            <w:shd w:fill="F2F2F2" w:val="clear"/>
            <w:tcMar>
              <w:top w:type="dxa" w:w="55"/>
              <w:left w:type="dxa" w:w="80"/>
              <w:bottom w:type="dxa" w:w="55"/>
              <w:right w:type="dxa" w:w="80"/>
            </w:tcMar>
            <w:vAlign w:val="center"/>
          </w:tcPr>
          <w:p>
            <w:r>
              <w:rPr>
                <w:sz w:val="15"/>
                <w:szCs w:val="15"/>
              </w:rPr>
              <w:t xml:space="preserve">EPIC-12 (Sprint 0)</w:t>
            </w:r>
          </w:p>
        </w:tc>
      </w:tr>
      <w:tr>
        <w:tc>
          <w:tcPr>
            <w:tcW w:type="dxa" w:w="1600"/>
            <w:shd w:fill="FFFFFF" w:val="clear"/>
            <w:tcMar>
              <w:top w:type="dxa" w:w="55"/>
              <w:left w:type="dxa" w:w="80"/>
              <w:bottom w:type="dxa" w:w="55"/>
              <w:right w:type="dxa" w:w="80"/>
            </w:tcMar>
            <w:vAlign w:val="center"/>
          </w:tcPr>
          <w:p>
            <w:r>
              <w:rPr>
                <w:sz w:val="15"/>
                <w:szCs w:val="15"/>
              </w:rPr>
              <w:t xml:space="preserve">API Security</w:t>
            </w:r>
          </w:p>
        </w:tc>
        <w:tc>
          <w:tcPr>
            <w:tcW w:type="dxa" w:w="5600"/>
            <w:shd w:fill="FFFFFF" w:val="clear"/>
            <w:tcMar>
              <w:top w:type="dxa" w:w="55"/>
              <w:left w:type="dxa" w:w="80"/>
              <w:bottom w:type="dxa" w:w="55"/>
              <w:right w:type="dxa" w:w="80"/>
            </w:tcMar>
            <w:vAlign w:val="center"/>
          </w:tcPr>
          <w:p>
            <w:r>
              <w:rPr>
                <w:sz w:val="15"/>
                <w:szCs w:val="15"/>
              </w:rPr>
              <w:t xml:space="preserve">OpenAPI-enforced request schemas, no over-fetching, versioned deprecation policy</w:t>
            </w:r>
          </w:p>
        </w:tc>
        <w:tc>
          <w:tcPr>
            <w:tcW w:type="dxa" w:w="2150"/>
            <w:shd w:fill="FFFFFF" w:val="clear"/>
            <w:tcMar>
              <w:top w:type="dxa" w:w="55"/>
              <w:left w:type="dxa" w:w="80"/>
              <w:bottom w:type="dxa" w:w="55"/>
              <w:right w:type="dxa" w:w="80"/>
            </w:tcMar>
            <w:vAlign w:val="center"/>
          </w:tcPr>
          <w:p>
            <w:r>
              <w:rPr>
                <w:sz w:val="15"/>
                <w:szCs w:val="15"/>
              </w:rPr>
              <w:t xml:space="preserve">Sprint 0 + ongoing</w:t>
            </w:r>
          </w:p>
        </w:tc>
      </w:tr>
      <w:tr>
        <w:tc>
          <w:tcPr>
            <w:tcW w:type="dxa" w:w="1600"/>
            <w:shd w:fill="F2F2F2" w:val="clear"/>
            <w:tcMar>
              <w:top w:type="dxa" w:w="55"/>
              <w:left w:type="dxa" w:w="80"/>
              <w:bottom w:type="dxa" w:w="55"/>
              <w:right w:type="dxa" w:w="80"/>
            </w:tcMar>
            <w:vAlign w:val="center"/>
          </w:tcPr>
          <w:p>
            <w:r>
              <w:rPr>
                <w:sz w:val="15"/>
                <w:szCs w:val="15"/>
              </w:rPr>
              <w:t xml:space="preserve">Data Protection</w:t>
            </w:r>
          </w:p>
        </w:tc>
        <w:tc>
          <w:tcPr>
            <w:tcW w:type="dxa" w:w="5600"/>
            <w:shd w:fill="F2F2F2" w:val="clear"/>
            <w:tcMar>
              <w:top w:type="dxa" w:w="55"/>
              <w:left w:type="dxa" w:w="80"/>
              <w:bottom w:type="dxa" w:w="55"/>
              <w:right w:type="dxa" w:w="80"/>
            </w:tcMar>
            <w:vAlign w:val="center"/>
          </w:tcPr>
          <w:p>
            <w:r>
              <w:rPr>
                <w:sz w:val="15"/>
                <w:szCs w:val="15"/>
              </w:rPr>
              <w:t xml:space="preserve">Minimum-necessary data collection enforced at schema level (no field without a named PRD requirement)</w:t>
            </w:r>
          </w:p>
        </w:tc>
        <w:tc>
          <w:tcPr>
            <w:tcW w:type="dxa" w:w="2150"/>
            <w:shd w:fill="F2F2F2" w:val="clear"/>
            <w:tcMar>
              <w:top w:type="dxa" w:w="55"/>
              <w:left w:type="dxa" w:w="80"/>
              <w:bottom w:type="dxa" w:w="55"/>
              <w:right w:type="dxa" w:w="80"/>
            </w:tcMar>
            <w:vAlign w:val="center"/>
          </w:tcPr>
          <w:p>
            <w:r>
              <w:rPr>
                <w:sz w:val="15"/>
                <w:szCs w:val="15"/>
              </w:rPr>
              <w:t xml:space="preserve">Data model, Sprint 0</w:t>
            </w:r>
          </w:p>
        </w:tc>
      </w:tr>
      <w:tr>
        <w:tc>
          <w:tcPr>
            <w:tcW w:type="dxa" w:w="1600"/>
            <w:shd w:fill="FFFFFF" w:val="clear"/>
            <w:tcMar>
              <w:top w:type="dxa" w:w="55"/>
              <w:left w:type="dxa" w:w="80"/>
              <w:bottom w:type="dxa" w:w="55"/>
              <w:right w:type="dxa" w:w="80"/>
            </w:tcMar>
            <w:vAlign w:val="center"/>
          </w:tcPr>
          <w:p>
            <w:r>
              <w:rPr>
                <w:sz w:val="15"/>
                <w:szCs w:val="15"/>
              </w:rPr>
              <w:t xml:space="preserve">Privacy Compliance</w:t>
            </w:r>
          </w:p>
        </w:tc>
        <w:tc>
          <w:tcPr>
            <w:tcW w:type="dxa" w:w="5600"/>
            <w:shd w:fill="FFFFFF" w:val="clear"/>
            <w:tcMar>
              <w:top w:type="dxa" w:w="55"/>
              <w:left w:type="dxa" w:w="80"/>
              <w:bottom w:type="dxa" w:w="55"/>
              <w:right w:type="dxa" w:w="80"/>
            </w:tcMar>
            <w:vAlign w:val="center"/>
          </w:tcPr>
          <w:p>
            <w:r>
              <w:rPr>
                <w:sz w:val="15"/>
                <w:szCs w:val="15"/>
              </w:rPr>
              <w:t xml:space="preserve">PDPL sign-off gate on TJ-008 before MVP launch; self-service deletion live at launch, not deferred</w:t>
            </w:r>
          </w:p>
        </w:tc>
        <w:tc>
          <w:tcPr>
            <w:tcW w:type="dxa" w:w="2150"/>
            <w:shd w:fill="FFFFFF" w:val="clear"/>
            <w:tcMar>
              <w:top w:type="dxa" w:w="55"/>
              <w:left w:type="dxa" w:w="80"/>
              <w:bottom w:type="dxa" w:w="55"/>
              <w:right w:type="dxa" w:w="80"/>
            </w:tcMar>
            <w:vAlign w:val="center"/>
          </w:tcPr>
          <w:p>
            <w:r>
              <w:rPr>
                <w:sz w:val="15"/>
                <w:szCs w:val="15"/>
              </w:rPr>
              <w:t xml:space="preserve">TJ-008</w:t>
            </w:r>
          </w:p>
        </w:tc>
      </w:tr>
      <w:tr>
        <w:tc>
          <w:tcPr>
            <w:tcW w:type="dxa" w:w="1600"/>
            <w:shd w:fill="F2F2F2" w:val="clear"/>
            <w:tcMar>
              <w:top w:type="dxa" w:w="55"/>
              <w:left w:type="dxa" w:w="80"/>
              <w:bottom w:type="dxa" w:w="55"/>
              <w:right w:type="dxa" w:w="80"/>
            </w:tcMar>
            <w:vAlign w:val="center"/>
          </w:tcPr>
          <w:p>
            <w:r>
              <w:rPr>
                <w:sz w:val="15"/>
                <w:szCs w:val="15"/>
              </w:rPr>
              <w:t xml:space="preserve">Secrets Management</w:t>
            </w:r>
          </w:p>
        </w:tc>
        <w:tc>
          <w:tcPr>
            <w:tcW w:type="dxa" w:w="5600"/>
            <w:shd w:fill="F2F2F2" w:val="clear"/>
            <w:tcMar>
              <w:top w:type="dxa" w:w="55"/>
              <w:left w:type="dxa" w:w="80"/>
              <w:bottom w:type="dxa" w:w="55"/>
              <w:right w:type="dxa" w:w="80"/>
            </w:tcMar>
            <w:vAlign w:val="center"/>
          </w:tcPr>
          <w:p>
            <w:r>
              <w:rPr>
                <w:sz w:val="15"/>
                <w:szCs w:val="15"/>
              </w:rPr>
              <w:t xml:space="preserve">AWS Secrets Manager, quarterly rotation, zero secrets in source control</w:t>
            </w:r>
          </w:p>
        </w:tc>
        <w:tc>
          <w:tcPr>
            <w:tcW w:type="dxa" w:w="2150"/>
            <w:shd w:fill="F2F2F2" w:val="clear"/>
            <w:tcMar>
              <w:top w:type="dxa" w:w="55"/>
              <w:left w:type="dxa" w:w="80"/>
              <w:bottom w:type="dxa" w:w="55"/>
              <w:right w:type="dxa" w:w="80"/>
            </w:tcMar>
            <w:vAlign w:val="center"/>
          </w:tcPr>
          <w:p>
            <w:r>
              <w:rPr>
                <w:sz w:val="15"/>
                <w:szCs w:val="15"/>
              </w:rPr>
              <w:t xml:space="preserve">EPIC-11 (Sprint 0)</w:t>
            </w:r>
          </w:p>
        </w:tc>
      </w:tr>
    </w:tbl>
    <w:p>
      <w:r>
        <w:br w:type="page"/>
      </w:r>
    </w:p>
    <w:p>
      <w:pPr>
        <w:pStyle w:val="Heading1"/>
        <w:pBdr>
          <w:bottom w:val="single" w:color="1F2A44" w:sz="8" w:space="4"/>
        </w:pBdr>
        <w:spacing w:after="190" w:before="380"/>
      </w:pPr>
      <w:r>
        <w:rPr>
          <w:b/>
          <w:bCs/>
          <w:color w:val="1F2A44"/>
          <w:sz w:val="28"/>
          <w:szCs w:val="28"/>
        </w:rPr>
        <w:t xml:space="preserve">12. AI Implementation Plan (V2 — not MVP)</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40"/>
              <w:left w:type="dxa" w:w="180"/>
              <w:bottom w:type="dxa" w:w="140"/>
              <w:right w:type="dxa" w:w="180"/>
            </w:tcMar>
          </w:tcPr>
          <w:p>
            <w:pPr>
              <w:spacing w:after="80"/>
            </w:pPr>
            <w:r>
              <w:rPr>
                <w:b/>
                <w:bCs/>
                <w:color w:val="D68910"/>
                <w:sz w:val="20"/>
                <w:szCs w:val="20"/>
              </w:rPr>
              <w:t xml:space="preserve">Scope reminder</w:t>
            </w:r>
          </w:p>
          <w:p>
            <w:pPr>
              <w:spacing w:after="45"/>
            </w:pPr>
            <w:r>
              <w:rPr>
                <w:sz w:val="18"/>
                <w:szCs w:val="18"/>
              </w:rPr>
              <w:t xml:space="preserve">• Per the FDD and Master PRD, AI is explicitly out of MVP/V1 scope. This plan exists so V2 engineering can begin without re-planning once the Egypt unit-economics gate is cleared.</w:t>
            </w:r>
          </w:p>
        </w:tc>
      </w:tr>
    </w:tbl>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7450"/>
      </w:tblGrid>
      <w:tr>
        <w:trPr>
          <w:tblHeader/>
        </w:trPr>
        <w:tc>
          <w:tcPr>
            <w:tcW w:type="dxa" w:w="1900"/>
            <w:shd w:fill="1F2A44" w:val="clear"/>
            <w:tcMar>
              <w:top w:type="dxa" w:w="70"/>
              <w:left w:type="dxa" w:w="90"/>
              <w:bottom w:type="dxa" w:w="70"/>
              <w:right w:type="dxa" w:w="90"/>
            </w:tcMar>
            <w:vAlign w:val="center"/>
          </w:tcPr>
          <w:p>
            <w:r>
              <w:rPr>
                <w:b/>
                <w:bCs/>
                <w:color w:val="FFFFFF"/>
                <w:sz w:val="15"/>
                <w:szCs w:val="15"/>
              </w:rPr>
              <w:t xml:space="preserve">Component</w:t>
            </w:r>
          </w:p>
        </w:tc>
        <w:tc>
          <w:tcPr>
            <w:tcW w:type="dxa" w:w="7450"/>
            <w:shd w:fill="1F2A44" w:val="clear"/>
            <w:tcMar>
              <w:top w:type="dxa" w:w="70"/>
              <w:left w:type="dxa" w:w="90"/>
              <w:bottom w:type="dxa" w:w="70"/>
              <w:right w:type="dxa" w:w="90"/>
            </w:tcMar>
            <w:vAlign w:val="center"/>
          </w:tcPr>
          <w:p>
            <w:r>
              <w:rPr>
                <w:b/>
                <w:bCs/>
                <w:color w:val="FFFFFF"/>
                <w:sz w:val="15"/>
                <w:szCs w:val="15"/>
              </w:rPr>
              <w:t xml:space="preserve">Plan</w:t>
            </w:r>
          </w:p>
        </w:tc>
      </w:tr>
      <w:tr>
        <w:tc>
          <w:tcPr>
            <w:tcW w:type="dxa" w:w="1900"/>
            <w:shd w:fill="FFFFFF" w:val="clear"/>
            <w:tcMar>
              <w:top w:type="dxa" w:w="55"/>
              <w:left w:type="dxa" w:w="80"/>
              <w:bottom w:type="dxa" w:w="55"/>
              <w:right w:type="dxa" w:w="80"/>
            </w:tcMar>
            <w:vAlign w:val="center"/>
          </w:tcPr>
          <w:p>
            <w:r>
              <w:rPr>
                <w:sz w:val="15"/>
                <w:szCs w:val="15"/>
              </w:rPr>
              <w:t xml:space="preserve">Prompt Library</w:t>
            </w:r>
          </w:p>
        </w:tc>
        <w:tc>
          <w:tcPr>
            <w:tcW w:type="dxa" w:w="7450"/>
            <w:shd w:fill="FFFFFF" w:val="clear"/>
            <w:tcMar>
              <w:top w:type="dxa" w:w="55"/>
              <w:left w:type="dxa" w:w="80"/>
              <w:bottom w:type="dxa" w:w="55"/>
              <w:right w:type="dxa" w:w="80"/>
            </w:tcMar>
            <w:vAlign w:val="center"/>
          </w:tcPr>
          <w:p>
            <w:r>
              <w:rPr>
                <w:sz w:val="15"/>
                <w:szCs w:val="15"/>
              </w:rPr>
              <w:t xml:space="preserve">Versioned prompt templates in a dedicated module, JSON-mode structured outputs, one template per insight-narrative type (segment comparison, purchase-intent summary)</w:t>
            </w:r>
          </w:p>
        </w:tc>
      </w:tr>
      <w:tr>
        <w:tc>
          <w:tcPr>
            <w:tcW w:type="dxa" w:w="1900"/>
            <w:shd w:fill="F2F2F2" w:val="clear"/>
            <w:tcMar>
              <w:top w:type="dxa" w:w="55"/>
              <w:left w:type="dxa" w:w="80"/>
              <w:bottom w:type="dxa" w:w="55"/>
              <w:right w:type="dxa" w:w="80"/>
            </w:tcMar>
            <w:vAlign w:val="center"/>
          </w:tcPr>
          <w:p>
            <w:r>
              <w:rPr>
                <w:sz w:val="15"/>
                <w:szCs w:val="15"/>
              </w:rPr>
              <w:t xml:space="preserve">Model Routing</w:t>
            </w:r>
          </w:p>
        </w:tc>
        <w:tc>
          <w:tcPr>
            <w:tcW w:type="dxa" w:w="7450"/>
            <w:shd w:fill="F2F2F2" w:val="clear"/>
            <w:tcMar>
              <w:top w:type="dxa" w:w="55"/>
              <w:left w:type="dxa" w:w="80"/>
              <w:bottom w:type="dxa" w:w="55"/>
              <w:right w:type="dxa" w:w="80"/>
            </w:tcMar>
            <w:vAlign w:val="center"/>
          </w:tcPr>
          <w:p>
            <w:r>
              <w:rPr>
                <w:sz w:val="15"/>
                <w:szCs w:val="15"/>
              </w:rPr>
              <w:t xml:space="preserve">AI Gateway service routes by task type/cost/latency across OpenAI and Anthropic; no hardcoded single-provider calls anywhere in application code</w:t>
            </w:r>
          </w:p>
        </w:tc>
      </w:tr>
      <w:tr>
        <w:tc>
          <w:tcPr>
            <w:tcW w:type="dxa" w:w="1900"/>
            <w:shd w:fill="FFFFFF" w:val="clear"/>
            <w:tcMar>
              <w:top w:type="dxa" w:w="55"/>
              <w:left w:type="dxa" w:w="80"/>
              <w:bottom w:type="dxa" w:w="55"/>
              <w:right w:type="dxa" w:w="80"/>
            </w:tcMar>
            <w:vAlign w:val="center"/>
          </w:tcPr>
          <w:p>
            <w:r>
              <w:rPr>
                <w:sz w:val="15"/>
                <w:szCs w:val="15"/>
              </w:rPr>
              <w:t xml:space="preserve">Fallback Strategy</w:t>
            </w:r>
          </w:p>
        </w:tc>
        <w:tc>
          <w:tcPr>
            <w:tcW w:type="dxa" w:w="7450"/>
            <w:shd w:fill="FFFFFF" w:val="clear"/>
            <w:tcMar>
              <w:top w:type="dxa" w:w="55"/>
              <w:left w:type="dxa" w:w="80"/>
              <w:bottom w:type="dxa" w:w="55"/>
              <w:right w:type="dxa" w:w="80"/>
            </w:tcMar>
            <w:vAlign w:val="center"/>
          </w:tcPr>
          <w:p>
            <w:r>
              <w:rPr>
                <w:sz w:val="15"/>
                <w:szCs w:val="15"/>
              </w:rPr>
              <w:t xml:space="preserve">Automatic failover to secondary provider on primary error/rate-limit; degraded-mode response (raw data only, no narrative) if both providers fail</w:t>
            </w:r>
          </w:p>
        </w:tc>
      </w:tr>
      <w:tr>
        <w:tc>
          <w:tcPr>
            <w:tcW w:type="dxa" w:w="1900"/>
            <w:shd w:fill="F2F2F2" w:val="clear"/>
            <w:tcMar>
              <w:top w:type="dxa" w:w="55"/>
              <w:left w:type="dxa" w:w="80"/>
              <w:bottom w:type="dxa" w:w="55"/>
              <w:right w:type="dxa" w:w="80"/>
            </w:tcMar>
            <w:vAlign w:val="center"/>
          </w:tcPr>
          <w:p>
            <w:r>
              <w:rPr>
                <w:sz w:val="15"/>
                <w:szCs w:val="15"/>
              </w:rPr>
              <w:t xml:space="preserve">RAG</w:t>
            </w:r>
          </w:p>
        </w:tc>
        <w:tc>
          <w:tcPr>
            <w:tcW w:type="dxa" w:w="7450"/>
            <w:shd w:fill="F2F2F2" w:val="clear"/>
            <w:tcMar>
              <w:top w:type="dxa" w:w="55"/>
              <w:left w:type="dxa" w:w="80"/>
              <w:bottom w:type="dxa" w:w="55"/>
              <w:right w:type="dxa" w:w="80"/>
            </w:tcMar>
            <w:vAlign w:val="center"/>
          </w:tcPr>
          <w:p>
            <w:r>
              <w:rPr>
                <w:sz w:val="15"/>
                <w:szCs w:val="15"/>
              </w:rPr>
              <w:t xml:space="preserve">Not built for V2 — deferred to a Future "ask your data" conversational feature only if validated as a real need</w:t>
            </w:r>
          </w:p>
        </w:tc>
      </w:tr>
      <w:tr>
        <w:tc>
          <w:tcPr>
            <w:tcW w:type="dxa" w:w="1900"/>
            <w:shd w:fill="FFFFFF" w:val="clear"/>
            <w:tcMar>
              <w:top w:type="dxa" w:w="55"/>
              <w:left w:type="dxa" w:w="80"/>
              <w:bottom w:type="dxa" w:w="55"/>
              <w:right w:type="dxa" w:w="80"/>
            </w:tcMar>
            <w:vAlign w:val="center"/>
          </w:tcPr>
          <w:p>
            <w:r>
              <w:rPr>
                <w:sz w:val="15"/>
                <w:szCs w:val="15"/>
              </w:rPr>
              <w:t xml:space="preserve">Embeddings / Vector DB</w:t>
            </w:r>
          </w:p>
        </w:tc>
        <w:tc>
          <w:tcPr>
            <w:tcW w:type="dxa" w:w="7450"/>
            <w:shd w:fill="FFFFFF" w:val="clear"/>
            <w:tcMar>
              <w:top w:type="dxa" w:w="55"/>
              <w:left w:type="dxa" w:w="80"/>
              <w:bottom w:type="dxa" w:w="55"/>
              <w:right w:type="dxa" w:w="80"/>
            </w:tcMar>
            <w:vAlign w:val="center"/>
          </w:tcPr>
          <w:p>
            <w:r>
              <w:rPr>
                <w:sz w:val="15"/>
                <w:szCs w:val="15"/>
              </w:rPr>
              <w:t xml:space="preserve">Not built for V2 — same rationale as RAG</w:t>
            </w:r>
          </w:p>
        </w:tc>
      </w:tr>
      <w:tr>
        <w:tc>
          <w:tcPr>
            <w:tcW w:type="dxa" w:w="1900"/>
            <w:shd w:fill="F2F2F2" w:val="clear"/>
            <w:tcMar>
              <w:top w:type="dxa" w:w="55"/>
              <w:left w:type="dxa" w:w="80"/>
              <w:bottom w:type="dxa" w:w="55"/>
              <w:right w:type="dxa" w:w="80"/>
            </w:tcMar>
            <w:vAlign w:val="center"/>
          </w:tcPr>
          <w:p>
            <w:r>
              <w:rPr>
                <w:sz w:val="15"/>
                <w:szCs w:val="15"/>
              </w:rPr>
              <w:t xml:space="preserve">Knowledge Base</w:t>
            </w:r>
          </w:p>
        </w:tc>
        <w:tc>
          <w:tcPr>
            <w:tcW w:type="dxa" w:w="7450"/>
            <w:shd w:fill="F2F2F2" w:val="clear"/>
            <w:tcMar>
              <w:top w:type="dxa" w:w="55"/>
              <w:left w:type="dxa" w:w="80"/>
              <w:bottom w:type="dxa" w:w="55"/>
              <w:right w:type="dxa" w:w="80"/>
            </w:tcMar>
            <w:vAlign w:val="center"/>
          </w:tcPr>
          <w:p>
            <w:r>
              <w:rPr>
                <w:sz w:val="15"/>
                <w:szCs w:val="15"/>
              </w:rPr>
              <w:t xml:space="preserve">Analytics warehouse (BigQuery/Snowflake) is the source of truth; no separate KB</w:t>
            </w:r>
          </w:p>
        </w:tc>
      </w:tr>
      <w:tr>
        <w:tc>
          <w:tcPr>
            <w:tcW w:type="dxa" w:w="1900"/>
            <w:shd w:fill="FFFFFF" w:val="clear"/>
            <w:tcMar>
              <w:top w:type="dxa" w:w="55"/>
              <w:left w:type="dxa" w:w="80"/>
              <w:bottom w:type="dxa" w:w="55"/>
              <w:right w:type="dxa" w:w="80"/>
            </w:tcMar>
            <w:vAlign w:val="center"/>
          </w:tcPr>
          <w:p>
            <w:r>
              <w:rPr>
                <w:sz w:val="15"/>
                <w:szCs w:val="15"/>
              </w:rPr>
              <w:t xml:space="preserve">Evaluation</w:t>
            </w:r>
          </w:p>
        </w:tc>
        <w:tc>
          <w:tcPr>
            <w:tcW w:type="dxa" w:w="7450"/>
            <w:shd w:fill="FFFFFF" w:val="clear"/>
            <w:tcMar>
              <w:top w:type="dxa" w:w="55"/>
              <w:left w:type="dxa" w:w="80"/>
              <w:bottom w:type="dxa" w:w="55"/>
              <w:right w:type="dxa" w:w="80"/>
            </w:tcMar>
            <w:vAlign w:val="center"/>
          </w:tcPr>
          <w:p>
            <w:r>
              <w:rPr>
                <w:sz w:val="15"/>
                <w:szCs w:val="15"/>
              </w:rPr>
              <w:t xml:space="preserve">Golden-set evaluation: a fixed set of historical campaign datasets with human-reviewed "correct" narratives, regression-tested against every prompt-template change</w:t>
            </w:r>
          </w:p>
        </w:tc>
      </w:tr>
      <w:tr>
        <w:tc>
          <w:tcPr>
            <w:tcW w:type="dxa" w:w="1900"/>
            <w:shd w:fill="F2F2F2" w:val="clear"/>
            <w:tcMar>
              <w:top w:type="dxa" w:w="55"/>
              <w:left w:type="dxa" w:w="80"/>
              <w:bottom w:type="dxa" w:w="55"/>
              <w:right w:type="dxa" w:w="80"/>
            </w:tcMar>
            <w:vAlign w:val="center"/>
          </w:tcPr>
          <w:p>
            <w:r>
              <w:rPr>
                <w:sz w:val="15"/>
                <w:szCs w:val="15"/>
              </w:rPr>
              <w:t xml:space="preserve">Prompt Versioning</w:t>
            </w:r>
          </w:p>
        </w:tc>
        <w:tc>
          <w:tcPr>
            <w:tcW w:type="dxa" w:w="7450"/>
            <w:shd w:fill="F2F2F2" w:val="clear"/>
            <w:tcMar>
              <w:top w:type="dxa" w:w="55"/>
              <w:left w:type="dxa" w:w="80"/>
              <w:bottom w:type="dxa" w:w="55"/>
              <w:right w:type="dxa" w:w="80"/>
            </w:tcMar>
            <w:vAlign w:val="center"/>
          </w:tcPr>
          <w:p>
            <w:r>
              <w:rPr>
                <w:sz w:val="15"/>
                <w:szCs w:val="15"/>
              </w:rPr>
              <w:t xml:space="preserve">Every prompt template versioned in source control; A/B capability to compare narrative quality across versions before full rollout</w:t>
            </w:r>
          </w:p>
        </w:tc>
      </w:tr>
      <w:tr>
        <w:tc>
          <w:tcPr>
            <w:tcW w:type="dxa" w:w="1900"/>
            <w:shd w:fill="FFFFFF" w:val="clear"/>
            <w:tcMar>
              <w:top w:type="dxa" w:w="55"/>
              <w:left w:type="dxa" w:w="80"/>
              <w:bottom w:type="dxa" w:w="55"/>
              <w:right w:type="dxa" w:w="80"/>
            </w:tcMar>
            <w:vAlign w:val="center"/>
          </w:tcPr>
          <w:p>
            <w:r>
              <w:rPr>
                <w:sz w:val="15"/>
                <w:szCs w:val="15"/>
              </w:rPr>
              <w:t xml:space="preserve">Caching</w:t>
            </w:r>
          </w:p>
        </w:tc>
        <w:tc>
          <w:tcPr>
            <w:tcW w:type="dxa" w:w="7450"/>
            <w:shd w:fill="FFFFFF" w:val="clear"/>
            <w:tcMar>
              <w:top w:type="dxa" w:w="55"/>
              <w:left w:type="dxa" w:w="80"/>
              <w:bottom w:type="dxa" w:w="55"/>
              <w:right w:type="dxa" w:w="80"/>
            </w:tcMar>
            <w:vAlign w:val="center"/>
          </w:tcPr>
          <w:p>
            <w:r>
              <w:rPr>
                <w:sz w:val="15"/>
                <w:szCs w:val="15"/>
              </w:rPr>
              <w:t xml:space="preserve">Cache repeated/near-identical insight requests; TTL tied to campaign data freshness</w:t>
            </w:r>
          </w:p>
        </w:tc>
      </w:tr>
      <w:tr>
        <w:tc>
          <w:tcPr>
            <w:tcW w:type="dxa" w:w="1900"/>
            <w:shd w:fill="F2F2F2" w:val="clear"/>
            <w:tcMar>
              <w:top w:type="dxa" w:w="55"/>
              <w:left w:type="dxa" w:w="80"/>
              <w:bottom w:type="dxa" w:w="55"/>
              <w:right w:type="dxa" w:w="80"/>
            </w:tcMar>
            <w:vAlign w:val="center"/>
          </w:tcPr>
          <w:p>
            <w:r>
              <w:rPr>
                <w:sz w:val="15"/>
                <w:szCs w:val="15"/>
              </w:rPr>
              <w:t xml:space="preserve">Cost Monitoring</w:t>
            </w:r>
          </w:p>
        </w:tc>
        <w:tc>
          <w:tcPr>
            <w:tcW w:type="dxa" w:w="7450"/>
            <w:shd w:fill="F2F2F2" w:val="clear"/>
            <w:tcMar>
              <w:top w:type="dxa" w:w="55"/>
              <w:left w:type="dxa" w:w="80"/>
              <w:bottom w:type="dxa" w:w="55"/>
              <w:right w:type="dxa" w:w="80"/>
            </w:tcMar>
            <w:vAlign w:val="center"/>
          </w:tcPr>
          <w:p>
            <w:r>
              <w:rPr>
                <w:sz w:val="15"/>
                <w:szCs w:val="15"/>
              </w:rPr>
              <w:t xml:space="preserve">Token-usage dashboard tied to Finance KPIs (FDD Budget Philosophy); per-brand-account cost attribution</w:t>
            </w:r>
          </w:p>
        </w:tc>
      </w:tr>
      <w:tr>
        <w:tc>
          <w:tcPr>
            <w:tcW w:type="dxa" w:w="1900"/>
            <w:shd w:fill="FFFFFF" w:val="clear"/>
            <w:tcMar>
              <w:top w:type="dxa" w:w="55"/>
              <w:left w:type="dxa" w:w="80"/>
              <w:bottom w:type="dxa" w:w="55"/>
              <w:right w:type="dxa" w:w="80"/>
            </w:tcMar>
            <w:vAlign w:val="center"/>
          </w:tcPr>
          <w:p>
            <w:r>
              <w:rPr>
                <w:sz w:val="15"/>
                <w:szCs w:val="15"/>
              </w:rPr>
              <w:t xml:space="preserve">Safety</w:t>
            </w:r>
          </w:p>
        </w:tc>
        <w:tc>
          <w:tcPr>
            <w:tcW w:type="dxa" w:w="7450"/>
            <w:shd w:fill="FFFFFF" w:val="clear"/>
            <w:tcMar>
              <w:top w:type="dxa" w:w="55"/>
              <w:left w:type="dxa" w:w="80"/>
              <w:bottom w:type="dxa" w:w="55"/>
              <w:right w:type="dxa" w:w="80"/>
            </w:tcMar>
            <w:vAlign w:val="center"/>
          </w:tcPr>
          <w:p>
            <w:r>
              <w:rPr>
                <w:sz w:val="15"/>
                <w:szCs w:val="15"/>
              </w:rPr>
              <w:t xml:space="preserve">No insight narrative ships without a sample-size/confidence disclaimer, per FDD Communication Principles — enforced at the template level, not left to model discretion</w:t>
            </w:r>
          </w:p>
        </w:tc>
      </w:tr>
      <w:tr>
        <w:tc>
          <w:tcPr>
            <w:tcW w:type="dxa" w:w="1900"/>
            <w:shd w:fill="F2F2F2" w:val="clear"/>
            <w:tcMar>
              <w:top w:type="dxa" w:w="55"/>
              <w:left w:type="dxa" w:w="80"/>
              <w:bottom w:type="dxa" w:w="55"/>
              <w:right w:type="dxa" w:w="80"/>
            </w:tcMar>
            <w:vAlign w:val="center"/>
          </w:tcPr>
          <w:p>
            <w:r>
              <w:rPr>
                <w:sz w:val="15"/>
                <w:szCs w:val="15"/>
              </w:rPr>
              <w:t xml:space="preserve">Hallucination Detection</w:t>
            </w:r>
          </w:p>
        </w:tc>
        <w:tc>
          <w:tcPr>
            <w:tcW w:type="dxa" w:w="7450"/>
            <w:shd w:fill="F2F2F2" w:val="clear"/>
            <w:tcMar>
              <w:top w:type="dxa" w:w="55"/>
              <w:left w:type="dxa" w:w="80"/>
              <w:bottom w:type="dxa" w:w="55"/>
              <w:right w:type="dxa" w:w="80"/>
            </w:tcMar>
            <w:vAlign w:val="center"/>
          </w:tcPr>
          <w:p>
            <w:r>
              <w:rPr>
                <w:sz w:val="15"/>
                <w:szCs w:val="15"/>
              </w:rPr>
              <w:t xml:space="preserve">Narrative claims are grounded by construction — the prompt only receives the campaign's actual structured data, with explicit instruction to state "insufficient data" rather than infer beyond the sample; evaluation suite includes adversarial low-sample-size test cases</w:t>
            </w:r>
          </w:p>
        </w:tc>
      </w:tr>
    </w:tbl>
    <w:p>
      <w:r>
        <w:br w:type="page"/>
      </w:r>
    </w:p>
    <w:p>
      <w:pPr>
        <w:pStyle w:val="Heading1"/>
        <w:pBdr>
          <w:bottom w:val="single" w:color="1F2A44" w:sz="8" w:space="4"/>
        </w:pBdr>
        <w:spacing w:after="190" w:before="380"/>
      </w:pPr>
      <w:r>
        <w:rPr>
          <w:b/>
          <w:bCs/>
          <w:color w:val="1F2A44"/>
          <w:sz w:val="28"/>
          <w:szCs w:val="28"/>
        </w:rPr>
        <w:t xml:space="preserve">13. Operational Readiness Plan</w:t>
      </w:r>
    </w:p>
    <w:p>
      <w:pPr>
        <w:pStyle w:val="Heading2"/>
        <w:spacing w:after="120" w:before="240"/>
      </w:pPr>
      <w:r>
        <w:rPr>
          <w:b/>
          <w:bCs/>
          <w:color w:val="1F2A44"/>
          <w:sz w:val="22"/>
          <w:szCs w:val="22"/>
        </w:rPr>
        <w:t xml:space="preserve">Runbooks (required before Private Beta)</w:t>
      </w:r>
    </w:p>
    <w:p>
      <w:pPr>
        <w:pStyle w:val="ListParagraph"/>
        <w:numPr>
          <w:ilvl w:val="0"/>
          <w:numId w:val="1"/>
        </w:numPr>
        <w:spacing w:after="55"/>
      </w:pPr>
      <w:r>
        <w:rPr>
          <w:sz w:val="19"/>
          <w:szCs w:val="19"/>
        </w:rPr>
        <w:t xml:space="preserve">OTP/SMS provider outage — fallback and consumer communication steps.</w:t>
      </w:r>
    </w:p>
    <w:p>
      <w:pPr>
        <w:pStyle w:val="ListParagraph"/>
        <w:numPr>
          <w:ilvl w:val="0"/>
          <w:numId w:val="1"/>
        </w:numPr>
        <w:spacing w:after="55"/>
      </w:pPr>
      <w:r>
        <w:rPr>
          <w:sz w:val="19"/>
          <w:szCs w:val="19"/>
        </w:rPr>
        <w:t xml:space="preserve">QR dispute resolution for field staff (already-redeemed complaints).</w:t>
      </w:r>
    </w:p>
    <w:p>
      <w:pPr>
        <w:pStyle w:val="ListParagraph"/>
        <w:numPr>
          <w:ilvl w:val="0"/>
          <w:numId w:val="1"/>
        </w:numPr>
        <w:spacing w:after="55"/>
      </w:pPr>
      <w:r>
        <w:rPr>
          <w:sz w:val="19"/>
          <w:szCs w:val="19"/>
        </w:rPr>
        <w:t xml:space="preserve">Notification-provider (WhatsApp/push) outage fallback.</w:t>
      </w:r>
    </w:p>
    <w:p>
      <w:pPr>
        <w:pStyle w:val="ListParagraph"/>
        <w:numPr>
          <w:ilvl w:val="0"/>
          <w:numId w:val="1"/>
        </w:numPr>
        <w:spacing w:after="55"/>
      </w:pPr>
      <w:r>
        <w:rPr>
          <w:sz w:val="19"/>
          <w:szCs w:val="19"/>
        </w:rPr>
        <w:t xml:space="preserve">Manual brand account creation (CS runbook, pre-self-serve).</w:t>
      </w:r>
    </w:p>
    <w:p>
      <w:pPr>
        <w:pStyle w:val="ListParagraph"/>
        <w:numPr>
          <w:ilvl w:val="0"/>
          <w:numId w:val="1"/>
        </w:numPr>
        <w:spacing w:after="55"/>
      </w:pPr>
      <w:r>
        <w:rPr>
          <w:sz w:val="19"/>
          <w:szCs w:val="19"/>
        </w:rPr>
        <w:t xml:space="preserve">PDPL data-deletion request handling and verification.</w:t>
      </w:r>
    </w:p>
    <w:p>
      <w:pPr>
        <w:pStyle w:val="Heading2"/>
        <w:spacing w:after="120" w:before="240"/>
      </w:pPr>
      <w:r>
        <w:rPr>
          <w:b/>
          <w:bCs/>
          <w:color w:val="1F2A44"/>
          <w:sz w:val="22"/>
          <w:szCs w:val="22"/>
        </w:rPr>
        <w:t xml:space="preserve">Playbooks</w:t>
      </w:r>
    </w:p>
    <w:p>
      <w:pPr>
        <w:pStyle w:val="ListParagraph"/>
        <w:numPr>
          <w:ilvl w:val="0"/>
          <w:numId w:val="1"/>
        </w:numPr>
        <w:spacing w:after="55"/>
      </w:pPr>
      <w:r>
        <w:rPr>
          <w:sz w:val="19"/>
          <w:szCs w:val="19"/>
        </w:rPr>
        <w:t xml:space="preserve">P0 incident response (data corruption, security breach, core-loop outage).</w:t>
      </w:r>
    </w:p>
    <w:p>
      <w:pPr>
        <w:pStyle w:val="ListParagraph"/>
        <w:numPr>
          <w:ilvl w:val="0"/>
          <w:numId w:val="1"/>
        </w:numPr>
        <w:spacing w:after="55"/>
      </w:pPr>
      <w:r>
        <w:rPr>
          <w:sz w:val="19"/>
          <w:szCs w:val="19"/>
        </w:rPr>
        <w:t xml:space="preserve">Fraud-spike response (Fraud Review Queue escalation).</w:t>
      </w:r>
    </w:p>
    <w:p>
      <w:pPr>
        <w:pStyle w:val="ListParagraph"/>
        <w:numPr>
          <w:ilvl w:val="0"/>
          <w:numId w:val="1"/>
        </w:numPr>
        <w:spacing w:after="55"/>
      </w:pPr>
      <w:r>
        <w:rPr>
          <w:sz w:val="19"/>
          <w:szCs w:val="19"/>
        </w:rPr>
        <w:t xml:space="preserve">Campaign fulfillment failure (stock/location issue) response.</w:t>
      </w:r>
    </w:p>
    <w:p>
      <w:pPr>
        <w:pStyle w:val="Heading2"/>
        <w:spacing w:after="120" w:before="240"/>
      </w:pPr>
      <w:r>
        <w:rPr>
          <w:b/>
          <w:bCs/>
          <w:color w:val="1F2A44"/>
          <w:sz w:val="22"/>
          <w:szCs w:val="22"/>
        </w:rPr>
        <w:t xml:space="preserve">Incident Management</w:t>
      </w:r>
    </w:p>
    <w:p>
      <w:pPr>
        <w:spacing w:after="110" w:line="260"/>
      </w:pPr>
      <w:r>
        <w:rPr>
          <w:sz w:val="19"/>
          <w:szCs w:val="19"/>
        </w:rPr>
        <w:t xml:space="preserve">Severity levels match the Bug Severity Matrix (Section 9). P0 incidents trigger immediate CEO/CTO/Legal notification per FDD escalation rule. Post-incident, a blameless retrospective is logged in the Lessons Learned template (Section 15).</w:t>
      </w:r>
    </w:p>
    <w:p>
      <w:pPr>
        <w:pStyle w:val="Heading2"/>
        <w:spacing w:after="120" w:before="240"/>
      </w:pPr>
      <w:r>
        <w:rPr>
          <w:b/>
          <w:bCs/>
          <w:color w:val="1F2A44"/>
          <w:sz w:val="22"/>
          <w:szCs w:val="22"/>
        </w:rPr>
        <w:t xml:space="preserve">Support &amp; Maintenance Procedures</w:t>
      </w:r>
    </w:p>
    <w:p>
      <w:pPr>
        <w:spacing w:after="110" w:line="260"/>
      </w:pPr>
      <w:r>
        <w:rPr>
          <w:sz w:val="19"/>
          <w:szCs w:val="19"/>
        </w:rPr>
        <w:t xml:space="preserve">Consumer support: in-app ticket, &lt;4hr response / &lt;24hr resolution SLA (per PRD). Brand support: dedicated CS contact, relationship-based (per FDD, not ticket-queue). Maintenance windows: scheduled outside Egypt peak usage hours, communicated 48hrs in advance.</w:t>
      </w:r>
    </w:p>
    <w:p>
      <w:pPr>
        <w:pStyle w:val="Heading2"/>
        <w:spacing w:after="120" w:before="240"/>
      </w:pPr>
      <w:r>
        <w:rPr>
          <w:b/>
          <w:bCs/>
          <w:color w:val="1F2A44"/>
          <w:sz w:val="22"/>
          <w:szCs w:val="22"/>
        </w:rPr>
        <w:t xml:space="preserve">Escalation Matrix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2600"/>
        <w:gridCol w:w="2600"/>
        <w:gridCol w:w="2850"/>
      </w:tblGrid>
      <w:tr>
        <w:trPr>
          <w:tblHeader/>
        </w:trPr>
        <w:tc>
          <w:tcPr>
            <w:tcW w:type="dxa" w:w="1300"/>
            <w:shd w:fill="1F2A44" w:val="clear"/>
            <w:tcMar>
              <w:top w:type="dxa" w:w="70"/>
              <w:left w:type="dxa" w:w="90"/>
              <w:bottom w:type="dxa" w:w="70"/>
              <w:right w:type="dxa" w:w="90"/>
            </w:tcMar>
            <w:vAlign w:val="center"/>
          </w:tcPr>
          <w:p>
            <w:r>
              <w:rPr>
                <w:b/>
                <w:bCs/>
                <w:color w:val="FFFFFF"/>
                <w:sz w:val="15"/>
                <w:szCs w:val="15"/>
              </w:rPr>
              <w:t xml:space="preserve">Severity</w:t>
            </w:r>
          </w:p>
        </w:tc>
        <w:tc>
          <w:tcPr>
            <w:tcW w:type="dxa" w:w="2600"/>
            <w:shd w:fill="1F2A44" w:val="clear"/>
            <w:tcMar>
              <w:top w:type="dxa" w:w="70"/>
              <w:left w:type="dxa" w:w="90"/>
              <w:bottom w:type="dxa" w:w="70"/>
              <w:right w:type="dxa" w:w="90"/>
            </w:tcMar>
            <w:vAlign w:val="center"/>
          </w:tcPr>
          <w:p>
            <w:r>
              <w:rPr>
                <w:b/>
                <w:bCs/>
                <w:color w:val="FFFFFF"/>
                <w:sz w:val="15"/>
                <w:szCs w:val="15"/>
              </w:rPr>
              <w:t xml:space="preserve">First Responder</w:t>
            </w:r>
          </w:p>
        </w:tc>
        <w:tc>
          <w:tcPr>
            <w:tcW w:type="dxa" w:w="2600"/>
            <w:shd w:fill="1F2A44" w:val="clear"/>
            <w:tcMar>
              <w:top w:type="dxa" w:w="70"/>
              <w:left w:type="dxa" w:w="90"/>
              <w:bottom w:type="dxa" w:w="70"/>
              <w:right w:type="dxa" w:w="90"/>
            </w:tcMar>
            <w:vAlign w:val="center"/>
          </w:tcPr>
          <w:p>
            <w:r>
              <w:rPr>
                <w:b/>
                <w:bCs/>
                <w:color w:val="FFFFFF"/>
                <w:sz w:val="15"/>
                <w:szCs w:val="15"/>
              </w:rPr>
              <w:t xml:space="preserve">Escalates To</w:t>
            </w:r>
          </w:p>
        </w:tc>
        <w:tc>
          <w:tcPr>
            <w:tcW w:type="dxa" w:w="2850"/>
            <w:shd w:fill="1F2A44" w:val="clear"/>
            <w:tcMar>
              <w:top w:type="dxa" w:w="70"/>
              <w:left w:type="dxa" w:w="90"/>
              <w:bottom w:type="dxa" w:w="70"/>
              <w:right w:type="dxa" w:w="90"/>
            </w:tcMar>
            <w:vAlign w:val="center"/>
          </w:tcPr>
          <w:p>
            <w:r>
              <w:rPr>
                <w:b/>
                <w:bCs/>
                <w:color w:val="FFFFFF"/>
                <w:sz w:val="15"/>
                <w:szCs w:val="15"/>
              </w:rPr>
              <w:t xml:space="preserve">Timeframe</w:t>
            </w:r>
          </w:p>
        </w:tc>
      </w:tr>
      <w:tr>
        <w:tc>
          <w:tcPr>
            <w:tcW w:type="dxa" w:w="1300"/>
            <w:shd w:fill="FFFFFF" w:val="clear"/>
            <w:tcMar>
              <w:top w:type="dxa" w:w="55"/>
              <w:left w:type="dxa" w:w="80"/>
              <w:bottom w:type="dxa" w:w="55"/>
              <w:right w:type="dxa" w:w="80"/>
            </w:tcMar>
            <w:vAlign w:val="center"/>
          </w:tcPr>
          <w:p>
            <w:r>
              <w:rPr>
                <w:sz w:val="15"/>
                <w:szCs w:val="15"/>
              </w:rPr>
              <w:t xml:space="preserve">P0</w:t>
            </w:r>
          </w:p>
        </w:tc>
        <w:tc>
          <w:tcPr>
            <w:tcW w:type="dxa" w:w="2600"/>
            <w:shd w:fill="FFFFFF" w:val="clear"/>
            <w:tcMar>
              <w:top w:type="dxa" w:w="55"/>
              <w:left w:type="dxa" w:w="80"/>
              <w:bottom w:type="dxa" w:w="55"/>
              <w:right w:type="dxa" w:w="80"/>
            </w:tcMar>
            <w:vAlign w:val="center"/>
          </w:tcPr>
          <w:p>
            <w:r>
              <w:rPr>
                <w:sz w:val="15"/>
                <w:szCs w:val="15"/>
              </w:rPr>
              <w:t xml:space="preserve">On-call engineer</w:t>
            </w:r>
          </w:p>
        </w:tc>
        <w:tc>
          <w:tcPr>
            <w:tcW w:type="dxa" w:w="2600"/>
            <w:shd w:fill="FFFFFF" w:val="clear"/>
            <w:tcMar>
              <w:top w:type="dxa" w:w="55"/>
              <w:left w:type="dxa" w:w="80"/>
              <w:bottom w:type="dxa" w:w="55"/>
              <w:right w:type="dxa" w:w="80"/>
            </w:tcMar>
            <w:vAlign w:val="center"/>
          </w:tcPr>
          <w:p>
            <w:r>
              <w:rPr>
                <w:sz w:val="15"/>
                <w:szCs w:val="15"/>
              </w:rPr>
              <w:t xml:space="preserve">CTO + CEO</w:t>
            </w:r>
          </w:p>
        </w:tc>
        <w:tc>
          <w:tcPr>
            <w:tcW w:type="dxa" w:w="2850"/>
            <w:shd w:fill="FFFFFF" w:val="clear"/>
            <w:tcMar>
              <w:top w:type="dxa" w:w="55"/>
              <w:left w:type="dxa" w:w="80"/>
              <w:bottom w:type="dxa" w:w="55"/>
              <w:right w:type="dxa" w:w="80"/>
            </w:tcMar>
            <w:vAlign w:val="center"/>
          </w:tcPr>
          <w:p>
            <w:r>
              <w:rPr>
                <w:sz w:val="15"/>
                <w:szCs w:val="15"/>
              </w:rPr>
              <w:t xml:space="preserve">Immediate</w:t>
            </w:r>
          </w:p>
        </w:tc>
      </w:tr>
      <w:tr>
        <w:tc>
          <w:tcPr>
            <w:tcW w:type="dxa" w:w="1300"/>
            <w:shd w:fill="F2F2F2" w:val="clear"/>
            <w:tcMar>
              <w:top w:type="dxa" w:w="55"/>
              <w:left w:type="dxa" w:w="80"/>
              <w:bottom w:type="dxa" w:w="55"/>
              <w:right w:type="dxa" w:w="80"/>
            </w:tcMar>
            <w:vAlign w:val="center"/>
          </w:tcPr>
          <w:p>
            <w:r>
              <w:rPr>
                <w:sz w:val="15"/>
                <w:szCs w:val="15"/>
              </w:rPr>
              <w:t xml:space="preserve">P1</w:t>
            </w:r>
          </w:p>
        </w:tc>
        <w:tc>
          <w:tcPr>
            <w:tcW w:type="dxa" w:w="2600"/>
            <w:shd w:fill="F2F2F2" w:val="clear"/>
            <w:tcMar>
              <w:top w:type="dxa" w:w="55"/>
              <w:left w:type="dxa" w:w="80"/>
              <w:bottom w:type="dxa" w:w="55"/>
              <w:right w:type="dxa" w:w="80"/>
            </w:tcMar>
            <w:vAlign w:val="center"/>
          </w:tcPr>
          <w:p>
            <w:r>
              <w:rPr>
                <w:sz w:val="15"/>
                <w:szCs w:val="15"/>
              </w:rPr>
              <w:t xml:space="preserve">On-call engineer</w:t>
            </w:r>
          </w:p>
        </w:tc>
        <w:tc>
          <w:tcPr>
            <w:tcW w:type="dxa" w:w="2600"/>
            <w:shd w:fill="F2F2F2" w:val="clear"/>
            <w:tcMar>
              <w:top w:type="dxa" w:w="55"/>
              <w:left w:type="dxa" w:w="80"/>
              <w:bottom w:type="dxa" w:w="55"/>
              <w:right w:type="dxa" w:w="80"/>
            </w:tcMar>
            <w:vAlign w:val="center"/>
          </w:tcPr>
          <w:p>
            <w:r>
              <w:rPr>
                <w:sz w:val="15"/>
                <w:szCs w:val="15"/>
              </w:rPr>
              <w:t xml:space="preserve">Backend/Frontend lead</w:t>
            </w:r>
          </w:p>
        </w:tc>
        <w:tc>
          <w:tcPr>
            <w:tcW w:type="dxa" w:w="2850"/>
            <w:shd w:fill="F2F2F2" w:val="clear"/>
            <w:tcMar>
              <w:top w:type="dxa" w:w="55"/>
              <w:left w:type="dxa" w:w="80"/>
              <w:bottom w:type="dxa" w:w="55"/>
              <w:right w:type="dxa" w:w="80"/>
            </w:tcMar>
            <w:vAlign w:val="center"/>
          </w:tcPr>
          <w:p>
            <w:r>
              <w:rPr>
                <w:sz w:val="15"/>
                <w:szCs w:val="15"/>
              </w:rPr>
              <w:t xml:space="preserve">Within 2 hours</w:t>
            </w:r>
          </w:p>
        </w:tc>
      </w:tr>
      <w:tr>
        <w:tc>
          <w:tcPr>
            <w:tcW w:type="dxa" w:w="1300"/>
            <w:shd w:fill="FFFFFF" w:val="clear"/>
            <w:tcMar>
              <w:top w:type="dxa" w:w="55"/>
              <w:left w:type="dxa" w:w="80"/>
              <w:bottom w:type="dxa" w:w="55"/>
              <w:right w:type="dxa" w:w="80"/>
            </w:tcMar>
            <w:vAlign w:val="center"/>
          </w:tcPr>
          <w:p>
            <w:r>
              <w:rPr>
                <w:sz w:val="15"/>
                <w:szCs w:val="15"/>
              </w:rPr>
              <w:t xml:space="preserve">P2</w:t>
            </w:r>
          </w:p>
        </w:tc>
        <w:tc>
          <w:tcPr>
            <w:tcW w:type="dxa" w:w="2600"/>
            <w:shd w:fill="FFFFFF" w:val="clear"/>
            <w:tcMar>
              <w:top w:type="dxa" w:w="55"/>
              <w:left w:type="dxa" w:w="80"/>
              <w:bottom w:type="dxa" w:w="55"/>
              <w:right w:type="dxa" w:w="80"/>
            </w:tcMar>
            <w:vAlign w:val="center"/>
          </w:tcPr>
          <w:p>
            <w:r>
              <w:rPr>
                <w:sz w:val="15"/>
                <w:szCs w:val="15"/>
              </w:rPr>
              <w:t xml:space="preserve">Support Agent / assigned engineer</w:t>
            </w:r>
          </w:p>
        </w:tc>
        <w:tc>
          <w:tcPr>
            <w:tcW w:type="dxa" w:w="2600"/>
            <w:shd w:fill="FFFFFF" w:val="clear"/>
            <w:tcMar>
              <w:top w:type="dxa" w:w="55"/>
              <w:left w:type="dxa" w:w="80"/>
              <w:bottom w:type="dxa" w:w="55"/>
              <w:right w:type="dxa" w:w="80"/>
            </w:tcMar>
            <w:vAlign w:val="center"/>
          </w:tcPr>
          <w:p>
            <w:r>
              <w:rPr>
                <w:sz w:val="15"/>
                <w:szCs w:val="15"/>
              </w:rPr>
              <w:t xml:space="preserve">Team lead</w:t>
            </w:r>
          </w:p>
        </w:tc>
        <w:tc>
          <w:tcPr>
            <w:tcW w:type="dxa" w:w="2850"/>
            <w:shd w:fill="FFFFFF" w:val="clear"/>
            <w:tcMar>
              <w:top w:type="dxa" w:w="55"/>
              <w:left w:type="dxa" w:w="80"/>
              <w:bottom w:type="dxa" w:w="55"/>
              <w:right w:type="dxa" w:w="80"/>
            </w:tcMar>
            <w:vAlign w:val="center"/>
          </w:tcPr>
          <w:p>
            <w:r>
              <w:rPr>
                <w:sz w:val="15"/>
                <w:szCs w:val="15"/>
              </w:rPr>
              <w:t xml:space="preserve">Within 1 business day</w:t>
            </w:r>
          </w:p>
        </w:tc>
      </w:tr>
      <w:tr>
        <w:tc>
          <w:tcPr>
            <w:tcW w:type="dxa" w:w="1300"/>
            <w:shd w:fill="F2F2F2" w:val="clear"/>
            <w:tcMar>
              <w:top w:type="dxa" w:w="55"/>
              <w:left w:type="dxa" w:w="80"/>
              <w:bottom w:type="dxa" w:w="55"/>
              <w:right w:type="dxa" w:w="80"/>
            </w:tcMar>
            <w:vAlign w:val="center"/>
          </w:tcPr>
          <w:p>
            <w:r>
              <w:rPr>
                <w:sz w:val="15"/>
                <w:szCs w:val="15"/>
              </w:rPr>
              <w:t xml:space="preserve">P3</w:t>
            </w:r>
          </w:p>
        </w:tc>
        <w:tc>
          <w:tcPr>
            <w:tcW w:type="dxa" w:w="2600"/>
            <w:shd w:fill="F2F2F2" w:val="clear"/>
            <w:tcMar>
              <w:top w:type="dxa" w:w="55"/>
              <w:left w:type="dxa" w:w="80"/>
              <w:bottom w:type="dxa" w:w="55"/>
              <w:right w:type="dxa" w:w="80"/>
            </w:tcMar>
            <w:vAlign w:val="center"/>
          </w:tcPr>
          <w:p>
            <w:r>
              <w:rPr>
                <w:sz w:val="15"/>
                <w:szCs w:val="15"/>
              </w:rPr>
              <w:t xml:space="preserve">Support Agent</w:t>
            </w:r>
          </w:p>
        </w:tc>
        <w:tc>
          <w:tcPr>
            <w:tcW w:type="dxa" w:w="2600"/>
            <w:shd w:fill="F2F2F2" w:val="clear"/>
            <w:tcMar>
              <w:top w:type="dxa" w:w="55"/>
              <w:left w:type="dxa" w:w="80"/>
              <w:bottom w:type="dxa" w:w="55"/>
              <w:right w:type="dxa" w:w="80"/>
            </w:tcMar>
            <w:vAlign w:val="center"/>
          </w:tcPr>
          <w:p>
            <w:r>
              <w:rPr>
                <w:sz w:val="15"/>
                <w:szCs w:val="15"/>
              </w:rPr>
              <w:t xml:space="preserve">Backlog</w:t>
            </w:r>
          </w:p>
        </w:tc>
        <w:tc>
          <w:tcPr>
            <w:tcW w:type="dxa" w:w="2850"/>
            <w:shd w:fill="F2F2F2" w:val="clear"/>
            <w:tcMar>
              <w:top w:type="dxa" w:w="55"/>
              <w:left w:type="dxa" w:w="80"/>
              <w:bottom w:type="dxa" w:w="55"/>
              <w:right w:type="dxa" w:w="80"/>
            </w:tcMar>
            <w:vAlign w:val="center"/>
          </w:tcPr>
          <w:p>
            <w:r>
              <w:rPr>
                <w:sz w:val="15"/>
                <w:szCs w:val="15"/>
              </w:rPr>
              <w:t xml:space="preserve">Next sprint planning</w:t>
            </w:r>
          </w:p>
        </w:tc>
      </w:tr>
    </w:tbl>
    <w:p>
      <w:pPr>
        <w:pStyle w:val="Heading2"/>
        <w:spacing w:after="120" w:before="240"/>
      </w:pPr>
      <w:r>
        <w:rPr>
          <w:b/>
          <w:bCs/>
          <w:color w:val="1F2A44"/>
          <w:sz w:val="22"/>
          <w:szCs w:val="22"/>
        </w:rPr>
        <w:t xml:space="preserve">SLAs &amp; Operational KPIs</w:t>
      </w:r>
    </w:p>
    <w:p>
      <w:pPr>
        <w:spacing w:after="110" w:line="260"/>
      </w:pPr>
      <w:r>
        <w:rPr>
          <w:sz w:val="19"/>
          <w:szCs w:val="19"/>
        </w:rPr>
        <w:t xml:space="preserve">Reused directly from Master PRD Phase 8: fulfillment SLA 48–72hrs, consumer support response &lt;4hrs/resolution &lt;24hrs, uptime 99.5% (MVP), survey completion ≥80%.</w:t>
      </w:r>
    </w:p>
    <w:p>
      <w:r>
        <w:br w:type="page"/>
      </w:r>
    </w:p>
    <w:p>
      <w:pPr>
        <w:pStyle w:val="Heading1"/>
        <w:pBdr>
          <w:bottom w:val="single" w:color="1F2A44" w:sz="8" w:space="4"/>
        </w:pBdr>
        <w:spacing w:after="190" w:before="380"/>
      </w:pPr>
      <w:r>
        <w:rPr>
          <w:b/>
          <w:bCs/>
          <w:color w:val="1F2A44"/>
          <w:sz w:val="28"/>
          <w:szCs w:val="28"/>
        </w:rPr>
        <w:t xml:space="preserve">14. Go-Live Plan</w:t>
      </w:r>
    </w:p>
    <w:p>
      <w:pPr>
        <w:pStyle w:val="Heading3"/>
        <w:spacing w:after="80" w:before="170"/>
      </w:pPr>
      <w:r>
        <w:rPr>
          <w:b/>
          <w:bCs/>
          <w:color w:val="1B6E76"/>
          <w:sz w:val="19"/>
          <w:szCs w:val="19"/>
        </w:rPr>
        <w:t xml:space="preserve">Go-Live Checklist</w:t>
      </w:r>
    </w:p>
    <w:p>
      <w:pPr>
        <w:pStyle w:val="ListParagraph"/>
        <w:numPr>
          <w:ilvl w:val="0"/>
          <w:numId w:val="1"/>
        </w:numPr>
        <w:spacing w:after="55"/>
      </w:pPr>
      <w:r>
        <w:rPr>
          <w:sz w:val="19"/>
          <w:szCs w:val="19"/>
        </w:rPr>
        <w:t xml:space="preserve">RC exit criteria met (Section 4).</w:t>
      </w:r>
    </w:p>
    <w:p>
      <w:pPr>
        <w:pStyle w:val="ListParagraph"/>
        <w:numPr>
          <w:ilvl w:val="0"/>
          <w:numId w:val="1"/>
        </w:numPr>
        <w:spacing w:after="55"/>
      </w:pPr>
      <w:r>
        <w:rPr>
          <w:sz w:val="19"/>
          <w:szCs w:val="19"/>
        </w:rPr>
        <w:t xml:space="preserve">CEO, CTO, and Legal sign-off obtained (FDD requirement).</w:t>
      </w:r>
    </w:p>
    <w:p>
      <w:pPr>
        <w:pStyle w:val="ListParagraph"/>
        <w:numPr>
          <w:ilvl w:val="0"/>
          <w:numId w:val="1"/>
        </w:numPr>
        <w:spacing w:after="55"/>
      </w:pPr>
      <w:r>
        <w:rPr>
          <w:sz w:val="19"/>
          <w:szCs w:val="19"/>
        </w:rPr>
        <w:t xml:space="preserve">Production infrastructure provisioned and load-tested.</w:t>
      </w:r>
    </w:p>
    <w:p>
      <w:pPr>
        <w:pStyle w:val="ListParagraph"/>
        <w:numPr>
          <w:ilvl w:val="0"/>
          <w:numId w:val="1"/>
        </w:numPr>
        <w:spacing w:after="55"/>
      </w:pPr>
      <w:r>
        <w:rPr>
          <w:sz w:val="19"/>
          <w:szCs w:val="19"/>
        </w:rPr>
        <w:t xml:space="preserve">On-call rotation scheduled for launch week.</w:t>
      </w:r>
    </w:p>
    <w:p>
      <w:pPr>
        <w:pStyle w:val="ListParagraph"/>
        <w:numPr>
          <w:ilvl w:val="0"/>
          <w:numId w:val="1"/>
        </w:numPr>
        <w:spacing w:after="55"/>
      </w:pPr>
      <w:r>
        <w:rPr>
          <w:sz w:val="19"/>
          <w:szCs w:val="19"/>
        </w:rPr>
        <w:t xml:space="preserve">Rollback plan tested in staging within the prior 7 days.</w:t>
      </w:r>
    </w:p>
    <w:p>
      <w:pPr>
        <w:pStyle w:val="Heading3"/>
        <w:spacing w:after="80" w:before="170"/>
      </w:pPr>
      <w:r>
        <w:rPr>
          <w:b/>
          <w:bCs/>
          <w:color w:val="1B6E76"/>
          <w:sz w:val="19"/>
          <w:szCs w:val="19"/>
        </w:rPr>
        <w:t xml:space="preserve">Launch Checklist</w:t>
      </w:r>
    </w:p>
    <w:p>
      <w:pPr>
        <w:pStyle w:val="ListParagraph"/>
        <w:numPr>
          <w:ilvl w:val="0"/>
          <w:numId w:val="1"/>
        </w:numPr>
        <w:spacing w:after="55"/>
      </w:pPr>
      <w:r>
        <w:rPr>
          <w:sz w:val="19"/>
          <w:szCs w:val="19"/>
        </w:rPr>
        <w:t xml:space="preserve">DNS cutover plan confirmed.</w:t>
      </w:r>
    </w:p>
    <w:p>
      <w:pPr>
        <w:pStyle w:val="ListParagraph"/>
        <w:numPr>
          <w:ilvl w:val="0"/>
          <w:numId w:val="1"/>
        </w:numPr>
        <w:spacing w:after="55"/>
      </w:pPr>
      <w:r>
        <w:rPr>
          <w:sz w:val="19"/>
          <w:szCs w:val="19"/>
        </w:rPr>
        <w:t xml:space="preserve">App-store listings approved and live.</w:t>
      </w:r>
    </w:p>
    <w:p>
      <w:pPr>
        <w:pStyle w:val="ListParagraph"/>
        <w:numPr>
          <w:ilvl w:val="0"/>
          <w:numId w:val="1"/>
        </w:numPr>
        <w:spacing w:after="55"/>
      </w:pPr>
      <w:r>
        <w:rPr>
          <w:sz w:val="19"/>
          <w:szCs w:val="19"/>
        </w:rPr>
        <w:t xml:space="preserve">Brand pilot accounts migrated from Beta to Production.</w:t>
      </w:r>
    </w:p>
    <w:p>
      <w:pPr>
        <w:pStyle w:val="ListParagraph"/>
        <w:numPr>
          <w:ilvl w:val="0"/>
          <w:numId w:val="1"/>
        </w:numPr>
        <w:spacing w:after="55"/>
      </w:pPr>
      <w:r>
        <w:rPr>
          <w:sz w:val="19"/>
          <w:szCs w:val="19"/>
        </w:rPr>
        <w:t xml:space="preserve">Support team briefed and staffed for launch-week volume.</w:t>
      </w:r>
    </w:p>
    <w:p>
      <w:pPr>
        <w:pStyle w:val="Heading3"/>
        <w:spacing w:after="80" w:before="170"/>
      </w:pPr>
      <w:r>
        <w:rPr>
          <w:b/>
          <w:bCs/>
          <w:color w:val="1B6E76"/>
          <w:sz w:val="19"/>
          <w:szCs w:val="19"/>
        </w:rPr>
        <w:t xml:space="preserve">Rollback Checklist</w:t>
      </w:r>
    </w:p>
    <w:p>
      <w:pPr>
        <w:pStyle w:val="ListParagraph"/>
        <w:numPr>
          <w:ilvl w:val="0"/>
          <w:numId w:val="1"/>
        </w:numPr>
        <w:spacing w:after="55"/>
      </w:pPr>
      <w:r>
        <w:rPr>
          <w:sz w:val="19"/>
          <w:szCs w:val="19"/>
        </w:rPr>
        <w:t xml:space="preserve">ECS task-definition revert tested.</w:t>
      </w:r>
    </w:p>
    <w:p>
      <w:pPr>
        <w:pStyle w:val="ListParagraph"/>
        <w:numPr>
          <w:ilvl w:val="0"/>
          <w:numId w:val="1"/>
        </w:numPr>
        <w:spacing w:after="55"/>
      </w:pPr>
      <w:r>
        <w:rPr>
          <w:sz w:val="19"/>
          <w:szCs w:val="19"/>
        </w:rPr>
        <w:t xml:space="preserve">Database migration rollback script verified (or confirmed additive-only, no rollback needed).</w:t>
      </w:r>
    </w:p>
    <w:p>
      <w:pPr>
        <w:pStyle w:val="ListParagraph"/>
        <w:numPr>
          <w:ilvl w:val="0"/>
          <w:numId w:val="1"/>
        </w:numPr>
        <w:spacing w:after="55"/>
      </w:pPr>
      <w:r>
        <w:rPr>
          <w:sz w:val="19"/>
          <w:szCs w:val="19"/>
        </w:rPr>
        <w:t xml:space="preserve">Feature-flag kill-switches verified for every new v1.0 feature.</w:t>
      </w:r>
    </w:p>
    <w:p>
      <w:pPr>
        <w:pStyle w:val="Heading3"/>
        <w:spacing w:after="80" w:before="170"/>
      </w:pPr>
      <w:r>
        <w:rPr>
          <w:b/>
          <w:bCs/>
          <w:color w:val="1B6E76"/>
          <w:sz w:val="19"/>
          <w:szCs w:val="19"/>
        </w:rPr>
        <w:t xml:space="preserve">Production Validation</w:t>
      </w:r>
    </w:p>
    <w:p>
      <w:pPr>
        <w:pStyle w:val="ListParagraph"/>
        <w:numPr>
          <w:ilvl w:val="0"/>
          <w:numId w:val="1"/>
        </w:numPr>
        <w:spacing w:after="55"/>
      </w:pPr>
      <w:r>
        <w:rPr>
          <w:sz w:val="19"/>
          <w:szCs w:val="19"/>
        </w:rPr>
        <w:t xml:space="preserve">Smoke test suite green post-deploy.</w:t>
      </w:r>
    </w:p>
    <w:p>
      <w:pPr>
        <w:pStyle w:val="ListParagraph"/>
        <w:numPr>
          <w:ilvl w:val="0"/>
          <w:numId w:val="1"/>
        </w:numPr>
        <w:spacing w:after="55"/>
      </w:pPr>
      <w:r>
        <w:rPr>
          <w:sz w:val="19"/>
          <w:szCs w:val="19"/>
        </w:rPr>
        <w:t xml:space="preserve">First 10 real redemptions manually spot-checked for data integrity.</w:t>
      </w:r>
    </w:p>
    <w:p>
      <w:pPr>
        <w:pStyle w:val="ListParagraph"/>
        <w:numPr>
          <w:ilvl w:val="0"/>
          <w:numId w:val="1"/>
        </w:numPr>
        <w:spacing w:after="55"/>
      </w:pPr>
      <w:r>
        <w:rPr>
          <w:sz w:val="19"/>
          <w:szCs w:val="19"/>
        </w:rPr>
        <w:t xml:space="preserve">Monitoring dashboards confirmed receiving live data.</w:t>
      </w:r>
    </w:p>
    <w:p>
      <w:pPr>
        <w:pStyle w:val="Heading3"/>
        <w:spacing w:after="80" w:before="170"/>
      </w:pPr>
      <w:r>
        <w:rPr>
          <w:b/>
          <w:bCs/>
          <w:color w:val="1B6E76"/>
          <w:sz w:val="19"/>
          <w:szCs w:val="19"/>
        </w:rPr>
        <w:t xml:space="preserve">Monitoring Checklist</w:t>
      </w:r>
    </w:p>
    <w:p>
      <w:pPr>
        <w:pStyle w:val="ListParagraph"/>
        <w:numPr>
          <w:ilvl w:val="0"/>
          <w:numId w:val="1"/>
        </w:numPr>
        <w:spacing w:after="55"/>
      </w:pPr>
      <w:r>
        <w:rPr>
          <w:sz w:val="19"/>
          <w:szCs w:val="19"/>
        </w:rPr>
        <w:t xml:space="preserve">Alert thresholds active for API error rate, QR redemption failure rate, DB connection pool, SMS/WhatsApp delivery failure rate.</w:t>
      </w:r>
    </w:p>
    <w:p>
      <w:pPr>
        <w:pStyle w:val="ListParagraph"/>
        <w:numPr>
          <w:ilvl w:val="0"/>
          <w:numId w:val="1"/>
        </w:numPr>
        <w:spacing w:after="55"/>
      </w:pPr>
      <w:r>
        <w:rPr>
          <w:sz w:val="19"/>
          <w:szCs w:val="19"/>
        </w:rPr>
        <w:t xml:space="preserve">On-call engineer has dashboard access confirmed.</w:t>
      </w:r>
    </w:p>
    <w:p>
      <w:pPr>
        <w:pStyle w:val="Heading3"/>
        <w:spacing w:after="80" w:before="170"/>
      </w:pPr>
      <w:r>
        <w:rPr>
          <w:b/>
          <w:bCs/>
          <w:color w:val="1B6E76"/>
          <w:sz w:val="19"/>
          <w:szCs w:val="19"/>
        </w:rPr>
        <w:t xml:space="preserve">Customer Support Checklist</w:t>
      </w:r>
    </w:p>
    <w:p>
      <w:pPr>
        <w:pStyle w:val="ListParagraph"/>
        <w:numPr>
          <w:ilvl w:val="0"/>
          <w:numId w:val="1"/>
        </w:numPr>
        <w:spacing w:after="55"/>
      </w:pPr>
      <w:r>
        <w:rPr>
          <w:sz w:val="19"/>
          <w:szCs w:val="19"/>
        </w:rPr>
        <w:t xml:space="preserve">Support Agent runbooks published.</w:t>
      </w:r>
    </w:p>
    <w:p>
      <w:pPr>
        <w:pStyle w:val="ListParagraph"/>
        <w:numPr>
          <w:ilvl w:val="0"/>
          <w:numId w:val="1"/>
        </w:numPr>
        <w:spacing w:after="55"/>
      </w:pPr>
      <w:r>
        <w:rPr>
          <w:sz w:val="19"/>
          <w:szCs w:val="19"/>
        </w:rPr>
        <w:t xml:space="preserve">Escalation matrix (Section 13) distributed to all support staff.</w:t>
      </w:r>
    </w:p>
    <w:p>
      <w:pPr>
        <w:pStyle w:val="Heading3"/>
        <w:spacing w:after="80" w:before="170"/>
      </w:pPr>
      <w:r>
        <w:rPr>
          <w:b/>
          <w:bCs/>
          <w:color w:val="1B6E76"/>
          <w:sz w:val="19"/>
          <w:szCs w:val="19"/>
        </w:rPr>
        <w:t xml:space="preserve">Marketing Launch Checklist</w:t>
      </w:r>
    </w:p>
    <w:p>
      <w:pPr>
        <w:spacing w:after="110" w:line="260"/>
      </w:pPr>
      <w:r>
        <w:rPr>
          <w:sz w:val="19"/>
          <w:szCs w:val="19"/>
        </w:rPr>
        <w:t xml:space="preserve">Out of engineering/PMO scope — owned by Marketing per FDD Marketing Strategy; flagged here only as a dependency: consumer acquisition channels (TikTok/Instagram/university ambassadors) must be ready to activate the same week as Production go-live, or early redemption volume will be too low to demonstrate value to Private Beta brands.</w:t>
      </w:r>
    </w:p>
    <w:p>
      <w:pPr>
        <w:pStyle w:val="Heading3"/>
        <w:spacing w:after="80" w:before="170"/>
      </w:pPr>
      <w:r>
        <w:rPr>
          <w:b/>
          <w:bCs/>
          <w:color w:val="1B6E76"/>
          <w:sz w:val="19"/>
          <w:szCs w:val="19"/>
        </w:rPr>
        <w:t xml:space="preserve">Sales Enablement Checklist</w:t>
      </w:r>
    </w:p>
    <w:p>
      <w:pPr>
        <w:pStyle w:val="ListParagraph"/>
        <w:numPr>
          <w:ilvl w:val="0"/>
          <w:numId w:val="1"/>
        </w:numPr>
        <w:spacing w:after="55"/>
      </w:pPr>
      <w:r>
        <w:rPr>
          <w:sz w:val="19"/>
          <w:szCs w:val="19"/>
        </w:rPr>
        <w:t xml:space="preserve">Case study from Private Beta pilots prepared.</w:t>
      </w:r>
    </w:p>
    <w:p>
      <w:pPr>
        <w:pStyle w:val="ListParagraph"/>
        <w:numPr>
          <w:ilvl w:val="0"/>
          <w:numId w:val="1"/>
        </w:numPr>
        <w:spacing w:after="55"/>
      </w:pPr>
      <w:r>
        <w:rPr>
          <w:sz w:val="19"/>
          <w:szCs w:val="19"/>
        </w:rPr>
        <w:t xml:space="preserve">Pricing sheet finalized based on validation-sprint findings (not the original illustrative FDD figures, unless confirmed unchanged).</w:t>
      </w:r>
    </w:p>
    <w:p>
      <w:pPr>
        <w:pStyle w:val="Heading3"/>
        <w:spacing w:after="80" w:before="170"/>
      </w:pPr>
      <w:r>
        <w:rPr>
          <w:b/>
          <w:bCs/>
          <w:color w:val="1B6E76"/>
          <w:sz w:val="19"/>
          <w:szCs w:val="19"/>
        </w:rPr>
        <w:t xml:space="preserve">Success Metrics (first 30 days post-launch)</w:t>
      </w:r>
    </w:p>
    <w:p>
      <w:pPr>
        <w:spacing w:after="110" w:line="260"/>
      </w:pPr>
      <w:r>
        <w:rPr>
          <w:sz w:val="19"/>
          <w:szCs w:val="19"/>
        </w:rPr>
        <w:t xml:space="preserve">Reused from FDD Success Metrics: North Star (verified data points/month), survey completion ≥80%, brand renewal conversations initiated for all Private Beta pilots, zero P0 security/privacy incidents.</w:t>
      </w:r>
    </w:p>
    <w:p>
      <w:r>
        <w:br w:type="page"/>
      </w:r>
    </w:p>
    <w:p>
      <w:pPr>
        <w:pStyle w:val="Heading1"/>
        <w:pBdr>
          <w:bottom w:val="single" w:color="1F2A44" w:sz="8" w:space="4"/>
        </w:pBdr>
        <w:spacing w:after="190" w:before="380"/>
      </w:pPr>
      <w:r>
        <w:rPr>
          <w:b/>
          <w:bCs/>
          <w:color w:val="1F2A44"/>
          <w:sz w:val="28"/>
          <w:szCs w:val="28"/>
        </w:rPr>
        <w:t xml:space="preserve">15. PMO Executive Dashboard &amp; Governance Templates</w:t>
      </w:r>
    </w:p>
    <w:p>
      <w:pPr>
        <w:pStyle w:val="Heading2"/>
        <w:spacing w:after="120" w:before="240"/>
      </w:pPr>
      <w:r>
        <w:rPr>
          <w:b/>
          <w:bCs/>
          <w:color w:val="1F2A44"/>
          <w:sz w:val="22"/>
          <w:szCs w:val="22"/>
        </w:rPr>
        <w:t xml:space="preserve">Executive Dashboard (snapshot format)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50"/>
      </w:tblGrid>
      <w:tr>
        <w:trPr>
          <w:tblHeader/>
        </w:trPr>
        <w:tc>
          <w:tcPr>
            <w:tcW w:type="dxa" w:w="2400"/>
            <w:shd w:fill="1F2A44" w:val="clear"/>
            <w:tcMar>
              <w:top w:type="dxa" w:w="70"/>
              <w:left w:type="dxa" w:w="90"/>
              <w:bottom w:type="dxa" w:w="70"/>
              <w:right w:type="dxa" w:w="90"/>
            </w:tcMar>
            <w:vAlign w:val="center"/>
          </w:tcPr>
          <w:p>
            <w:r>
              <w:rPr>
                <w:b/>
                <w:bCs/>
                <w:color w:val="FFFFFF"/>
                <w:sz w:val="15"/>
                <w:szCs w:val="15"/>
              </w:rPr>
              <w:t xml:space="preserve">Metric</w:t>
            </w:r>
          </w:p>
        </w:tc>
        <w:tc>
          <w:tcPr>
            <w:tcW w:type="dxa" w:w="6950"/>
            <w:shd w:fill="1F2A44" w:val="clear"/>
            <w:tcMar>
              <w:top w:type="dxa" w:w="70"/>
              <w:left w:type="dxa" w:w="90"/>
              <w:bottom w:type="dxa" w:w="70"/>
              <w:right w:type="dxa" w:w="90"/>
            </w:tcMar>
            <w:vAlign w:val="center"/>
          </w:tcPr>
          <w:p>
            <w:r>
              <w:rPr>
                <w:b/>
                <w:bCs/>
                <w:color w:val="FFFFFF"/>
                <w:sz w:val="15"/>
                <w:szCs w:val="15"/>
              </w:rPr>
              <w:t xml:space="preserve">Status</w:t>
            </w:r>
          </w:p>
        </w:tc>
      </w:tr>
      <w:tr>
        <w:tc>
          <w:tcPr>
            <w:tcW w:type="dxa" w:w="2400"/>
            <w:shd w:fill="FFFFFF" w:val="clear"/>
            <w:tcMar>
              <w:top w:type="dxa" w:w="55"/>
              <w:left w:type="dxa" w:w="80"/>
              <w:bottom w:type="dxa" w:w="55"/>
              <w:right w:type="dxa" w:w="80"/>
            </w:tcMar>
            <w:vAlign w:val="center"/>
          </w:tcPr>
          <w:p>
            <w:r>
              <w:rPr>
                <w:sz w:val="15"/>
                <w:szCs w:val="15"/>
              </w:rPr>
              <w:t xml:space="preserve">Overall program status</w:t>
            </w:r>
          </w:p>
        </w:tc>
        <w:tc>
          <w:tcPr>
            <w:tcW w:type="dxa" w:w="6950"/>
            <w:shd w:fill="FFFFFF" w:val="clear"/>
            <w:tcMar>
              <w:top w:type="dxa" w:w="55"/>
              <w:left w:type="dxa" w:w="80"/>
              <w:bottom w:type="dxa" w:w="55"/>
              <w:right w:type="dxa" w:w="80"/>
            </w:tcMar>
            <w:vAlign w:val="center"/>
          </w:tcPr>
          <w:p>
            <w:r>
              <w:rPr>
                <w:sz w:val="15"/>
                <w:szCs w:val="15"/>
              </w:rPr>
              <w:t xml:space="preserve">AMBER — plan complete and ready; execution has not started pending Section 18 gate</w:t>
            </w:r>
          </w:p>
        </w:tc>
      </w:tr>
      <w:tr>
        <w:tc>
          <w:tcPr>
            <w:tcW w:type="dxa" w:w="2400"/>
            <w:shd w:fill="F2F2F2" w:val="clear"/>
            <w:tcMar>
              <w:top w:type="dxa" w:w="55"/>
              <w:left w:type="dxa" w:w="80"/>
              <w:bottom w:type="dxa" w:w="55"/>
              <w:right w:type="dxa" w:w="80"/>
            </w:tcMar>
            <w:vAlign w:val="center"/>
          </w:tcPr>
          <w:p>
            <w:r>
              <w:rPr>
                <w:sz w:val="15"/>
                <w:szCs w:val="15"/>
              </w:rPr>
              <w:t xml:space="preserve">Current phase</w:t>
            </w:r>
          </w:p>
        </w:tc>
        <w:tc>
          <w:tcPr>
            <w:tcW w:type="dxa" w:w="6950"/>
            <w:shd w:fill="F2F2F2" w:val="clear"/>
            <w:tcMar>
              <w:top w:type="dxa" w:w="55"/>
              <w:left w:type="dxa" w:w="80"/>
              <w:bottom w:type="dxa" w:w="55"/>
              <w:right w:type="dxa" w:w="80"/>
            </w:tcMar>
            <w:vAlign w:val="center"/>
          </w:tcPr>
          <w:p>
            <w:r>
              <w:rPr>
                <w:sz w:val="15"/>
                <w:szCs w:val="15"/>
              </w:rPr>
              <w:t xml:space="preserve">Pre-Sprint-0 (Track 0 validation sprint in progress per IC Memo)</w:t>
            </w:r>
          </w:p>
        </w:tc>
      </w:tr>
      <w:tr>
        <w:tc>
          <w:tcPr>
            <w:tcW w:type="dxa" w:w="2400"/>
            <w:shd w:fill="FFFFFF" w:val="clear"/>
            <w:tcMar>
              <w:top w:type="dxa" w:w="55"/>
              <w:left w:type="dxa" w:w="80"/>
              <w:bottom w:type="dxa" w:w="55"/>
              <w:right w:type="dxa" w:w="80"/>
            </w:tcMar>
            <w:vAlign w:val="center"/>
          </w:tcPr>
          <w:p>
            <w:r>
              <w:rPr>
                <w:sz w:val="15"/>
                <w:szCs w:val="15"/>
              </w:rPr>
              <w:t xml:space="preserve">Budget status</w:t>
            </w:r>
          </w:p>
        </w:tc>
        <w:tc>
          <w:tcPr>
            <w:tcW w:type="dxa" w:w="6950"/>
            <w:shd w:fill="FFFFFF" w:val="clear"/>
            <w:tcMar>
              <w:top w:type="dxa" w:w="55"/>
              <w:left w:type="dxa" w:w="80"/>
              <w:bottom w:type="dxa" w:w="55"/>
              <w:right w:type="dxa" w:w="80"/>
            </w:tcMar>
            <w:vAlign w:val="center"/>
          </w:tcPr>
          <w:p>
            <w:r>
              <w:rPr>
                <w:sz w:val="15"/>
                <w:szCs w:val="15"/>
              </w:rPr>
              <w:t xml:space="preserve">Track 0: $15–25K approved and in use. Track 1 ($90–303K): not yet approved</w:t>
            </w:r>
          </w:p>
        </w:tc>
      </w:tr>
      <w:tr>
        <w:tc>
          <w:tcPr>
            <w:tcW w:type="dxa" w:w="2400"/>
            <w:shd w:fill="F2F2F2" w:val="clear"/>
            <w:tcMar>
              <w:top w:type="dxa" w:w="55"/>
              <w:left w:type="dxa" w:w="80"/>
              <w:bottom w:type="dxa" w:w="55"/>
              <w:right w:type="dxa" w:w="80"/>
            </w:tcMar>
            <w:vAlign w:val="center"/>
          </w:tcPr>
          <w:p>
            <w:r>
              <w:rPr>
                <w:sz w:val="15"/>
                <w:szCs w:val="15"/>
              </w:rPr>
              <w:t xml:space="preserve">Top risk</w:t>
            </w:r>
          </w:p>
        </w:tc>
        <w:tc>
          <w:tcPr>
            <w:tcW w:type="dxa" w:w="6950"/>
            <w:shd w:fill="F2F2F2" w:val="clear"/>
            <w:tcMar>
              <w:top w:type="dxa" w:w="55"/>
              <w:left w:type="dxa" w:w="80"/>
              <w:bottom w:type="dxa" w:w="55"/>
              <w:right w:type="dxa" w:w="80"/>
            </w:tcMar>
            <w:vAlign w:val="center"/>
          </w:tcPr>
          <w:p>
            <w:r>
              <w:rPr>
                <w:sz w:val="15"/>
                <w:szCs w:val="15"/>
              </w:rPr>
              <w:t xml:space="preserve">R-01 — validation sprint gate not yet confirmed passed (Section 6)</w:t>
            </w:r>
          </w:p>
        </w:tc>
      </w:tr>
      <w:tr>
        <w:tc>
          <w:tcPr>
            <w:tcW w:type="dxa" w:w="2400"/>
            <w:shd w:fill="FFFFFF" w:val="clear"/>
            <w:tcMar>
              <w:top w:type="dxa" w:w="55"/>
              <w:left w:type="dxa" w:w="80"/>
              <w:bottom w:type="dxa" w:w="55"/>
              <w:right w:type="dxa" w:w="80"/>
            </w:tcMar>
            <w:vAlign w:val="center"/>
          </w:tcPr>
          <w:p>
            <w:r>
              <w:rPr>
                <w:sz w:val="15"/>
                <w:szCs w:val="15"/>
              </w:rPr>
              <w:t xml:space="preserve">Next decision point</w:t>
            </w:r>
          </w:p>
        </w:tc>
        <w:tc>
          <w:tcPr>
            <w:tcW w:type="dxa" w:w="6950"/>
            <w:shd w:fill="FFFFFF" w:val="clear"/>
            <w:tcMar>
              <w:top w:type="dxa" w:w="55"/>
              <w:left w:type="dxa" w:w="80"/>
              <w:bottom w:type="dxa" w:w="55"/>
              <w:right w:type="dxa" w:w="80"/>
            </w:tcMar>
            <w:vAlign w:val="center"/>
          </w:tcPr>
          <w:p>
            <w:r>
              <w:rPr>
                <w:sz w:val="15"/>
                <w:szCs w:val="15"/>
              </w:rPr>
              <w:t xml:space="preserve">Sprint 0 Go/No-Go, contingent on Track 0 sprint outcome</w:t>
            </w:r>
          </w:p>
        </w:tc>
      </w:tr>
    </w:tbl>
    <w:p>
      <w:pPr>
        <w:pStyle w:val="Heading2"/>
        <w:spacing w:after="120" w:before="240"/>
      </w:pPr>
      <w:r>
        <w:rPr>
          <w:b/>
          <w:bCs/>
          <w:color w:val="1F2A44"/>
          <w:sz w:val="22"/>
          <w:szCs w:val="22"/>
        </w:rPr>
        <w:t xml:space="preserve">Governance Template Set (structures, to be populated as the program runs)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70"/>
              <w:left w:type="dxa" w:w="90"/>
              <w:bottom w:type="dxa" w:w="70"/>
              <w:right w:type="dxa" w:w="90"/>
            </w:tcMar>
            <w:vAlign w:val="center"/>
          </w:tcPr>
          <w:p>
            <w:r>
              <w:rPr>
                <w:b/>
                <w:bCs/>
                <w:color w:val="FFFFFF"/>
                <w:sz w:val="15"/>
                <w:szCs w:val="15"/>
              </w:rPr>
              <w:t xml:space="preserve">Template</w:t>
            </w:r>
          </w:p>
        </w:tc>
        <w:tc>
          <w:tcPr>
            <w:tcW w:type="dxa" w:w="7150"/>
            <w:shd w:fill="1F2A44" w:val="clear"/>
            <w:tcMar>
              <w:top w:type="dxa" w:w="70"/>
              <w:left w:type="dxa" w:w="90"/>
              <w:bottom w:type="dxa" w:w="70"/>
              <w:right w:type="dxa" w:w="90"/>
            </w:tcMar>
            <w:vAlign w:val="center"/>
          </w:tcPr>
          <w:p>
            <w:r>
              <w:rPr>
                <w:b/>
                <w:bCs/>
                <w:color w:val="FFFFFF"/>
                <w:sz w:val="15"/>
                <w:szCs w:val="15"/>
              </w:rPr>
              <w:t xml:space="preserve">Fields</w:t>
            </w:r>
          </w:p>
        </w:tc>
      </w:tr>
      <w:tr>
        <w:tc>
          <w:tcPr>
            <w:tcW w:type="dxa" w:w="2200"/>
            <w:shd w:fill="FFFFFF" w:val="clear"/>
            <w:tcMar>
              <w:top w:type="dxa" w:w="55"/>
              <w:left w:type="dxa" w:w="80"/>
              <w:bottom w:type="dxa" w:w="55"/>
              <w:right w:type="dxa" w:w="80"/>
            </w:tcMar>
            <w:vAlign w:val="center"/>
          </w:tcPr>
          <w:p>
            <w:r>
              <w:rPr>
                <w:sz w:val="15"/>
                <w:szCs w:val="15"/>
              </w:rPr>
              <w:t xml:space="preserve">Decision Log</w:t>
            </w:r>
          </w:p>
        </w:tc>
        <w:tc>
          <w:tcPr>
            <w:tcW w:type="dxa" w:w="7150"/>
            <w:shd w:fill="FFFFFF" w:val="clear"/>
            <w:tcMar>
              <w:top w:type="dxa" w:w="55"/>
              <w:left w:type="dxa" w:w="80"/>
              <w:bottom w:type="dxa" w:w="55"/>
              <w:right w:type="dxa" w:w="80"/>
            </w:tcMar>
            <w:vAlign w:val="center"/>
          </w:tcPr>
          <w:p>
            <w:r>
              <w:rPr>
                <w:sz w:val="15"/>
                <w:szCs w:val="15"/>
              </w:rPr>
              <w:t xml:space="preserve">Date, Decision, Owner, Rationale, Linked FDD/PRD/Architecture section, Status</w:t>
            </w:r>
          </w:p>
        </w:tc>
      </w:tr>
      <w:tr>
        <w:tc>
          <w:tcPr>
            <w:tcW w:type="dxa" w:w="2200"/>
            <w:shd w:fill="F2F2F2" w:val="clear"/>
            <w:tcMar>
              <w:top w:type="dxa" w:w="55"/>
              <w:left w:type="dxa" w:w="80"/>
              <w:bottom w:type="dxa" w:w="55"/>
              <w:right w:type="dxa" w:w="80"/>
            </w:tcMar>
            <w:vAlign w:val="center"/>
          </w:tcPr>
          <w:p>
            <w:r>
              <w:rPr>
                <w:sz w:val="15"/>
                <w:szCs w:val="15"/>
              </w:rPr>
              <w:t xml:space="preserve">Issue Register</w:t>
            </w:r>
          </w:p>
        </w:tc>
        <w:tc>
          <w:tcPr>
            <w:tcW w:type="dxa" w:w="7150"/>
            <w:shd w:fill="F2F2F2" w:val="clear"/>
            <w:tcMar>
              <w:top w:type="dxa" w:w="55"/>
              <w:left w:type="dxa" w:w="80"/>
              <w:bottom w:type="dxa" w:w="55"/>
              <w:right w:type="dxa" w:w="80"/>
            </w:tcMar>
            <w:vAlign w:val="center"/>
          </w:tcPr>
          <w:p>
            <w:r>
              <w:rPr>
                <w:sz w:val="15"/>
                <w:szCs w:val="15"/>
              </w:rPr>
              <w:t xml:space="preserve">ID, Description, Severity, Owner, Raised Date, Target Resolution, Status</w:t>
            </w:r>
          </w:p>
        </w:tc>
      </w:tr>
      <w:tr>
        <w:tc>
          <w:tcPr>
            <w:tcW w:type="dxa" w:w="2200"/>
            <w:shd w:fill="FFFFFF" w:val="clear"/>
            <w:tcMar>
              <w:top w:type="dxa" w:w="55"/>
              <w:left w:type="dxa" w:w="80"/>
              <w:bottom w:type="dxa" w:w="55"/>
              <w:right w:type="dxa" w:w="80"/>
            </w:tcMar>
            <w:vAlign w:val="center"/>
          </w:tcPr>
          <w:p>
            <w:r>
              <w:rPr>
                <w:sz w:val="15"/>
                <w:szCs w:val="15"/>
              </w:rPr>
              <w:t xml:space="preserve">Change Log</w:t>
            </w:r>
          </w:p>
        </w:tc>
        <w:tc>
          <w:tcPr>
            <w:tcW w:type="dxa" w:w="7150"/>
            <w:shd w:fill="FFFFFF" w:val="clear"/>
            <w:tcMar>
              <w:top w:type="dxa" w:w="55"/>
              <w:left w:type="dxa" w:w="80"/>
              <w:bottom w:type="dxa" w:w="55"/>
              <w:right w:type="dxa" w:w="80"/>
            </w:tcMar>
            <w:vAlign w:val="center"/>
          </w:tcPr>
          <w:p>
            <w:r>
              <w:rPr>
                <w:sz w:val="15"/>
                <w:szCs w:val="15"/>
              </w:rPr>
              <w:t xml:space="preserve">Date, Document Changed, Section, Before → After, Approved By</w:t>
            </w:r>
          </w:p>
        </w:tc>
      </w:tr>
      <w:tr>
        <w:tc>
          <w:tcPr>
            <w:tcW w:type="dxa" w:w="2200"/>
            <w:shd w:fill="F2F2F2" w:val="clear"/>
            <w:tcMar>
              <w:top w:type="dxa" w:w="55"/>
              <w:left w:type="dxa" w:w="80"/>
              <w:bottom w:type="dxa" w:w="55"/>
              <w:right w:type="dxa" w:w="80"/>
            </w:tcMar>
            <w:vAlign w:val="center"/>
          </w:tcPr>
          <w:p>
            <w:r>
              <w:rPr>
                <w:sz w:val="15"/>
                <w:szCs w:val="15"/>
              </w:rPr>
              <w:t xml:space="preserve">ADR (Architecture Decision Records)</w:t>
            </w:r>
          </w:p>
        </w:tc>
        <w:tc>
          <w:tcPr>
            <w:tcW w:type="dxa" w:w="7150"/>
            <w:shd w:fill="F2F2F2" w:val="clear"/>
            <w:tcMar>
              <w:top w:type="dxa" w:w="55"/>
              <w:left w:type="dxa" w:w="80"/>
              <w:bottom w:type="dxa" w:w="55"/>
              <w:right w:type="dxa" w:w="80"/>
            </w:tcMar>
            <w:vAlign w:val="center"/>
          </w:tcPr>
          <w:p>
            <w:r>
              <w:rPr>
                <w:sz w:val="15"/>
                <w:szCs w:val="15"/>
              </w:rPr>
              <w:t xml:space="preserve">ADR-000 (Technical Architecture Document itself) onward — Context, Decision, Consequences, Status</w:t>
            </w:r>
          </w:p>
        </w:tc>
      </w:tr>
      <w:tr>
        <w:tc>
          <w:tcPr>
            <w:tcW w:type="dxa" w:w="2200"/>
            <w:shd w:fill="FFFFFF" w:val="clear"/>
            <w:tcMar>
              <w:top w:type="dxa" w:w="55"/>
              <w:left w:type="dxa" w:w="80"/>
              <w:bottom w:type="dxa" w:w="55"/>
              <w:right w:type="dxa" w:w="80"/>
            </w:tcMar>
            <w:vAlign w:val="center"/>
          </w:tcPr>
          <w:p>
            <w:r>
              <w:rPr>
                <w:sz w:val="15"/>
                <w:szCs w:val="15"/>
              </w:rPr>
              <w:t xml:space="preserve">Assumption Log</w:t>
            </w:r>
          </w:p>
        </w:tc>
        <w:tc>
          <w:tcPr>
            <w:tcW w:type="dxa" w:w="7150"/>
            <w:shd w:fill="FFFFFF" w:val="clear"/>
            <w:tcMar>
              <w:top w:type="dxa" w:w="55"/>
              <w:left w:type="dxa" w:w="80"/>
              <w:bottom w:type="dxa" w:w="55"/>
              <w:right w:type="dxa" w:w="80"/>
            </w:tcMar>
            <w:vAlign w:val="center"/>
          </w:tcPr>
          <w:p>
            <w:r>
              <w:rPr>
                <w:sz w:val="15"/>
                <w:szCs w:val="15"/>
              </w:rPr>
              <w:t xml:space="preserve">Assumption, Source Document, Validated? (Y/N), Validation Method, Date</w:t>
            </w:r>
          </w:p>
        </w:tc>
      </w:tr>
      <w:tr>
        <w:tc>
          <w:tcPr>
            <w:tcW w:type="dxa" w:w="2200"/>
            <w:shd w:fill="F2F2F2" w:val="clear"/>
            <w:tcMar>
              <w:top w:type="dxa" w:w="55"/>
              <w:left w:type="dxa" w:w="80"/>
              <w:bottom w:type="dxa" w:w="55"/>
              <w:right w:type="dxa" w:w="80"/>
            </w:tcMar>
            <w:vAlign w:val="center"/>
          </w:tcPr>
          <w:p>
            <w:r>
              <w:rPr>
                <w:sz w:val="15"/>
                <w:szCs w:val="15"/>
              </w:rPr>
              <w:t xml:space="preserve">Lessons Learned</w:t>
            </w:r>
          </w:p>
        </w:tc>
        <w:tc>
          <w:tcPr>
            <w:tcW w:type="dxa" w:w="7150"/>
            <w:shd w:fill="F2F2F2" w:val="clear"/>
            <w:tcMar>
              <w:top w:type="dxa" w:w="55"/>
              <w:left w:type="dxa" w:w="80"/>
              <w:bottom w:type="dxa" w:w="55"/>
              <w:right w:type="dxa" w:w="80"/>
            </w:tcMar>
            <w:vAlign w:val="center"/>
          </w:tcPr>
          <w:p>
            <w:r>
              <w:rPr>
                <w:sz w:val="15"/>
                <w:szCs w:val="15"/>
              </w:rPr>
              <w:t xml:space="preserve">Sprint/Release, What Worked, What Didn't, Action Item, Owner</w:t>
            </w:r>
          </w:p>
        </w:tc>
      </w:tr>
      <w:tr>
        <w:tc>
          <w:tcPr>
            <w:tcW w:type="dxa" w:w="2200"/>
            <w:shd w:fill="FFFFFF" w:val="clear"/>
            <w:tcMar>
              <w:top w:type="dxa" w:w="55"/>
              <w:left w:type="dxa" w:w="80"/>
              <w:bottom w:type="dxa" w:w="55"/>
              <w:right w:type="dxa" w:w="80"/>
            </w:tcMar>
            <w:vAlign w:val="center"/>
          </w:tcPr>
          <w:p>
            <w:r>
              <w:rPr>
                <w:sz w:val="15"/>
                <w:szCs w:val="15"/>
              </w:rPr>
              <w:t xml:space="preserve">Status Report (weekly)</w:t>
            </w:r>
          </w:p>
        </w:tc>
        <w:tc>
          <w:tcPr>
            <w:tcW w:type="dxa" w:w="7150"/>
            <w:shd w:fill="FFFFFF" w:val="clear"/>
            <w:tcMar>
              <w:top w:type="dxa" w:w="55"/>
              <w:left w:type="dxa" w:w="80"/>
              <w:bottom w:type="dxa" w:w="55"/>
              <w:right w:type="dxa" w:w="80"/>
            </w:tcMar>
            <w:vAlign w:val="center"/>
          </w:tcPr>
          <w:p>
            <w:r>
              <w:rPr>
                <w:sz w:val="15"/>
                <w:szCs w:val="15"/>
              </w:rPr>
              <w:t xml:space="preserve">Sprint progress %, Blockers, Risks changed this week, Upcoming milestones</w:t>
            </w:r>
          </w:p>
        </w:tc>
      </w:tr>
      <w:tr>
        <w:tc>
          <w:tcPr>
            <w:tcW w:type="dxa" w:w="2200"/>
            <w:shd w:fill="F2F2F2" w:val="clear"/>
            <w:tcMar>
              <w:top w:type="dxa" w:w="55"/>
              <w:left w:type="dxa" w:w="80"/>
              <w:bottom w:type="dxa" w:w="55"/>
              <w:right w:type="dxa" w:w="80"/>
            </w:tcMar>
            <w:vAlign w:val="center"/>
          </w:tcPr>
          <w:p>
            <w:r>
              <w:rPr>
                <w:sz w:val="15"/>
                <w:szCs w:val="15"/>
              </w:rPr>
              <w:t xml:space="preserve">Weekly PM Report</w:t>
            </w:r>
          </w:p>
        </w:tc>
        <w:tc>
          <w:tcPr>
            <w:tcW w:type="dxa" w:w="7150"/>
            <w:shd w:fill="F2F2F2" w:val="clear"/>
            <w:tcMar>
              <w:top w:type="dxa" w:w="55"/>
              <w:left w:type="dxa" w:w="80"/>
              <w:bottom w:type="dxa" w:w="55"/>
              <w:right w:type="dxa" w:w="80"/>
            </w:tcMar>
            <w:vAlign w:val="center"/>
          </w:tcPr>
          <w:p>
            <w:r>
              <w:rPr>
                <w:sz w:val="15"/>
                <w:szCs w:val="15"/>
              </w:rPr>
              <w:t xml:space="preserve">Velocity, Burndown, Scope changes, Team capacity/availability notes</w:t>
            </w:r>
          </w:p>
        </w:tc>
      </w:tr>
      <w:tr>
        <w:tc>
          <w:tcPr>
            <w:tcW w:type="dxa" w:w="2200"/>
            <w:shd w:fill="FFFFFF" w:val="clear"/>
            <w:tcMar>
              <w:top w:type="dxa" w:w="55"/>
              <w:left w:type="dxa" w:w="80"/>
              <w:bottom w:type="dxa" w:w="55"/>
              <w:right w:type="dxa" w:w="80"/>
            </w:tcMar>
            <w:vAlign w:val="center"/>
          </w:tcPr>
          <w:p>
            <w:r>
              <w:rPr>
                <w:sz w:val="15"/>
                <w:szCs w:val="15"/>
              </w:rPr>
              <w:t xml:space="preserve">Steering Committee Dashboard</w:t>
            </w:r>
          </w:p>
        </w:tc>
        <w:tc>
          <w:tcPr>
            <w:tcW w:type="dxa" w:w="7150"/>
            <w:shd w:fill="FFFFFF" w:val="clear"/>
            <w:tcMar>
              <w:top w:type="dxa" w:w="55"/>
              <w:left w:type="dxa" w:w="80"/>
              <w:bottom w:type="dxa" w:w="55"/>
              <w:right w:type="dxa" w:w="80"/>
            </w:tcMar>
            <w:vAlign w:val="center"/>
          </w:tcPr>
          <w:p>
            <w:r>
              <w:rPr>
                <w:sz w:val="15"/>
                <w:szCs w:val="15"/>
              </w:rPr>
              <w:t xml:space="preserve">RAG status per epic, budget vs. actual, upcoming decisions needed from the IC</w:t>
            </w:r>
          </w:p>
        </w:tc>
      </w:tr>
    </w:tbl>
    <w:p>
      <w:r>
        <w:br w:type="page"/>
      </w:r>
    </w:p>
    <w:p>
      <w:pPr>
        <w:pStyle w:val="Heading1"/>
        <w:pBdr>
          <w:bottom w:val="single" w:color="1F2A44" w:sz="8" w:space="4"/>
        </w:pBdr>
        <w:spacing w:after="190" w:before="380"/>
      </w:pPr>
      <w:r>
        <w:rPr>
          <w:b/>
          <w:bCs/>
          <w:color w:val="1F2A44"/>
          <w:sz w:val="28"/>
          <w:szCs w:val="28"/>
        </w:rPr>
        <w:t xml:space="preserve">16. Executive Delivery Roadmap</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7750"/>
      </w:tblGrid>
      <w:tr>
        <w:trPr>
          <w:tblHeader/>
        </w:trPr>
        <w:tc>
          <w:tcPr>
            <w:tcW w:type="dxa" w:w="1600"/>
            <w:shd w:fill="1F2A44" w:val="clear"/>
            <w:tcMar>
              <w:top w:type="dxa" w:w="70"/>
              <w:left w:type="dxa" w:w="90"/>
              <w:bottom w:type="dxa" w:w="70"/>
              <w:right w:type="dxa" w:w="90"/>
            </w:tcMar>
            <w:vAlign w:val="center"/>
          </w:tcPr>
          <w:p>
            <w:r>
              <w:rPr>
                <w:b/>
                <w:bCs/>
                <w:color w:val="FFFFFF"/>
                <w:sz w:val="15"/>
                <w:szCs w:val="15"/>
              </w:rPr>
              <w:t xml:space="preserve">Horizon</w:t>
            </w:r>
          </w:p>
        </w:tc>
        <w:tc>
          <w:tcPr>
            <w:tcW w:type="dxa" w:w="7750"/>
            <w:shd w:fill="1F2A44" w:val="clear"/>
            <w:tcMar>
              <w:top w:type="dxa" w:w="70"/>
              <w:left w:type="dxa" w:w="90"/>
              <w:bottom w:type="dxa" w:w="70"/>
              <w:right w:type="dxa" w:w="90"/>
            </w:tcMar>
            <w:vAlign w:val="center"/>
          </w:tcPr>
          <w:p>
            <w:r>
              <w:rPr>
                <w:b/>
                <w:bCs/>
                <w:color w:val="FFFFFF"/>
                <w:sz w:val="15"/>
                <w:szCs w:val="15"/>
              </w:rPr>
              <w:t xml:space="preserve">Milestone</w:t>
            </w:r>
          </w:p>
        </w:tc>
      </w:tr>
      <w:tr>
        <w:tc>
          <w:tcPr>
            <w:tcW w:type="dxa" w:w="1600"/>
            <w:shd w:fill="FFFFFF" w:val="clear"/>
            <w:tcMar>
              <w:top w:type="dxa" w:w="55"/>
              <w:left w:type="dxa" w:w="80"/>
              <w:bottom w:type="dxa" w:w="55"/>
              <w:right w:type="dxa" w:w="80"/>
            </w:tcMar>
            <w:vAlign w:val="center"/>
          </w:tcPr>
          <w:p>
            <w:r>
              <w:rPr>
                <w:sz w:val="15"/>
                <w:szCs w:val="15"/>
              </w:rPr>
              <w:t xml:space="preserve">30 days</w:t>
            </w:r>
          </w:p>
        </w:tc>
        <w:tc>
          <w:tcPr>
            <w:tcW w:type="dxa" w:w="7750"/>
            <w:shd w:fill="FFFFFF" w:val="clear"/>
            <w:tcMar>
              <w:top w:type="dxa" w:w="55"/>
              <w:left w:type="dxa" w:w="80"/>
              <w:bottom w:type="dxa" w:w="55"/>
              <w:right w:type="dxa" w:w="80"/>
            </w:tcMar>
            <w:vAlign w:val="center"/>
          </w:tcPr>
          <w:p>
            <w:r>
              <w:rPr>
                <w:sz w:val="15"/>
                <w:szCs w:val="15"/>
              </w:rPr>
              <w:t xml:space="preserve">Track 0 validation sprint resolves (GO/MODIFY/NO-GO). If GO: Sprint 0 begins.</w:t>
            </w:r>
          </w:p>
        </w:tc>
      </w:tr>
      <w:tr>
        <w:tc>
          <w:tcPr>
            <w:tcW w:type="dxa" w:w="1600"/>
            <w:shd w:fill="F2F2F2" w:val="clear"/>
            <w:tcMar>
              <w:top w:type="dxa" w:w="55"/>
              <w:left w:type="dxa" w:w="80"/>
              <w:bottom w:type="dxa" w:w="55"/>
              <w:right w:type="dxa" w:w="80"/>
            </w:tcMar>
            <w:vAlign w:val="center"/>
          </w:tcPr>
          <w:p>
            <w:r>
              <w:rPr>
                <w:sz w:val="15"/>
                <w:szCs w:val="15"/>
              </w:rPr>
              <w:t xml:space="preserve">60 days</w:t>
            </w:r>
          </w:p>
        </w:tc>
        <w:tc>
          <w:tcPr>
            <w:tcW w:type="dxa" w:w="7750"/>
            <w:shd w:fill="F2F2F2" w:val="clear"/>
            <w:tcMar>
              <w:top w:type="dxa" w:w="55"/>
              <w:left w:type="dxa" w:w="80"/>
              <w:bottom w:type="dxa" w:w="55"/>
              <w:right w:type="dxa" w:w="80"/>
            </w:tcMar>
            <w:vAlign w:val="center"/>
          </w:tcPr>
          <w:p>
            <w:r>
              <w:rPr>
                <w:sz w:val="15"/>
                <w:szCs w:val="15"/>
              </w:rPr>
              <w:t xml:space="preserve">Sprint 0 complete; Sprints 1–2 underway; Auth, Campaign creation, and QR redemption live in staging.</w:t>
            </w:r>
          </w:p>
        </w:tc>
      </w:tr>
      <w:tr>
        <w:tc>
          <w:tcPr>
            <w:tcW w:type="dxa" w:w="1600"/>
            <w:shd w:fill="FFFFFF" w:val="clear"/>
            <w:tcMar>
              <w:top w:type="dxa" w:w="55"/>
              <w:left w:type="dxa" w:w="80"/>
              <w:bottom w:type="dxa" w:w="55"/>
              <w:right w:type="dxa" w:w="80"/>
            </w:tcMar>
            <w:vAlign w:val="center"/>
          </w:tcPr>
          <w:p>
            <w:r>
              <w:rPr>
                <w:sz w:val="15"/>
                <w:szCs w:val="15"/>
              </w:rPr>
              <w:t xml:space="preserve">90 days</w:t>
            </w:r>
          </w:p>
        </w:tc>
        <w:tc>
          <w:tcPr>
            <w:tcW w:type="dxa" w:w="7750"/>
            <w:shd w:fill="FFFFFF" w:val="clear"/>
            <w:tcMar>
              <w:top w:type="dxa" w:w="55"/>
              <w:left w:type="dxa" w:w="80"/>
              <w:bottom w:type="dxa" w:w="55"/>
              <w:right w:type="dxa" w:w="80"/>
            </w:tcMar>
            <w:vAlign w:val="center"/>
          </w:tcPr>
          <w:p>
            <w:r>
              <w:rPr>
                <w:sz w:val="15"/>
                <w:szCs w:val="15"/>
              </w:rPr>
              <w:t xml:space="preserve">MVP feature-complete (Sprints 1–4 done); Hardening (Sprint 5) begins.</w:t>
            </w:r>
          </w:p>
        </w:tc>
      </w:tr>
      <w:tr>
        <w:tc>
          <w:tcPr>
            <w:tcW w:type="dxa" w:w="1600"/>
            <w:shd w:fill="F2F2F2" w:val="clear"/>
            <w:tcMar>
              <w:top w:type="dxa" w:w="55"/>
              <w:left w:type="dxa" w:w="80"/>
              <w:bottom w:type="dxa" w:w="55"/>
              <w:right w:type="dxa" w:w="80"/>
            </w:tcMar>
            <w:vAlign w:val="center"/>
          </w:tcPr>
          <w:p>
            <w:r>
              <w:rPr>
                <w:sz w:val="15"/>
                <w:szCs w:val="15"/>
              </w:rPr>
              <w:t xml:space="preserve">6 months</w:t>
            </w:r>
          </w:p>
        </w:tc>
        <w:tc>
          <w:tcPr>
            <w:tcW w:type="dxa" w:w="7750"/>
            <w:shd w:fill="F2F2F2" w:val="clear"/>
            <w:tcMar>
              <w:top w:type="dxa" w:w="55"/>
              <w:left w:type="dxa" w:w="80"/>
              <w:bottom w:type="dxa" w:w="55"/>
              <w:right w:type="dxa" w:w="80"/>
            </w:tcMar>
            <w:vAlign w:val="center"/>
          </w:tcPr>
          <w:p>
            <w:r>
              <w:rPr>
                <w:sz w:val="15"/>
                <w:szCs w:val="15"/>
              </w:rPr>
              <w:t xml:space="preserve">Private Beta running with real brand pilots; Public Beta preparation underway.</w:t>
            </w:r>
          </w:p>
        </w:tc>
      </w:tr>
      <w:tr>
        <w:tc>
          <w:tcPr>
            <w:tcW w:type="dxa" w:w="1600"/>
            <w:shd w:fill="FFFFFF" w:val="clear"/>
            <w:tcMar>
              <w:top w:type="dxa" w:w="55"/>
              <w:left w:type="dxa" w:w="80"/>
              <w:bottom w:type="dxa" w:w="55"/>
              <w:right w:type="dxa" w:w="80"/>
            </w:tcMar>
            <w:vAlign w:val="center"/>
          </w:tcPr>
          <w:p>
            <w:r>
              <w:rPr>
                <w:sz w:val="15"/>
                <w:szCs w:val="15"/>
              </w:rPr>
              <w:t xml:space="preserve">12 months</w:t>
            </w:r>
          </w:p>
        </w:tc>
        <w:tc>
          <w:tcPr>
            <w:tcW w:type="dxa" w:w="7750"/>
            <w:shd w:fill="FFFFFF" w:val="clear"/>
            <w:tcMar>
              <w:top w:type="dxa" w:w="55"/>
              <w:left w:type="dxa" w:w="80"/>
              <w:bottom w:type="dxa" w:w="55"/>
              <w:right w:type="dxa" w:w="80"/>
            </w:tcMar>
            <w:vAlign w:val="center"/>
          </w:tcPr>
          <w:p>
            <w:r>
              <w:rPr>
                <w:sz w:val="15"/>
                <w:szCs w:val="15"/>
              </w:rPr>
              <w:t xml:space="preserve">Production v1.0 live; v1.1 (Rewards, Referral, automated fraud detection) in progress; Year-2 hiring (Marketing, CS, HR, Support per Blueprint) underway.</w:t>
            </w:r>
          </w:p>
        </w:tc>
      </w:tr>
      <w:tr>
        <w:tc>
          <w:tcPr>
            <w:tcW w:type="dxa" w:w="1600"/>
            <w:shd w:fill="F2F2F2" w:val="clear"/>
            <w:tcMar>
              <w:top w:type="dxa" w:w="55"/>
              <w:left w:type="dxa" w:w="80"/>
              <w:bottom w:type="dxa" w:w="55"/>
              <w:right w:type="dxa" w:w="80"/>
            </w:tcMar>
            <w:vAlign w:val="center"/>
          </w:tcPr>
          <w:p>
            <w:r>
              <w:rPr>
                <w:sz w:val="15"/>
                <w:szCs w:val="15"/>
              </w:rPr>
              <w:t xml:space="preserve">24 months</w:t>
            </w:r>
          </w:p>
        </w:tc>
        <w:tc>
          <w:tcPr>
            <w:tcW w:type="dxa" w:w="7750"/>
            <w:shd w:fill="F2F2F2" w:val="clear"/>
            <w:tcMar>
              <w:top w:type="dxa" w:w="55"/>
              <w:left w:type="dxa" w:w="80"/>
              <w:bottom w:type="dxa" w:w="55"/>
              <w:right w:type="dxa" w:w="80"/>
            </w:tcMar>
            <w:vAlign w:val="center"/>
          </w:tcPr>
          <w:p>
            <w:r>
              <w:rPr>
                <w:sz w:val="15"/>
                <w:szCs w:val="15"/>
              </w:rPr>
              <w:t xml:space="preserve">v2.0 (AI Insights, Enterprise API) shipped, contingent on Egypt unit economics; GCC expansion evaluation begins only if that gate is cleared, per FDD.</w:t>
            </w:r>
          </w:p>
        </w:tc>
      </w:tr>
    </w:tbl>
    <w:p>
      <w:pPr>
        <w:pStyle w:val="Heading2"/>
        <w:spacing w:after="120" w:before="240"/>
      </w:pPr>
      <w:r>
        <w:rPr>
          <w:b/>
          <w:bCs/>
          <w:color w:val="1F2A44"/>
          <w:sz w:val="22"/>
          <w:szCs w:val="22"/>
        </w:rPr>
        <w:t xml:space="preserve">Critical Path</w:t>
      </w:r>
    </w:p>
    <w:p>
      <w:pPr>
        <w:spacing w:after="110" w:line="260"/>
      </w:pPr>
      <w:r>
        <w:rPr>
          <w:sz w:val="19"/>
          <w:szCs w:val="19"/>
        </w:rPr>
        <w:t xml:space="preserve">Track 0 GO decision → Sprint 0 (legal + infra, especially PDPL sign-off and data-residency region) → Sprint 2 QR Redemption (highest technical risk) → Sprint 3 PDPL sign-off hard gate → Sprint 4 Analytics Report → Hardening → Private Beta real-brand validation → Production.</w:t>
      </w:r>
    </w:p>
    <w:p>
      <w:pPr>
        <w:pStyle w:val="Heading2"/>
        <w:spacing w:after="120" w:before="240"/>
      </w:pPr>
      <w:r>
        <w:rPr>
          <w:b/>
          <w:bCs/>
          <w:color w:val="1F2A44"/>
          <w:sz w:val="22"/>
          <w:szCs w:val="22"/>
        </w:rPr>
        <w:t xml:space="preserve">Resource Allocation &amp; Hiring Timeline</w:t>
      </w:r>
    </w:p>
    <w:p>
      <w:pPr>
        <w:spacing w:after="110" w:line="260"/>
      </w:pPr>
      <w:r>
        <w:rPr>
          <w:sz w:val="19"/>
          <w:szCs w:val="19"/>
        </w:rPr>
        <w:t xml:space="preserve">Reused directly from the Master Execution Blueprint (Phase 3): Year 1 ~10–12 people, Year 2 ~25–35, Year 3 ~50–70 (conditional). No changes made here — this document executes that plan, it does not revise it.</w:t>
      </w:r>
    </w:p>
    <w:p>
      <w:pPr>
        <w:pStyle w:val="Heading2"/>
        <w:spacing w:after="120" w:before="240"/>
      </w:pPr>
      <w:r>
        <w:rPr>
          <w:b/>
          <w:bCs/>
          <w:color w:val="1F2A44"/>
          <w:sz w:val="22"/>
          <w:szCs w:val="22"/>
        </w:rPr>
        <w:t xml:space="preserve">Budget Timeline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50"/>
      </w:tblGrid>
      <w:tr>
        <w:trPr>
          <w:tblHeader/>
        </w:trPr>
        <w:tc>
          <w:tcPr>
            <w:tcW w:type="dxa" w:w="2400"/>
            <w:shd w:fill="1F2A44" w:val="clear"/>
            <w:tcMar>
              <w:top w:type="dxa" w:w="70"/>
              <w:left w:type="dxa" w:w="90"/>
              <w:bottom w:type="dxa" w:w="70"/>
              <w:right w:type="dxa" w:w="90"/>
            </w:tcMar>
            <w:vAlign w:val="center"/>
          </w:tcPr>
          <w:p>
            <w:r>
              <w:rPr>
                <w:b/>
                <w:bCs/>
                <w:color w:val="FFFFFF"/>
                <w:sz w:val="15"/>
                <w:szCs w:val="15"/>
              </w:rPr>
              <w:t xml:space="preserve">Window</w:t>
            </w:r>
          </w:p>
        </w:tc>
        <w:tc>
          <w:tcPr>
            <w:tcW w:type="dxa" w:w="6950"/>
            <w:shd w:fill="1F2A44" w:val="clear"/>
            <w:tcMar>
              <w:top w:type="dxa" w:w="70"/>
              <w:left w:type="dxa" w:w="90"/>
              <w:bottom w:type="dxa" w:w="70"/>
              <w:right w:type="dxa" w:w="90"/>
            </w:tcMar>
            <w:vAlign w:val="center"/>
          </w:tcPr>
          <w:p>
            <w:r>
              <w:rPr>
                <w:b/>
                <w:bCs/>
                <w:color w:val="FFFFFF"/>
                <w:sz w:val="15"/>
                <w:szCs w:val="15"/>
              </w:rPr>
              <w:t xml:space="preserve">Budget</w:t>
            </w:r>
          </w:p>
        </w:tc>
      </w:tr>
      <w:tr>
        <w:tc>
          <w:tcPr>
            <w:tcW w:type="dxa" w:w="2400"/>
            <w:shd w:fill="FFFFFF" w:val="clear"/>
            <w:tcMar>
              <w:top w:type="dxa" w:w="55"/>
              <w:left w:type="dxa" w:w="80"/>
              <w:bottom w:type="dxa" w:w="55"/>
              <w:right w:type="dxa" w:w="80"/>
            </w:tcMar>
            <w:vAlign w:val="center"/>
          </w:tcPr>
          <w:p>
            <w:r>
              <w:rPr>
                <w:sz w:val="15"/>
                <w:szCs w:val="15"/>
              </w:rPr>
              <w:t xml:space="preserve">Track 0 (now)</w:t>
            </w:r>
          </w:p>
        </w:tc>
        <w:tc>
          <w:tcPr>
            <w:tcW w:type="dxa" w:w="6950"/>
            <w:shd w:fill="FFFFFF" w:val="clear"/>
            <w:tcMar>
              <w:top w:type="dxa" w:w="55"/>
              <w:left w:type="dxa" w:w="80"/>
              <w:bottom w:type="dxa" w:w="55"/>
              <w:right w:type="dxa" w:w="80"/>
            </w:tcMar>
            <w:vAlign w:val="center"/>
          </w:tcPr>
          <w:p>
            <w:r>
              <w:rPr>
                <w:sz w:val="15"/>
                <w:szCs w:val="15"/>
              </w:rPr>
              <w:t xml:space="preserve">$15,000–25,000 (approved)</w:t>
            </w:r>
          </w:p>
        </w:tc>
      </w:tr>
      <w:tr>
        <w:tc>
          <w:tcPr>
            <w:tcW w:type="dxa" w:w="2400"/>
            <w:shd w:fill="F2F2F2" w:val="clear"/>
            <w:tcMar>
              <w:top w:type="dxa" w:w="55"/>
              <w:left w:type="dxa" w:w="80"/>
              <w:bottom w:type="dxa" w:w="55"/>
              <w:right w:type="dxa" w:w="80"/>
            </w:tcMar>
            <w:vAlign w:val="center"/>
          </w:tcPr>
          <w:p>
            <w:r>
              <w:rPr>
                <w:sz w:val="15"/>
                <w:szCs w:val="15"/>
              </w:rPr>
              <w:t xml:space="preserve">Sprint 0–6 (Lean MVP path)</w:t>
            </w:r>
          </w:p>
        </w:tc>
        <w:tc>
          <w:tcPr>
            <w:tcW w:type="dxa" w:w="6950"/>
            <w:shd w:fill="F2F2F2" w:val="clear"/>
            <w:tcMar>
              <w:top w:type="dxa" w:w="55"/>
              <w:left w:type="dxa" w:w="80"/>
              <w:bottom w:type="dxa" w:w="55"/>
              <w:right w:type="dxa" w:w="80"/>
            </w:tcMar>
            <w:vAlign w:val="center"/>
          </w:tcPr>
          <w:p>
            <w:r>
              <w:rPr>
                <w:sz w:val="15"/>
                <w:szCs w:val="15"/>
              </w:rPr>
              <w:t xml:space="preserve">$90,000–120,000 (per IC Memo Lean MVP alternative — recommended default over the $303K full build)</w:t>
            </w:r>
          </w:p>
        </w:tc>
      </w:tr>
      <w:tr>
        <w:tc>
          <w:tcPr>
            <w:tcW w:type="dxa" w:w="2400"/>
            <w:shd w:fill="FFFFFF" w:val="clear"/>
            <w:tcMar>
              <w:top w:type="dxa" w:w="55"/>
              <w:left w:type="dxa" w:w="80"/>
              <w:bottom w:type="dxa" w:w="55"/>
              <w:right w:type="dxa" w:w="80"/>
            </w:tcMar>
            <w:vAlign w:val="center"/>
          </w:tcPr>
          <w:p>
            <w:r>
              <w:rPr>
                <w:sz w:val="15"/>
                <w:szCs w:val="15"/>
              </w:rPr>
              <w:t xml:space="preserve">Monthly operating cost, post-MVP</w:t>
            </w:r>
          </w:p>
        </w:tc>
        <w:tc>
          <w:tcPr>
            <w:tcW w:type="dxa" w:w="6950"/>
            <w:shd w:fill="FFFFFF" w:val="clear"/>
            <w:tcMar>
              <w:top w:type="dxa" w:w="55"/>
              <w:left w:type="dxa" w:w="80"/>
              <w:bottom w:type="dxa" w:w="55"/>
              <w:right w:type="dxa" w:w="80"/>
            </w:tcMar>
            <w:vAlign w:val="center"/>
          </w:tcPr>
          <w:p>
            <w:r>
              <w:rPr>
                <w:sz w:val="15"/>
                <w:szCs w:val="15"/>
              </w:rPr>
              <w:t xml:space="preserve">≈$45,000/month (per IC Memo, unvalidated until real campaigns run)</w:t>
            </w:r>
          </w:p>
        </w:tc>
      </w:tr>
    </w:tbl>
    <w:p>
      <w:r>
        <w:br w:type="page"/>
      </w:r>
    </w:p>
    <w:p>
      <w:pPr>
        <w:pStyle w:val="Heading1"/>
        <w:pBdr>
          <w:bottom w:val="single" w:color="1F2A44" w:sz="8" w:space="4"/>
        </w:pBdr>
        <w:spacing w:after="190" w:before="380"/>
      </w:pPr>
      <w:r>
        <w:rPr>
          <w:b/>
          <w:bCs/>
          <w:color w:val="1F2A44"/>
          <w:sz w:val="28"/>
          <w:szCs w:val="28"/>
        </w:rPr>
        <w:t xml:space="preserve">17. Final Project Readiness Assessment (PMO Audit)</w:t>
      </w:r>
    </w:p>
    <w:p>
      <w:pPr>
        <w:spacing w:after="110" w:line="260"/>
      </w:pPr>
      <w:r>
        <w:rPr>
          <w:sz w:val="19"/>
          <w:szCs w:val="19"/>
        </w:rPr>
        <w:t xml:space="preserve">A genuine audit surfaces real gaps rather than rubber-stamping completeness. Findings below.</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1400"/>
        <w:gridCol w:w="6050"/>
      </w:tblGrid>
      <w:tr>
        <w:trPr>
          <w:tblHeader/>
        </w:trPr>
        <w:tc>
          <w:tcPr>
            <w:tcW w:type="dxa" w:w="1900"/>
            <w:shd w:fill="1F2A44" w:val="clear"/>
            <w:tcMar>
              <w:top w:type="dxa" w:w="70"/>
              <w:left w:type="dxa" w:w="90"/>
              <w:bottom w:type="dxa" w:w="70"/>
              <w:right w:type="dxa" w:w="90"/>
            </w:tcMar>
            <w:vAlign w:val="center"/>
          </w:tcPr>
          <w:p>
            <w:r>
              <w:rPr>
                <w:b/>
                <w:bCs/>
                <w:color w:val="FFFFFF"/>
                <w:sz w:val="15"/>
                <w:szCs w:val="15"/>
              </w:rPr>
              <w:t xml:space="preserve">Audit Check</w:t>
            </w:r>
          </w:p>
        </w:tc>
        <w:tc>
          <w:tcPr>
            <w:tcW w:type="dxa" w:w="1400"/>
            <w:shd w:fill="1F2A44" w:val="clear"/>
            <w:tcMar>
              <w:top w:type="dxa" w:w="70"/>
              <w:left w:type="dxa" w:w="90"/>
              <w:bottom w:type="dxa" w:w="70"/>
              <w:right w:type="dxa" w:w="90"/>
            </w:tcMar>
            <w:vAlign w:val="center"/>
          </w:tcPr>
          <w:p>
            <w:r>
              <w:rPr>
                <w:b/>
                <w:bCs/>
                <w:color w:val="FFFFFF"/>
                <w:sz w:val="15"/>
                <w:szCs w:val="15"/>
              </w:rPr>
              <w:t xml:space="preserve">Result</w:t>
            </w:r>
          </w:p>
        </w:tc>
        <w:tc>
          <w:tcPr>
            <w:tcW w:type="dxa" w:w="6050"/>
            <w:shd w:fill="1F2A44" w:val="clear"/>
            <w:tcMar>
              <w:top w:type="dxa" w:w="70"/>
              <w:left w:type="dxa" w:w="90"/>
              <w:bottom w:type="dxa" w:w="70"/>
              <w:right w:type="dxa" w:w="90"/>
            </w:tcMar>
            <w:vAlign w:val="center"/>
          </w:tcPr>
          <w:p>
            <w:r>
              <w:rPr>
                <w:b/>
                <w:bCs/>
                <w:color w:val="FFFFFF"/>
                <w:sz w:val="15"/>
                <w:szCs w:val="15"/>
              </w:rPr>
              <w:t xml:space="preserve">Note</w:t>
            </w:r>
          </w:p>
        </w:tc>
      </w:tr>
      <w:tr>
        <w:tc>
          <w:tcPr>
            <w:tcW w:type="dxa" w:w="1900"/>
            <w:shd w:fill="FFFFFF" w:val="clear"/>
            <w:tcMar>
              <w:top w:type="dxa" w:w="55"/>
              <w:left w:type="dxa" w:w="80"/>
              <w:bottom w:type="dxa" w:w="55"/>
              <w:right w:type="dxa" w:w="80"/>
            </w:tcMar>
            <w:vAlign w:val="center"/>
          </w:tcPr>
          <w:p>
            <w:r>
              <w:rPr>
                <w:sz w:val="15"/>
                <w:szCs w:val="15"/>
              </w:rPr>
              <w:t xml:space="preserve">Missing features</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All 22 PRD features are backlog-mapped</w:t>
            </w:r>
          </w:p>
        </w:tc>
      </w:tr>
      <w:tr>
        <w:tc>
          <w:tcPr>
            <w:tcW w:type="dxa" w:w="1900"/>
            <w:shd w:fill="F2F2F2" w:val="clear"/>
            <w:tcMar>
              <w:top w:type="dxa" w:w="55"/>
              <w:left w:type="dxa" w:w="80"/>
              <w:bottom w:type="dxa" w:w="55"/>
              <w:right w:type="dxa" w:w="80"/>
            </w:tcMar>
            <w:vAlign w:val="center"/>
          </w:tcPr>
          <w:p>
            <w:r>
              <w:rPr>
                <w:sz w:val="15"/>
                <w:szCs w:val="15"/>
              </w:rPr>
              <w:t xml:space="preserve">Missing APIs</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All Technical Architecture Phase 8 endpoints have a backlog owner</w:t>
            </w:r>
          </w:p>
        </w:tc>
      </w:tr>
      <w:tr>
        <w:tc>
          <w:tcPr>
            <w:tcW w:type="dxa" w:w="1900"/>
            <w:shd w:fill="FFFFFF" w:val="clear"/>
            <w:tcMar>
              <w:top w:type="dxa" w:w="55"/>
              <w:left w:type="dxa" w:w="80"/>
              <w:bottom w:type="dxa" w:w="55"/>
              <w:right w:type="dxa" w:w="80"/>
            </w:tcMar>
            <w:vAlign w:val="center"/>
          </w:tcPr>
          <w:p>
            <w:r>
              <w:rPr>
                <w:sz w:val="15"/>
                <w:szCs w:val="15"/>
              </w:rPr>
              <w:t xml:space="preserve">Missing database entities</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All 12 Master PRD entities are in the WBS/backlog scope</w:t>
            </w:r>
          </w:p>
        </w:tc>
      </w:tr>
      <w:tr>
        <w:tc>
          <w:tcPr>
            <w:tcW w:type="dxa" w:w="1900"/>
            <w:shd w:fill="F2F2F2" w:val="clear"/>
            <w:tcMar>
              <w:top w:type="dxa" w:w="55"/>
              <w:left w:type="dxa" w:w="80"/>
              <w:bottom w:type="dxa" w:w="55"/>
              <w:right w:type="dxa" w:w="80"/>
            </w:tcMar>
            <w:vAlign w:val="center"/>
          </w:tcPr>
          <w:p>
            <w:r>
              <w:rPr>
                <w:sz w:val="15"/>
                <w:szCs w:val="15"/>
              </w:rPr>
              <w:t xml:space="preserve">Missing security requirements</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Section 11 maps every Technical Architecture Phase 6 control to a task</w:t>
            </w:r>
          </w:p>
        </w:tc>
      </w:tr>
      <w:tr>
        <w:tc>
          <w:tcPr>
            <w:tcW w:type="dxa" w:w="1900"/>
            <w:shd w:fill="FFFFFF" w:val="clear"/>
            <w:tcMar>
              <w:top w:type="dxa" w:w="55"/>
              <w:left w:type="dxa" w:w="80"/>
              <w:bottom w:type="dxa" w:w="55"/>
              <w:right w:type="dxa" w:w="80"/>
            </w:tcMar>
            <w:vAlign w:val="center"/>
          </w:tcPr>
          <w:p>
            <w:r>
              <w:rPr>
                <w:sz w:val="15"/>
                <w:szCs w:val="15"/>
              </w:rPr>
              <w:t xml:space="preserve">Missing infrastructure</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Section 10 covers every Technical Architecture Phase 5 component</w:t>
            </w:r>
          </w:p>
        </w:tc>
      </w:tr>
      <w:tr>
        <w:tc>
          <w:tcPr>
            <w:tcW w:type="dxa" w:w="1900"/>
            <w:shd w:fill="F2F2F2" w:val="clear"/>
            <w:tcMar>
              <w:top w:type="dxa" w:w="55"/>
              <w:left w:type="dxa" w:w="80"/>
              <w:bottom w:type="dxa" w:w="55"/>
              <w:right w:type="dxa" w:w="80"/>
            </w:tcMar>
            <w:vAlign w:val="center"/>
          </w:tcPr>
          <w:p>
            <w:r>
              <w:rPr>
                <w:sz w:val="15"/>
                <w:szCs w:val="15"/>
              </w:rPr>
              <w:t xml:space="preserve">Missing QA</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Section 9 covers every requested test type</w:t>
            </w:r>
          </w:p>
        </w:tc>
      </w:tr>
      <w:tr>
        <w:tc>
          <w:tcPr>
            <w:tcW w:type="dxa" w:w="1900"/>
            <w:shd w:fill="FFFFFF" w:val="clear"/>
            <w:tcMar>
              <w:top w:type="dxa" w:w="55"/>
              <w:left w:type="dxa" w:w="80"/>
              <w:bottom w:type="dxa" w:w="55"/>
              <w:right w:type="dxa" w:w="80"/>
            </w:tcMar>
            <w:vAlign w:val="center"/>
          </w:tcPr>
          <w:p>
            <w:r>
              <w:rPr>
                <w:sz w:val="15"/>
                <w:szCs w:val="15"/>
              </w:rPr>
              <w:t xml:space="preserve">Missing documentation</w:t>
            </w:r>
          </w:p>
        </w:tc>
        <w:tc>
          <w:tcPr>
            <w:tcW w:type="dxa" w:w="1400"/>
            <w:shd w:fill="FFFFFF" w:val="clear"/>
            <w:tcMar>
              <w:top w:type="dxa" w:w="55"/>
              <w:left w:type="dxa" w:w="80"/>
              <w:bottom w:type="dxa" w:w="55"/>
              <w:right w:type="dxa" w:w="80"/>
            </w:tcMar>
            <w:vAlign w:val="center"/>
          </w:tcPr>
          <w:p>
            <w:r>
              <w:rPr>
                <w:sz w:val="15"/>
                <w:szCs w:val="15"/>
              </w:rPr>
              <w:t xml:space="preserve">Partial gap</w:t>
            </w:r>
          </w:p>
        </w:tc>
        <w:tc>
          <w:tcPr>
            <w:tcW w:type="dxa" w:w="6050"/>
            <w:shd w:fill="FFFFFF" w:val="clear"/>
            <w:tcMar>
              <w:top w:type="dxa" w:w="55"/>
              <w:left w:type="dxa" w:w="80"/>
              <w:bottom w:type="dxa" w:w="55"/>
              <w:right w:type="dxa" w:w="80"/>
            </w:tcMar>
            <w:vAlign w:val="center"/>
          </w:tcPr>
          <w:p>
            <w:r>
              <w:rPr>
                <w:sz w:val="15"/>
                <w:szCs w:val="15"/>
              </w:rPr>
              <w:t xml:space="preserve">Marketing/Sales enablement content (Section 14) is flagged as owned outside Engineering/PMO — real dependency, not fully planned here</w:t>
            </w:r>
          </w:p>
        </w:tc>
      </w:tr>
      <w:tr>
        <w:tc>
          <w:tcPr>
            <w:tcW w:type="dxa" w:w="1900"/>
            <w:shd w:fill="F2F2F2" w:val="clear"/>
            <w:tcMar>
              <w:top w:type="dxa" w:w="55"/>
              <w:left w:type="dxa" w:w="80"/>
              <w:bottom w:type="dxa" w:w="55"/>
              <w:right w:type="dxa" w:w="80"/>
            </w:tcMar>
            <w:vAlign w:val="center"/>
          </w:tcPr>
          <w:p>
            <w:r>
              <w:rPr>
                <w:sz w:val="15"/>
                <w:szCs w:val="15"/>
              </w:rPr>
              <w:t xml:space="preserve">Missing deployment tasks</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Section 10 CI/CD and Section 14 Go-Live cover this</w:t>
            </w:r>
          </w:p>
        </w:tc>
      </w:tr>
      <w:tr>
        <w:tc>
          <w:tcPr>
            <w:tcW w:type="dxa" w:w="1900"/>
            <w:shd w:fill="FFFFFF" w:val="clear"/>
            <w:tcMar>
              <w:top w:type="dxa" w:w="55"/>
              <w:left w:type="dxa" w:w="80"/>
              <w:bottom w:type="dxa" w:w="55"/>
              <w:right w:type="dxa" w:w="80"/>
            </w:tcMar>
            <w:vAlign w:val="center"/>
          </w:tcPr>
          <w:p>
            <w:r>
              <w:rPr>
                <w:sz w:val="15"/>
                <w:szCs w:val="15"/>
              </w:rPr>
              <w:t xml:space="preserve">Missing operational tasks</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Section 13 covers runbooks/playbooks/escalation</w:t>
            </w:r>
          </w:p>
        </w:tc>
      </w:tr>
      <w:tr>
        <w:tc>
          <w:tcPr>
            <w:tcW w:type="dxa" w:w="1900"/>
            <w:shd w:fill="F2F2F2" w:val="clear"/>
            <w:tcMar>
              <w:top w:type="dxa" w:w="55"/>
              <w:left w:type="dxa" w:w="80"/>
              <w:bottom w:type="dxa" w:w="55"/>
              <w:right w:type="dxa" w:w="80"/>
            </w:tcMar>
            <w:vAlign w:val="center"/>
          </w:tcPr>
          <w:p>
            <w:r>
              <w:rPr>
                <w:sz w:val="15"/>
                <w:szCs w:val="15"/>
              </w:rPr>
              <w:t xml:space="preserve">Missing monitoring</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Section 10 and Section 14 cover this</w:t>
            </w:r>
          </w:p>
        </w:tc>
      </w:tr>
      <w:tr>
        <w:tc>
          <w:tcPr>
            <w:tcW w:type="dxa" w:w="1900"/>
            <w:shd w:fill="FFFFFF" w:val="clear"/>
            <w:tcMar>
              <w:top w:type="dxa" w:w="55"/>
              <w:left w:type="dxa" w:w="80"/>
              <w:bottom w:type="dxa" w:w="55"/>
              <w:right w:type="dxa" w:w="80"/>
            </w:tcMar>
            <w:vAlign w:val="center"/>
          </w:tcPr>
          <w:p>
            <w:r>
              <w:rPr>
                <w:sz w:val="15"/>
                <w:szCs w:val="15"/>
              </w:rPr>
              <w:t xml:space="preserve">Missing legal requirements</w:t>
            </w:r>
          </w:p>
        </w:tc>
        <w:tc>
          <w:tcPr>
            <w:tcW w:type="dxa" w:w="1400"/>
            <w:shd w:fill="FFFFFF" w:val="clear"/>
            <w:tcMar>
              <w:top w:type="dxa" w:w="55"/>
              <w:left w:type="dxa" w:w="80"/>
              <w:bottom w:type="dxa" w:w="55"/>
              <w:right w:type="dxa" w:w="80"/>
            </w:tcMar>
            <w:vAlign w:val="center"/>
          </w:tcPr>
          <w:p>
            <w:r>
              <w:rPr>
                <w:sz w:val="15"/>
                <w:szCs w:val="15"/>
              </w:rPr>
              <w:t xml:space="preserve">Real open item</w:t>
            </w:r>
          </w:p>
        </w:tc>
        <w:tc>
          <w:tcPr>
            <w:tcW w:type="dxa" w:w="6050"/>
            <w:shd w:fill="FFFFFF" w:val="clear"/>
            <w:tcMar>
              <w:top w:type="dxa" w:w="55"/>
              <w:left w:type="dxa" w:w="80"/>
              <w:bottom w:type="dxa" w:w="55"/>
              <w:right w:type="dxa" w:w="80"/>
            </w:tcMar>
            <w:vAlign w:val="center"/>
          </w:tcPr>
          <w:p>
            <w:r>
              <w:rPr>
                <w:sz w:val="15"/>
                <w:szCs w:val="15"/>
              </w:rPr>
              <w:t xml:space="preserve">AWS data-residency region and PDPL deletion-timeframe SLA are both still pending legal confirmation — flagged as R-04/R-09, not resolved by this document</w:t>
            </w:r>
          </w:p>
        </w:tc>
      </w:tr>
      <w:tr>
        <w:tc>
          <w:tcPr>
            <w:tcW w:type="dxa" w:w="1900"/>
            <w:shd w:fill="F2F2F2" w:val="clear"/>
            <w:tcMar>
              <w:top w:type="dxa" w:w="55"/>
              <w:left w:type="dxa" w:w="80"/>
              <w:bottom w:type="dxa" w:w="55"/>
              <w:right w:type="dxa" w:w="80"/>
            </w:tcMar>
            <w:vAlign w:val="center"/>
          </w:tcPr>
          <w:p>
            <w:r>
              <w:rPr>
                <w:sz w:val="15"/>
                <w:szCs w:val="15"/>
              </w:rPr>
              <w:t xml:space="preserve">Missing integrations</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Section 8 (via Technical Architecture Phase 8) covers all planned integrations</w:t>
            </w:r>
          </w:p>
        </w:tc>
      </w:tr>
      <w:tr>
        <w:tc>
          <w:tcPr>
            <w:tcW w:type="dxa" w:w="1900"/>
            <w:shd w:fill="FFFFFF" w:val="clear"/>
            <w:tcMar>
              <w:top w:type="dxa" w:w="55"/>
              <w:left w:type="dxa" w:w="80"/>
              <w:bottom w:type="dxa" w:w="55"/>
              <w:right w:type="dxa" w:w="80"/>
            </w:tcMar>
            <w:vAlign w:val="center"/>
          </w:tcPr>
          <w:p>
            <w:r>
              <w:rPr>
                <w:sz w:val="15"/>
                <w:szCs w:val="15"/>
              </w:rPr>
              <w:t xml:space="preserve">Orphan tasks</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Every backlog item traces to an Epic, which traces to a PRD feature</w:t>
            </w:r>
          </w:p>
        </w:tc>
      </w:tr>
      <w:tr>
        <w:tc>
          <w:tcPr>
            <w:tcW w:type="dxa" w:w="1900"/>
            <w:shd w:fill="F2F2F2" w:val="clear"/>
            <w:tcMar>
              <w:top w:type="dxa" w:w="55"/>
              <w:left w:type="dxa" w:w="80"/>
              <w:bottom w:type="dxa" w:w="55"/>
              <w:right w:type="dxa" w:w="80"/>
            </w:tcMar>
            <w:vAlign w:val="center"/>
          </w:tcPr>
          <w:p>
            <w:r>
              <w:rPr>
                <w:sz w:val="15"/>
                <w:szCs w:val="15"/>
              </w:rPr>
              <w:t xml:space="preserve">Circular dependencies</w:t>
            </w:r>
          </w:p>
        </w:tc>
        <w:tc>
          <w:tcPr>
            <w:tcW w:type="dxa" w:w="1400"/>
            <w:shd w:fill="F2F2F2" w:val="clear"/>
            <w:tcMar>
              <w:top w:type="dxa" w:w="55"/>
              <w:left w:type="dxa" w:w="80"/>
              <w:bottom w:type="dxa" w:w="55"/>
              <w:right w:type="dxa" w:w="80"/>
            </w:tcMar>
            <w:vAlign w:val="center"/>
          </w:tcPr>
          <w:p>
            <w:r>
              <w:rPr>
                <w:sz w:val="15"/>
                <w:szCs w:val="15"/>
              </w:rPr>
              <w:t xml:space="preserve">None found</w:t>
            </w:r>
          </w:p>
        </w:tc>
        <w:tc>
          <w:tcPr>
            <w:tcW w:type="dxa" w:w="6050"/>
            <w:shd w:fill="F2F2F2" w:val="clear"/>
            <w:tcMar>
              <w:top w:type="dxa" w:w="55"/>
              <w:left w:type="dxa" w:w="80"/>
              <w:bottom w:type="dxa" w:w="55"/>
              <w:right w:type="dxa" w:w="80"/>
            </w:tcMar>
            <w:vAlign w:val="center"/>
          </w:tcPr>
          <w:p>
            <w:r>
              <w:rPr>
                <w:sz w:val="15"/>
                <w:szCs w:val="15"/>
              </w:rPr>
              <w:t xml:space="preserve">Dependency Matrix (Section 5) is a DAG — no cycles</w:t>
            </w:r>
          </w:p>
        </w:tc>
      </w:tr>
      <w:tr>
        <w:tc>
          <w:tcPr>
            <w:tcW w:type="dxa" w:w="1900"/>
            <w:shd w:fill="FFFFFF" w:val="clear"/>
            <w:tcMar>
              <w:top w:type="dxa" w:w="55"/>
              <w:left w:type="dxa" w:w="80"/>
              <w:bottom w:type="dxa" w:w="55"/>
              <w:right w:type="dxa" w:w="80"/>
            </w:tcMar>
            <w:vAlign w:val="center"/>
          </w:tcPr>
          <w:p>
            <w:r>
              <w:rPr>
                <w:sz w:val="15"/>
                <w:szCs w:val="15"/>
              </w:rPr>
              <w:t xml:space="preserve">Sprint conflicts</w:t>
            </w:r>
          </w:p>
        </w:tc>
        <w:tc>
          <w:tcPr>
            <w:tcW w:type="dxa" w:w="1400"/>
            <w:shd w:fill="FFFFFF" w:val="clear"/>
            <w:tcMar>
              <w:top w:type="dxa" w:w="55"/>
              <w:left w:type="dxa" w:w="80"/>
              <w:bottom w:type="dxa" w:w="55"/>
              <w:right w:type="dxa" w:w="80"/>
            </w:tcMar>
            <w:vAlign w:val="center"/>
          </w:tcPr>
          <w:p>
            <w:r>
              <w:rPr>
                <w:sz w:val="15"/>
                <w:szCs w:val="15"/>
              </w:rPr>
              <w:t xml:space="preserve">None found</w:t>
            </w:r>
          </w:p>
        </w:tc>
        <w:tc>
          <w:tcPr>
            <w:tcW w:type="dxa" w:w="6050"/>
            <w:shd w:fill="FFFFFF" w:val="clear"/>
            <w:tcMar>
              <w:top w:type="dxa" w:w="55"/>
              <w:left w:type="dxa" w:w="80"/>
              <w:bottom w:type="dxa" w:w="55"/>
              <w:right w:type="dxa" w:w="80"/>
            </w:tcMar>
            <w:vAlign w:val="center"/>
          </w:tcPr>
          <w:p>
            <w:r>
              <w:rPr>
                <w:sz w:val="15"/>
                <w:szCs w:val="15"/>
              </w:rPr>
              <w:t xml:space="preserve">No story is assigned to a sprint before its dependencies' sprints</w:t>
            </w:r>
          </w:p>
        </w:tc>
      </w:tr>
      <w:tr>
        <w:tc>
          <w:tcPr>
            <w:tcW w:type="dxa" w:w="1900"/>
            <w:shd w:fill="F2F2F2" w:val="clear"/>
            <w:tcMar>
              <w:top w:type="dxa" w:w="55"/>
              <w:left w:type="dxa" w:w="80"/>
              <w:bottom w:type="dxa" w:w="55"/>
              <w:right w:type="dxa" w:w="80"/>
            </w:tcMar>
            <w:vAlign w:val="center"/>
          </w:tcPr>
          <w:p>
            <w:r>
              <w:rPr>
                <w:sz w:val="15"/>
                <w:szCs w:val="15"/>
              </w:rPr>
              <w:t xml:space="preserve">Impossible timeline</w:t>
            </w:r>
          </w:p>
        </w:tc>
        <w:tc>
          <w:tcPr>
            <w:tcW w:type="dxa" w:w="1400"/>
            <w:shd w:fill="F2F2F2" w:val="clear"/>
            <w:tcMar>
              <w:top w:type="dxa" w:w="55"/>
              <w:left w:type="dxa" w:w="80"/>
              <w:bottom w:type="dxa" w:w="55"/>
              <w:right w:type="dxa" w:w="80"/>
            </w:tcMar>
            <w:vAlign w:val="center"/>
          </w:tcPr>
          <w:p>
            <w:r>
              <w:rPr>
                <w:sz w:val="15"/>
                <w:szCs w:val="15"/>
              </w:rPr>
              <w:t xml:space="preserve">Not assessed against real velocity</w:t>
            </w:r>
          </w:p>
        </w:tc>
        <w:tc>
          <w:tcPr>
            <w:tcW w:type="dxa" w:w="6050"/>
            <w:shd w:fill="F2F2F2" w:val="clear"/>
            <w:tcMar>
              <w:top w:type="dxa" w:w="55"/>
              <w:left w:type="dxa" w:w="80"/>
              <w:bottom w:type="dxa" w:w="55"/>
              <w:right w:type="dxa" w:w="80"/>
            </w:tcMar>
            <w:vAlign w:val="center"/>
          </w:tcPr>
          <w:p>
            <w:r>
              <w:rPr>
                <w:sz w:val="15"/>
                <w:szCs w:val="15"/>
              </w:rPr>
              <w:t xml:space="preserve">24-week estimate is bottom-up from story points but has not been validated against actual team throughput — first true signal arrives at Sprint 1 retro</w:t>
            </w:r>
          </w:p>
        </w:tc>
      </w:tr>
    </w:tbl>
    <w:p>
      <w:r>
        <w:br w:type="page"/>
      </w:r>
    </w:p>
    <w:p>
      <w:pPr>
        <w:pStyle w:val="Heading1"/>
        <w:pBdr>
          <w:bottom w:val="single" w:color="1F2A44" w:sz="8" w:space="4"/>
        </w:pBdr>
        <w:spacing w:after="190" w:before="380"/>
      </w:pPr>
      <w:r>
        <w:rPr>
          <w:b/>
          <w:bCs/>
          <w:color w:val="1F2A44"/>
          <w:sz w:val="28"/>
          <w:szCs w:val="28"/>
        </w:rPr>
        <w:t xml:space="preserve">18. Critical Risks Before Development</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40"/>
              <w:left w:type="dxa" w:w="180"/>
              <w:bottom w:type="dxa" w:w="140"/>
              <w:right w:type="dxa" w:w="180"/>
            </w:tcMar>
          </w:tcPr>
          <w:p>
            <w:pPr>
              <w:spacing w:after="80"/>
            </w:pPr>
            <w:r>
              <w:rPr>
                <w:b/>
                <w:bCs/>
                <w:color w:val="C0392B"/>
                <w:sz w:val="20"/>
                <w:szCs w:val="20"/>
              </w:rPr>
              <w:t xml:space="preserve">#1 — This is not a future risk, it is the plan's current status</w:t>
            </w:r>
          </w:p>
          <w:p>
            <w:pPr>
              <w:spacing w:after="45"/>
            </w:pPr>
            <w:r>
              <w:rPr>
                <w:sz w:val="18"/>
                <w:szCs w:val="18"/>
              </w:rPr>
              <w:t xml:space="preserve">• Per the Investment Committee Memo v1.0, only a $15,000–25,000, 60-day validation sprint is currently approved. This entire Master Delivery Plan — Sprint 0 through Production, all budget timelines, all hiring — is planned to be ready the moment that sprint clears its Go/No-Go gate, but that gate has not been confirmed passed as of this document.</w:t>
            </w:r>
          </w:p>
          <w:p>
            <w:pPr>
              <w:spacing w:after="45"/>
            </w:pPr>
            <w:r>
              <w:rPr>
                <w:sz w:val="18"/>
                <w:szCs w:val="18"/>
              </w:rPr>
              <w:t xml:space="preserve">• Do not open Sprint 0 against this plan without an explicit GO confirmation from the Investment Committee, per IC Memo §11 criteria.</w:t>
            </w:r>
          </w:p>
        </w:tc>
      </w:tr>
    </w:tbl>
    <w:p>
      <w:pPr>
        <w:pStyle w:val="Heading2"/>
        <w:spacing w:after="120" w:before="240"/>
      </w:pPr>
      <w:r>
        <w:rPr>
          <w:b/>
          <w:bCs/>
          <w:color w:val="1F2A44"/>
          <w:sz w:val="22"/>
          <w:szCs w:val="22"/>
        </w:rPr>
        <w:t xml:space="preserve">Other critical pre-development risks</w:t>
      </w:r>
    </w:p>
    <w:p>
      <w:pPr>
        <w:pStyle w:val="ListParagraph"/>
        <w:numPr>
          <w:ilvl w:val="0"/>
          <w:numId w:val="1"/>
        </w:numPr>
        <w:spacing w:after="55"/>
      </w:pPr>
      <w:r>
        <w:rPr>
          <w:sz w:val="19"/>
          <w:szCs w:val="19"/>
        </w:rPr>
        <w:t xml:space="preserve">PDPL legal sign-off (data-deletion SLA, data-residency region) is unresolved — both are hard gates for Sprint 0/3, not soft dependencies.</w:t>
      </w:r>
    </w:p>
    <w:p>
      <w:pPr>
        <w:pStyle w:val="ListParagraph"/>
        <w:numPr>
          <w:ilvl w:val="0"/>
          <w:numId w:val="1"/>
        </w:numPr>
        <w:spacing w:after="55"/>
      </w:pPr>
      <w:r>
        <w:rPr>
          <w:sz w:val="19"/>
          <w:szCs w:val="19"/>
        </w:rPr>
        <w:t xml:space="preserve">QR redemption concurrency (R-03) is the single highest-severity technical risk in the MVP — recommend a Sprint 0 spike, not waiting for Sprint 2.</w:t>
      </w:r>
    </w:p>
    <w:p>
      <w:pPr>
        <w:pStyle w:val="ListParagraph"/>
        <w:numPr>
          <w:ilvl w:val="0"/>
          <w:numId w:val="1"/>
        </w:numPr>
        <w:spacing w:after="55"/>
      </w:pPr>
      <w:r>
        <w:rPr>
          <w:sz w:val="19"/>
          <w:szCs w:val="19"/>
        </w:rPr>
        <w:t xml:space="preserve">Retail-partner location agreements are a Sales/Ops dependency with no engineering fallback — must be underway before Sprint 2, ideally starting in Track 0.</w:t>
      </w:r>
    </w:p>
    <w:p>
      <w:pPr>
        <w:pStyle w:val="ListParagraph"/>
        <w:numPr>
          <w:ilvl w:val="0"/>
          <w:numId w:val="1"/>
        </w:numPr>
        <w:spacing w:after="55"/>
      </w:pPr>
      <w:r>
        <w:rPr>
          <w:sz w:val="19"/>
          <w:szCs w:val="19"/>
        </w:rPr>
        <w:t xml:space="preserve">Team capacity (5 engineers) against the estimated Sprint 1–4 scope has not been velocity-tested — first real signal only arrives after Sprint 1.</w:t>
      </w:r>
    </w:p>
    <w:p>
      <w:r>
        <w:br w:type="page"/>
      </w:r>
    </w:p>
    <w:p>
      <w:pPr>
        <w:pStyle w:val="Heading1"/>
        <w:pBdr>
          <w:bottom w:val="single" w:color="1F2A44" w:sz="8" w:space="4"/>
        </w:pBdr>
        <w:spacing w:after="190" w:before="380"/>
      </w:pPr>
      <w:r>
        <w:rPr>
          <w:b/>
          <w:bCs/>
          <w:color w:val="1F2A44"/>
          <w:sz w:val="28"/>
          <w:szCs w:val="28"/>
        </w:rPr>
        <w:t xml:space="preserve">19. Recommended Development Order</w:t>
      </w:r>
    </w:p>
    <w:p>
      <w:pPr>
        <w:spacing w:after="110" w:line="260"/>
      </w:pPr>
      <w:r>
        <w:rPr>
          <w:sz w:val="19"/>
          <w:szCs w:val="19"/>
        </w:rPr>
        <w:t xml:space="preserve">Sequencing rationale, not a restatement of the sprint plan:</w:t>
      </w:r>
    </w:p>
    <w:p>
      <w:pPr>
        <w:pStyle w:val="ListParagraph"/>
        <w:numPr>
          <w:ilvl w:val="0"/>
          <w:numId w:val="1"/>
        </w:numPr>
        <w:spacing w:after="55"/>
      </w:pPr>
      <w:r>
        <w:rPr>
          <w:sz w:val="19"/>
          <w:szCs w:val="19"/>
        </w:rPr>
        <w:t xml:space="preserve">1. Legal and infrastructure foundations first (Sprint 0) — nothing else can safely proceed without PDPL sign-off kicked off and the hosting region resolved.</w:t>
      </w:r>
    </w:p>
    <w:p>
      <w:pPr>
        <w:pStyle w:val="ListParagraph"/>
        <w:numPr>
          <w:ilvl w:val="0"/>
          <w:numId w:val="1"/>
        </w:numPr>
        <w:spacing w:after="55"/>
      </w:pPr>
      <w:r>
        <w:rPr>
          <w:sz w:val="19"/>
          <w:szCs w:val="19"/>
        </w:rPr>
        <w:t xml:space="preserve">2. Identity/Auth before anything else product-facing — every other feature depends on a known user.</w:t>
      </w:r>
    </w:p>
    <w:p>
      <w:pPr>
        <w:pStyle w:val="ListParagraph"/>
        <w:numPr>
          <w:ilvl w:val="0"/>
          <w:numId w:val="1"/>
        </w:numPr>
        <w:spacing w:after="55"/>
      </w:pPr>
      <w:r>
        <w:rPr>
          <w:sz w:val="19"/>
          <w:szCs w:val="19"/>
        </w:rPr>
        <w:t xml:space="preserve">3. Fulfillment (Campaign Config → QR Redemption) before Survey — the survey has no trigger without a redemption event.</w:t>
      </w:r>
    </w:p>
    <w:p>
      <w:pPr>
        <w:pStyle w:val="ListParagraph"/>
        <w:numPr>
          <w:ilvl w:val="0"/>
          <w:numId w:val="1"/>
        </w:numPr>
        <w:spacing w:after="55"/>
      </w:pPr>
      <w:r>
        <w:rPr>
          <w:sz w:val="19"/>
          <w:szCs w:val="19"/>
        </w:rPr>
        <w:t xml:space="preserve">4. Survey before Analytics/Reporting — there is no data to report without responses.</w:t>
      </w:r>
    </w:p>
    <w:p>
      <w:pPr>
        <w:pStyle w:val="ListParagraph"/>
        <w:numPr>
          <w:ilvl w:val="0"/>
          <w:numId w:val="1"/>
        </w:numPr>
        <w:spacing w:after="55"/>
      </w:pPr>
      <w:r>
        <w:rPr>
          <w:sz w:val="19"/>
          <w:szCs w:val="19"/>
        </w:rPr>
        <w:t xml:space="preserve">5. Notifications in parallel with, not before, the fulfillment loop — they drive volume into a loop that must already work correctly.</w:t>
      </w:r>
    </w:p>
    <w:p>
      <w:pPr>
        <w:pStyle w:val="ListParagraph"/>
        <w:numPr>
          <w:ilvl w:val="0"/>
          <w:numId w:val="1"/>
        </w:numPr>
        <w:spacing w:after="55"/>
      </w:pPr>
      <w:r>
        <w:rPr>
          <w:sz w:val="19"/>
          <w:szCs w:val="19"/>
        </w:rPr>
        <w:t xml:space="preserve">6. Support and internal Admin tooling last among P0 items — necessary before real users touch the product, but not before the core loop is proven.</w:t>
      </w:r>
    </w:p>
    <w:p>
      <w:pPr>
        <w:pStyle w:val="ListParagraph"/>
        <w:numPr>
          <w:ilvl w:val="0"/>
          <w:numId w:val="1"/>
        </w:numPr>
        <w:spacing w:after="55"/>
      </w:pPr>
      <w:r>
        <w:rPr>
          <w:sz w:val="19"/>
          <w:szCs w:val="19"/>
        </w:rPr>
        <w:t xml:space="preserve">7. Hardening only after the full loop is feature-complete — security and performance work against a moving target is wasted effort.</w:t>
      </w:r>
    </w:p>
    <w:p>
      <w:r>
        <w:br w:type="page"/>
      </w:r>
    </w:p>
    <w:p>
      <w:pPr>
        <w:pStyle w:val="Heading1"/>
        <w:pBdr>
          <w:bottom w:val="single" w:color="1F2A44" w:sz="8" w:space="4"/>
        </w:pBdr>
        <w:spacing w:after="190" w:before="380"/>
      </w:pPr>
      <w:r>
        <w:rPr>
          <w:b/>
          <w:bCs/>
          <w:color w:val="1F2A44"/>
          <w:sz w:val="28"/>
          <w:szCs w:val="28"/>
        </w:rPr>
        <w:t xml:space="preserve">20. Developer Handoff Package</w:t>
      </w:r>
    </w:p>
    <w:p>
      <w:pPr>
        <w:spacing w:after="110" w:line="260"/>
      </w:pPr>
      <w:r>
        <w:rPr>
          <w:sz w:val="19"/>
          <w:szCs w:val="19"/>
        </w:rPr>
        <w:t xml:space="preserve">Everything a new engineer or an additional engineering team needs to start without further planning.</w:t>
      </w:r>
    </w:p>
    <w:p>
      <w:pPr>
        <w:pStyle w:val="Heading2"/>
        <w:spacing w:after="120" w:before="240"/>
      </w:pPr>
      <w:r>
        <w:rPr>
          <w:b/>
          <w:bCs/>
          <w:color w:val="1F2A44"/>
          <w:sz w:val="22"/>
          <w:szCs w:val="22"/>
        </w:rPr>
        <w:t xml:space="preserve">Document Set (read in this order)</w:t>
      </w:r>
    </w:p>
    <w:p>
      <w:pPr>
        <w:pStyle w:val="ListParagraph"/>
        <w:numPr>
          <w:ilvl w:val="0"/>
          <w:numId w:val="1"/>
        </w:numPr>
        <w:spacing w:after="55"/>
      </w:pPr>
      <w:r>
        <w:rPr>
          <w:sz w:val="19"/>
          <w:szCs w:val="19"/>
        </w:rPr>
        <w:t xml:space="preserve">Founder Decisions Document v1.0 — the non-negotiables.</w:t>
      </w:r>
    </w:p>
    <w:p>
      <w:pPr>
        <w:pStyle w:val="ListParagraph"/>
        <w:numPr>
          <w:ilvl w:val="0"/>
          <w:numId w:val="1"/>
        </w:numPr>
        <w:spacing w:after="55"/>
      </w:pPr>
      <w:r>
        <w:rPr>
          <w:sz w:val="19"/>
          <w:szCs w:val="19"/>
        </w:rPr>
        <w:t xml:space="preserve">Master Product Requirements Document v1.0 — what to build.</w:t>
      </w:r>
    </w:p>
    <w:p>
      <w:pPr>
        <w:pStyle w:val="ListParagraph"/>
        <w:numPr>
          <w:ilvl w:val="0"/>
          <w:numId w:val="1"/>
        </w:numPr>
        <w:spacing w:after="55"/>
      </w:pPr>
      <w:r>
        <w:rPr>
          <w:sz w:val="19"/>
          <w:szCs w:val="19"/>
        </w:rPr>
        <w:t xml:space="preserve">Technical Architecture Document v1.0 — how to build it.</w:t>
      </w:r>
    </w:p>
    <w:p>
      <w:pPr>
        <w:pStyle w:val="ListParagraph"/>
        <w:numPr>
          <w:ilvl w:val="0"/>
          <w:numId w:val="1"/>
        </w:numPr>
        <w:spacing w:after="55"/>
      </w:pPr>
      <w:r>
        <w:rPr>
          <w:sz w:val="19"/>
          <w:szCs w:val="19"/>
        </w:rPr>
        <w:t xml:space="preserve">This Master Delivery Plan v1.0 — when, in what order, and by whom.</w:t>
      </w:r>
    </w:p>
    <w:p>
      <w:pPr>
        <w:pStyle w:val="Heading2"/>
        <w:spacing w:after="120" w:before="240"/>
      </w:pPr>
      <w:r>
        <w:rPr>
          <w:b/>
          <w:bCs/>
          <w:color w:val="1F2A44"/>
          <w:sz w:val="22"/>
          <w:szCs w:val="22"/>
        </w:rPr>
        <w:t xml:space="preserve">Environment Setup</w:t>
      </w:r>
    </w:p>
    <w:p>
      <w:pPr>
        <w:pStyle w:val="ListParagraph"/>
        <w:numPr>
          <w:ilvl w:val="0"/>
          <w:numId w:val="1"/>
        </w:numPr>
        <w:spacing w:after="55"/>
      </w:pPr>
      <w:r>
        <w:rPr>
          <w:sz w:val="19"/>
          <w:szCs w:val="19"/>
        </w:rPr>
        <w:t xml:space="preserve">Repo access (monorepo, per Technical Architecture Phase 10).</w:t>
      </w:r>
    </w:p>
    <w:p>
      <w:pPr>
        <w:pStyle w:val="ListParagraph"/>
        <w:numPr>
          <w:ilvl w:val="0"/>
          <w:numId w:val="1"/>
        </w:numPr>
        <w:spacing w:after="55"/>
      </w:pPr>
      <w:r>
        <w:rPr>
          <w:sz w:val="19"/>
          <w:szCs w:val="19"/>
        </w:rPr>
        <w:t xml:space="preserve">Local Docker Compose environment mirrors staging services.</w:t>
      </w:r>
    </w:p>
    <w:p>
      <w:pPr>
        <w:pStyle w:val="ListParagraph"/>
        <w:numPr>
          <w:ilvl w:val="0"/>
          <w:numId w:val="1"/>
        </w:numPr>
        <w:spacing w:after="55"/>
      </w:pPr>
      <w:r>
        <w:rPr>
          <w:sz w:val="19"/>
          <w:szCs w:val="19"/>
        </w:rPr>
        <w:t xml:space="preserve">Staging AWS credentials via Secrets Manager (least-privilege, per role).</w:t>
      </w:r>
    </w:p>
    <w:p>
      <w:pPr>
        <w:pStyle w:val="ListParagraph"/>
        <w:numPr>
          <w:ilvl w:val="0"/>
          <w:numId w:val="1"/>
        </w:numPr>
        <w:spacing w:after="55"/>
      </w:pPr>
      <w:r>
        <w:rPr>
          <w:sz w:val="19"/>
          <w:szCs w:val="19"/>
        </w:rPr>
        <w:t xml:space="preserve">Third-party sandbox credentials: SMS/OTP provider, WhatsApp BSP, payment providers.</w:t>
      </w:r>
    </w:p>
    <w:p>
      <w:pPr>
        <w:pStyle w:val="Heading2"/>
        <w:spacing w:after="120" w:before="240"/>
      </w:pPr>
      <w:r>
        <w:rPr>
          <w:b/>
          <w:bCs/>
          <w:color w:val="1F2A44"/>
          <w:sz w:val="22"/>
          <w:szCs w:val="22"/>
        </w:rPr>
        <w:t xml:space="preserve">First-Sprint Tasks for a New Engineer</w:t>
      </w:r>
    </w:p>
    <w:p>
      <w:pPr>
        <w:spacing w:after="110" w:line="260"/>
      </w:pPr>
      <w:r>
        <w:rPr>
          <w:sz w:val="19"/>
          <w:szCs w:val="19"/>
        </w:rPr>
        <w:t xml:space="preserve">Assigned from the Section 2 backlog based on Sprint assignment and current team capacity — never from an unplanned ad hoc list. A new engineer's first task should always be the lowest-risk, best-specified item available in the current sprint (typically a P0 item already at full 20-field specification).</w:t>
      </w:r>
    </w:p>
    <w:p>
      <w:pPr>
        <w:pStyle w:val="Heading2"/>
        <w:spacing w:after="120" w:before="240"/>
      </w:pPr>
      <w:r>
        <w:rPr>
          <w:b/>
          <w:bCs/>
          <w:color w:val="1F2A44"/>
          <w:sz w:val="22"/>
          <w:szCs w:val="22"/>
        </w:rPr>
        <w:t xml:space="preserve">Points of Contact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50"/>
      </w:tblGrid>
      <w:tr>
        <w:trPr>
          <w:tblHeader/>
        </w:trPr>
        <w:tc>
          <w:tcPr>
            <w:tcW w:type="dxa" w:w="2400"/>
            <w:shd w:fill="1F2A44" w:val="clear"/>
            <w:tcMar>
              <w:top w:type="dxa" w:w="70"/>
              <w:left w:type="dxa" w:w="90"/>
              <w:bottom w:type="dxa" w:w="70"/>
              <w:right w:type="dxa" w:w="90"/>
            </w:tcMar>
            <w:vAlign w:val="center"/>
          </w:tcPr>
          <w:p>
            <w:r>
              <w:rPr>
                <w:b/>
                <w:bCs/>
                <w:color w:val="FFFFFF"/>
                <w:sz w:val="15"/>
                <w:szCs w:val="15"/>
              </w:rPr>
              <w:t xml:space="preserve">Area</w:t>
            </w:r>
          </w:p>
        </w:tc>
        <w:tc>
          <w:tcPr>
            <w:tcW w:type="dxa" w:w="6950"/>
            <w:shd w:fill="1F2A44" w:val="clear"/>
            <w:tcMar>
              <w:top w:type="dxa" w:w="70"/>
              <w:left w:type="dxa" w:w="90"/>
              <w:bottom w:type="dxa" w:w="70"/>
              <w:right w:type="dxa" w:w="90"/>
            </w:tcMar>
            <w:vAlign w:val="center"/>
          </w:tcPr>
          <w:p>
            <w:r>
              <w:rPr>
                <w:b/>
                <w:bCs/>
                <w:color w:val="FFFFFF"/>
                <w:sz w:val="15"/>
                <w:szCs w:val="15"/>
              </w:rPr>
              <w:t xml:space="preserve">Contact</w:t>
            </w:r>
          </w:p>
        </w:tc>
      </w:tr>
      <w:tr>
        <w:tc>
          <w:tcPr>
            <w:tcW w:type="dxa" w:w="2400"/>
            <w:shd w:fill="FFFFFF" w:val="clear"/>
            <w:tcMar>
              <w:top w:type="dxa" w:w="55"/>
              <w:left w:type="dxa" w:w="80"/>
              <w:bottom w:type="dxa" w:w="55"/>
              <w:right w:type="dxa" w:w="80"/>
            </w:tcMar>
            <w:vAlign w:val="center"/>
          </w:tcPr>
          <w:p>
            <w:r>
              <w:rPr>
                <w:sz w:val="15"/>
                <w:szCs w:val="15"/>
              </w:rPr>
              <w:t xml:space="preserve">Product/scope questions</w:t>
            </w:r>
          </w:p>
        </w:tc>
        <w:tc>
          <w:tcPr>
            <w:tcW w:type="dxa" w:w="6950"/>
            <w:shd w:fill="FFFFFF" w:val="clear"/>
            <w:tcMar>
              <w:top w:type="dxa" w:w="55"/>
              <w:left w:type="dxa" w:w="80"/>
              <w:bottom w:type="dxa" w:w="55"/>
              <w:right w:type="dxa" w:w="80"/>
            </w:tcMar>
            <w:vAlign w:val="center"/>
          </w:tcPr>
          <w:p>
            <w:r>
              <w:rPr>
                <w:sz w:val="15"/>
                <w:szCs w:val="15"/>
              </w:rPr>
              <w:t xml:space="preserve">CEO (dual PM role, Year 1)</w:t>
            </w:r>
          </w:p>
        </w:tc>
      </w:tr>
      <w:tr>
        <w:tc>
          <w:tcPr>
            <w:tcW w:type="dxa" w:w="2400"/>
            <w:shd w:fill="F2F2F2" w:val="clear"/>
            <w:tcMar>
              <w:top w:type="dxa" w:w="55"/>
              <w:left w:type="dxa" w:w="80"/>
              <w:bottom w:type="dxa" w:w="55"/>
              <w:right w:type="dxa" w:w="80"/>
            </w:tcMar>
            <w:vAlign w:val="center"/>
          </w:tcPr>
          <w:p>
            <w:r>
              <w:rPr>
                <w:sz w:val="15"/>
                <w:szCs w:val="15"/>
              </w:rPr>
              <w:t xml:space="preserve">Architecture questions</w:t>
            </w:r>
          </w:p>
        </w:tc>
        <w:tc>
          <w:tcPr>
            <w:tcW w:type="dxa" w:w="6950"/>
            <w:shd w:fill="F2F2F2" w:val="clear"/>
            <w:tcMar>
              <w:top w:type="dxa" w:w="55"/>
              <w:left w:type="dxa" w:w="80"/>
              <w:bottom w:type="dxa" w:w="55"/>
              <w:right w:type="dxa" w:w="80"/>
            </w:tcMar>
            <w:vAlign w:val="center"/>
          </w:tcPr>
          <w:p>
            <w:r>
              <w:rPr>
                <w:sz w:val="15"/>
                <w:szCs w:val="15"/>
              </w:rPr>
              <w:t xml:space="preserve">CTO</w:t>
            </w:r>
          </w:p>
        </w:tc>
      </w:tr>
      <w:tr>
        <w:tc>
          <w:tcPr>
            <w:tcW w:type="dxa" w:w="2400"/>
            <w:shd w:fill="FFFFFF" w:val="clear"/>
            <w:tcMar>
              <w:top w:type="dxa" w:w="55"/>
              <w:left w:type="dxa" w:w="80"/>
              <w:bottom w:type="dxa" w:w="55"/>
              <w:right w:type="dxa" w:w="80"/>
            </w:tcMar>
            <w:vAlign w:val="center"/>
          </w:tcPr>
          <w:p>
            <w:r>
              <w:rPr>
                <w:sz w:val="15"/>
                <w:szCs w:val="15"/>
              </w:rPr>
              <w:t xml:space="preserve">Legal/compliance questions</w:t>
            </w:r>
          </w:p>
        </w:tc>
        <w:tc>
          <w:tcPr>
            <w:tcW w:type="dxa" w:w="6950"/>
            <w:shd w:fill="FFFFFF" w:val="clear"/>
            <w:tcMar>
              <w:top w:type="dxa" w:w="55"/>
              <w:left w:type="dxa" w:w="80"/>
              <w:bottom w:type="dxa" w:w="55"/>
              <w:right w:type="dxa" w:w="80"/>
            </w:tcMar>
            <w:vAlign w:val="center"/>
          </w:tcPr>
          <w:p>
            <w:r>
              <w:rPr>
                <w:sz w:val="15"/>
                <w:szCs w:val="15"/>
              </w:rPr>
              <w:t xml:space="preserve">External counsel (via CEO)</w:t>
            </w:r>
          </w:p>
        </w:tc>
      </w:tr>
      <w:tr>
        <w:tc>
          <w:tcPr>
            <w:tcW w:type="dxa" w:w="2400"/>
            <w:shd w:fill="F2F2F2" w:val="clear"/>
            <w:tcMar>
              <w:top w:type="dxa" w:w="55"/>
              <w:left w:type="dxa" w:w="80"/>
              <w:bottom w:type="dxa" w:w="55"/>
              <w:right w:type="dxa" w:w="80"/>
            </w:tcMar>
            <w:vAlign w:val="center"/>
          </w:tcPr>
          <w:p>
            <w:r>
              <w:rPr>
                <w:sz w:val="15"/>
                <w:szCs w:val="15"/>
              </w:rPr>
              <w:t xml:space="preserve">Ops/fulfillment questions</w:t>
            </w:r>
          </w:p>
        </w:tc>
        <w:tc>
          <w:tcPr>
            <w:tcW w:type="dxa" w:w="6950"/>
            <w:shd w:fill="F2F2F2" w:val="clear"/>
            <w:tcMar>
              <w:top w:type="dxa" w:w="55"/>
              <w:left w:type="dxa" w:w="80"/>
              <w:bottom w:type="dxa" w:w="55"/>
              <w:right w:type="dxa" w:w="80"/>
            </w:tcMar>
            <w:vAlign w:val="center"/>
          </w:tcPr>
          <w:p>
            <w:r>
              <w:rPr>
                <w:sz w:val="15"/>
                <w:szCs w:val="15"/>
              </w:rPr>
              <w:t xml:space="preserve">Ops Manager</w:t>
            </w:r>
          </w:p>
        </w:tc>
      </w:tr>
    </w:tbl>
    <w:p>
      <w:pPr>
        <w:pStyle w:val="Heading2"/>
        <w:spacing w:after="120" w:before="240"/>
      </w:pPr>
      <w:r>
        <w:rPr>
          <w:b/>
          <w:bCs/>
          <w:color w:val="1F2A44"/>
          <w:sz w:val="22"/>
          <w:szCs w:val="22"/>
        </w:rPr>
        <w:t xml:space="preserve">Definition of "Ready to Start"</w:t>
      </w:r>
    </w:p>
    <w:p>
      <w:pPr>
        <w:spacing w:after="110" w:line="260"/>
      </w:pPr>
      <w:r>
        <w:rPr>
          <w:sz w:val="19"/>
          <w:szCs w:val="19"/>
        </w:rPr>
        <w:t xml:space="preserve">A new team is ready to begin implementation immediately once: this document set has been read, environment setup is complete, and the Track 0 GO confirmation (Section 18) has been received. Not before.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Tajribti — Master Delivery Plan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2026-07-26T17:49:48.373Z</dcterms:created>
  <dcterms:modified xsi:type="dcterms:W3CDTF">2026-07-26T17:49:48.373Z</dcterms:modified>
</cp:coreProperties>
</file>

<file path=docProps/custom.xml><?xml version="1.0" encoding="utf-8"?>
<Properties xmlns="http://schemas.openxmlformats.org/officeDocument/2006/custom-properties" xmlns:vt="http://schemas.openxmlformats.org/officeDocument/2006/docPropsVTypes"/>
</file>