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80"/>
        <w:jc w:val="center"/>
      </w:pPr>
      <w:r>
        <w:rPr>
          <w:b/>
          <w:bCs/>
          <w:color w:val="1F2A44"/>
          <w:sz w:val="34"/>
          <w:szCs w:val="34"/>
        </w:rPr>
        <w:t xml:space="preserve">INDEPENDENT EXECUTIVE REVIEW BOARD</w:t>
      </w:r>
    </w:p>
    <w:p>
      <w:pPr>
        <w:spacing w:after="60"/>
        <w:jc w:val="center"/>
      </w:pPr>
      <w:r>
        <w:rPr>
          <w:b/>
          <w:bCs/>
          <w:color w:val="D68910"/>
          <w:sz w:val="22"/>
          <w:szCs w:val="22"/>
        </w:rPr>
        <w:t xml:space="preserve">Enterprise Readiness Audit — Engineering Execution Gate</w:t>
      </w:r>
    </w:p>
    <w:p>
      <w:pPr>
        <w:spacing w:after="300"/>
        <w:jc w:val="center"/>
      </w:pPr>
      <w:r>
        <w:rPr>
          <w:color w:val="6B7280"/>
          <w:sz w:val="22"/>
          <w:szCs w:val="22"/>
        </w:rPr>
        <w:t xml:space="preserve">Tajribti (تجربتي) — Egypt's Consumer Intelligence Platform</w:t>
      </w:r>
    </w:p>
    <w:p>
      <w:pPr>
        <w:spacing w:before="45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6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Review Type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Independent readiness audit — Board is external to the product/engineering team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Documents Audited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IC Memo v1.0, Founder Decisions Document v1.0, Master PRD v1.0, Technical Architecture v1.0, Master Delivery Plan v1.0 (which itself contains Sprint Plan, Backlog, Release Plan, QA/Security/DevOps/AI/Ops/Go-Live Plans)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Authority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This Board may approve or reject. No middle ground.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26 July 2026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Version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1.0 — Final</w:t>
            </w:r>
          </w:p>
        </w:tc>
      </w:tr>
    </w:tbl>
    <w:p>
      <w:pPr>
        <w:spacing w:before="350"/>
      </w:pP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1. Executive Readiness Score</w:t>
      </w:r>
    </w:p>
    <w:tbl>
      <w:tblPr>
        <w:tblW w:type="pct" w:w="100%"/>
        <w:tblBorders>
          <w:top w:val="single" w:color="D68910" w:sz="6"/>
          <w:left w:val="single" w:color="D68910" w:sz="6"/>
          <w:bottom w:val="single" w:color="D68910" w:sz="6"/>
          <w:right w:val="single" w:color="D6891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D68910"/>
                <w:sz w:val="21"/>
                <w:szCs w:val="21"/>
              </w:rPr>
              <w:t xml:space="preserve">58 / 100 — MODERATE. Documentation is unusually thorough. Authorization to execute is not established.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The document corpus (Blueprint, FDD, PRD, Architecture, Delivery Plan) is more complete than the median pre-seed project this Board has reviewed.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The score is held down not by planning quality but by unresolved gates that planning quality cannot substitute for: no confirmed spend authorization beyond $15–25K, no legal entity confirmation, no validated demand, and several hard-blocking open decisions.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A high score on paper does not mean the team may proceed. See Section 14.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2. Readiness by Domain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1400"/>
        <w:gridCol w:w="495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Score /100</w:t>
            </w:r>
          </w:p>
        </w:tc>
        <w:tc>
          <w:tcPr>
            <w:tcW w:type="dxa" w:w="49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Business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Strategy is coherent; commercial validation is entirely absent (zero customer interviews on record)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Product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type="dxa" w:w="4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MVP critical-path features are genuinely well-specified; 12 of 22 features carry full 20-field/12-field specs, remainder deliberately deferred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Architecture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Internally consistent design; blocked by an unresolved cloud-region/data-residency decision that affects every infrastructure task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Engineering (Delivery/Backlog)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4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Backlog and WBS are usable; the Year-1 resourcing plan does not staff a Sales/Brand-Partnerships function despite a B2B-sales-led GTM strategy — see Section 9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QA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Comprehensive test strategy; zero of it has been executed against real code, so its adequacy is unproven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Security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52</w:t>
            </w:r>
          </w:p>
        </w:tc>
        <w:tc>
          <w:tcPr>
            <w:tcW w:type="dxa" w:w="4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Strong design intent; the single hardest legal gate (PDPL sign-off) is still open and sits on the MVP critical path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AI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82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Correctly and explicitly out of MVP scope; V2 architecture is well-reasoned and not a source of current risk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Operations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4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Runbook/escalation structure exists; Marketing and Sales launch-readiness are explicitly acknowledged as outside this plan's control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Deployment/DevOps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Sound CI/CD and IaC approach; cannot be finalized until the region decision (see Architecture) is closed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Documentation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4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Unusually complete corpus; governance mechanisms it mandates (Decision Log, ADR log) exist only as empty templates, not populated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3. Critical Findings</w:t>
      </w:r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CF-1 — No confirmed spend authorization beyond the validation sprint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The IC Memo v1.0 approved a $15,000–25,000, 60-day validation sprint only, with explicit Go/No-Go criteria (IC Memo §11). Every subsequent document — Blueprint, FDD, PRD, Architecture, Delivery Plan — was built as contingent planning for a GO decision that has not been confirmed as reached anywhere in this document set.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This is not a documentation gap. It is the absence of the one fact that makes everything else actionable.</w:t>
            </w:r>
          </w:p>
        </w:tc>
      </w:tr>
    </w:tbl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CF-2 — No commercial validation evidence exists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Every plan assumes brand demand at specific price points ($4,000–20,000/campaign). Zero brand interviews, zero LOIs, and zero pricing validation appear anywhere in the document set as completed. The IC Memo's own validation-sprint design exists specifically to produce this evidence — and no output from it is referenced.</w:t>
            </w:r>
          </w:p>
        </w:tc>
      </w:tr>
    </w:tbl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CF-3 — Legal entity and data-residency status unconfirmed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The FDD lists "Egyptian LLC initially" as a decision, not a confirmed fact of incorporation. The Technical Architecture's cloud region (UAE/Bahrain) is explicitly "pending legal confirmation of PDPL data-residency requirements" in three separate documents. Sprint 0 of the Delivery Plan assumes AWS provisioning and third-party contract signature can proceed — neither is safe to do with an unconfirmed legal entity and an undecided data-residency region.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4. Blocking Issues</w:t>
      </w:r>
    </w:p>
    <w:p>
      <w:pPr>
        <w:spacing w:after="110" w:line="260"/>
      </w:pPr>
      <w:r>
        <w:rPr>
          <w:sz w:val="19"/>
          <w:szCs w:val="19"/>
        </w:rPr>
        <w:t xml:space="preserve">Items that make it unsafe to authorize Sprint 0 as written, independent of the funding-gate question above.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3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53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It Blocks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B-01</w:t>
            </w:r>
          </w:p>
        </w:tc>
        <w:tc>
          <w:tcPr>
            <w:tcW w:type="dxa" w:w="3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PDPL legal sign-off (data deletion SLA, data residency) not obtained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TJ-008 (Consent &amp; Privacy Center) is an FDD non-negotiable and an MVP launch gate; the Delivery Plan itself schedules this as a hard Sprint 3 gate but the underlying legal work has not started per any evidence in this document set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B-02</w:t>
            </w:r>
          </w:p>
        </w:tc>
        <w:tc>
          <w:tcPr>
            <w:tcW w:type="dxa" w:w="33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No Sales/Brand-Partnerships role is staffed in the Sprint 0–6 Resource Plan</w:t>
            </w:r>
          </w:p>
        </w:tc>
        <w:tc>
          <w:tcPr>
            <w:tcW w:type="dxa" w:w="5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The GTM strategy is explicitly B2B-sales-led (FDD Sales Strategy); Sprint 6 requires 5 real brand pilots; no funded headcount exists in the Delivery Plan's own Resource Plan (Section 8) to execute this — engineering can build a product with no one selling it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B-03</w:t>
            </w:r>
          </w:p>
        </w:tc>
        <w:tc>
          <w:tcPr>
            <w:tcW w:type="dxa" w:w="3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Cloud hosting region undecided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Every infrastructure task in DevOps/Architecture depends on this; it cannot be provisioned twice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B-04</w:t>
            </w:r>
          </w:p>
        </w:tc>
        <w:tc>
          <w:tcPr>
            <w:tcW w:type="dxa" w:w="33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No Sprint 0 budget line for third-party contract costs</w:t>
            </w:r>
          </w:p>
        </w:tc>
        <w:tc>
          <w:tcPr>
            <w:tcW w:type="dxa" w:w="5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SMS/OTP, WhatsApp BSP, and payment-provider contracts are assumed signed in Sprint 0, but Track 0's approved $15–25K was scoped for validation activities (interviews, legal review, landing page) — not production vendor contracts. No budget line covers this gap in any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5. Major Issues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00"/>
        <w:gridCol w:w="6650"/>
        <w:gridCol w:w="2000"/>
      </w:tblGrid>
      <w:tr>
        <w:trPr>
          <w:tblHeader/>
        </w:trPr>
        <w:tc>
          <w:tcPr>
            <w:tcW w:type="dxa" w:w="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6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2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M-01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 of 22 PRD features have only summary-level specification (ID/priority/points), not full acceptance criteria — acceptable per the plan's own stated grooming cadence, but genuinely undefined today, not merely deferred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Product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M-02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No pagination strategy is defined for any list endpoint (campaign lists, ticket lists, brand lists) across the Technical Architecture or Master PRD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API/Architecture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M-03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Team-composition mismatch between the Master Execution Blueprint's Year-1 org chart (includes Head of Brand Partnerships, Data Lead) and the Delivery Plan's actual Sprint 0–6 Resource Plan (neither role appears)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Cross-document / Delivery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M-04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Timeline (24 weeks to Production) is bottom-up from story points but has zero velocity data behind it — the plan itself flags this (Delivery Plan Section 17) but treats it as acceptable rather than a real scheduling risk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Delivery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M-05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Working company name ("Tajribti") is used as final across every technical and product document despite the FDD explicitly listing trademark/domain clearance as an open decision — a name change after architecture/branding work begins is costly rework, not a cosmetic fix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Business/Brand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M-06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No populated Decision Log, ADR log, or Change Log exists despite the FDD mandating formal amendment tracking — every correction made during this document set's own development (e.g., the Samplia founding-year correction) is traceable only in conversation history, not in a governance record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Documentation/Governance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6. Minor Issues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Illustrative pricing figures ($4,000–20,000/campaign) are repeated across FDD, PRD, and Delivery Plan without a single labeled source-of-truth version — if the validation sprint changes pricing, multiple documents need coordinated edits.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No explicit versioning policy exists for the mobile app beyond "tied to app-store release cadence" — minimum-supported-version enforcement is mentioned once (Architecture Phase 10) but not carried into the Release Plan's Public Beta/RC criteria.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The Escalation Matrix (Operational Readiness) names roles ("Backend/Frontend lead") that don't yet exist as confirmed hires — fine for a template, but should be flagged as provisional.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No environmental/sustainability consideration appears anywhere despite PESTEL analysis in earlier strategic work having flagged it as a minor opportunity — not launch-relevant, but a documentation completeness gap.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7. Missing Decisions</w:t>
      </w:r>
    </w:p>
    <w:p>
      <w:pPr>
        <w:spacing w:after="110" w:line="260"/>
      </w:pPr>
      <w:r>
        <w:rPr>
          <w:sz w:val="19"/>
          <w:szCs w:val="19"/>
        </w:rPr>
        <w:t xml:space="preserve">Carried forward, unresolved, from the FDD's own Open Decisions section — repeated here because they remain open at time of this audit, not because they are new findings: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Final legal company name and trademark/domain clearance.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Whether the CEO doubles as Product Manager through Year 1 or a dedicated PM is hired on GO.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Final cloud hosting region.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Whether external funding is sought at all, or the company remains bootstrapped.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Exact revenue-mix percentages, pending validation-sprint pricing findings.</w:t>
      </w:r>
    </w:p>
    <w:p>
      <w:pPr>
        <w:spacing w:after="110" w:line="260"/>
      </w:pPr>
      <w:r>
        <w:rPr>
          <w:b/>
          <w:bCs/>
          <w:sz w:val="19"/>
          <w:szCs w:val="19"/>
        </w:rPr>
        <w:t xml:space="preserve">New, identified by this audit: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Who owns and funds the Sales/Brand-Partnerships function during Sprint 0–6 (Blocking Issue B-02).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What budget line covers Sprint 0 production vendor contracts (Blocking Issue B-04).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Whether the Egyptian LLC is actually incorporated, and by when it must be to support Sprint 0 contract signature.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8. Missing Documentation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A populated Decision Log, Issue Register, and ADR log (templates exist in the Delivery Plan; no entries exist).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A Marketing Launch Plan with the same rigor as the Sales Enablement / Go-Live checklists — currently a one-paragraph dependency flag, not a plan.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A formal Vendor/Contract tracker for SMS, WhatsApp BSP, payment providers, and cloud hosting — referenced throughout but not consolidated anywhere.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Legal review evidence (even a memo confirming PDPL scope) — referenced as a dependency in at least five documents, produced in none.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9. Cross-Document Inconsistencies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00"/>
        <w:gridCol w:w="2400"/>
        <w:gridCol w:w="4850"/>
      </w:tblGrid>
      <w:tr>
        <w:trPr>
          <w:tblHeader/>
        </w:trPr>
        <w:tc>
          <w:tcPr>
            <w:tcW w:type="dxa" w:w="2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Document A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Document B</w:t>
            </w:r>
          </w:p>
        </w:tc>
        <w:tc>
          <w:tcPr>
            <w:tcW w:type="dxa" w:w="48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Inconsistency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Master Execution Blueprint (Year-1 org chart)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Master Delivery Plan (Section 8, Resource Plan)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Blueprint includes Head of Brand Partnerships and Data Lead in Year 1; Delivery Plan's actual Sprint 0–6 staffing omits both roles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Founder Decisions Document (Open Decisions)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Every downstream document</w:t>
            </w:r>
          </w:p>
        </w:tc>
        <w:tc>
          <w:tcPr>
            <w:tcW w:type="dxa" w:w="48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FDD explicitly marks the company name as unresolved; every later document uses "Tajribti" without a provisional-name caveat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Technical Architecture (Phase 5)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Master Delivery Plan (Sprint 0 deliverables)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Architecture says the cloud region is pending legal confirmation; Delivery Plan schedules region provisioning as a completed Sprint 0 deliverable without flagging the same open dependency at the point of execution</w:t>
            </w:r>
          </w:p>
        </w:tc>
      </w:tr>
    </w:tbl>
    <w:p>
      <w:pPr>
        <w:spacing w:after="110" w:line="260"/>
      </w:pPr>
      <w:r>
        <w:rPr>
          <w:i/>
          <w:iCs/>
          <w:color w:val="6B7280"/>
          <w:sz w:val="19"/>
          <w:szCs w:val="19"/>
        </w:rPr>
        <w:t xml:space="preserve">No circular dependencies were found — the Delivery Plan's Dependency Matrix is a valid DAG. No duplicated decisions were found beyond the pricing-figure repetition noted in Minor Issues.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10. Technical Debt Risks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Modular monolith is the correct Year-1 choice, but module boundaries have not been tested under real load — if boundaries are wrong, the "extract later" plan (Technical Architecture Phase 1) becomes expensive rework, not a clean extraction.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QR redemption concurrency (flagged as the single highest technical risk in the Delivery Plan's own Risk Register, R-03) has a load-test plan but no load test has been run — this is a design-time assumption, not a proven property.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Partitioning strategy for SurveyResponse/AuditLog is schema-ready but not activated — reasonable for MVP volume, but the activation trigger ("once table size crosses an operational threshold") is not owned by anyone and could be missed under real growth.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11. Business Risks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Zero validated willingness-to-pay — every revenue figure in every financial projection is illustrative.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A real, named regional competitor (Marketeers Research) already sells FMCG analytics in Egypt/KSA/GCC — the differentiation thesis (sampling-to-data pipeline) is argued, not demonstrated.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The reference company (Samplia) itself appears to be a bootstrapped, non-venture-scale business — the plan's growth assumptions may be structurally optimistic relative to what the reference case actually proves is achievable.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No Sales function is funded to acquire the brand pilots the entire Beta strategy depends on (see B-02).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12. Production Risks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Launching with an unresolved data-residency region risks a mid-build infrastructure migration — the most expensive possible time to discover this gap.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Launching before PDPL sign-off is a direct legal-exposure risk the FDD itself calls non-negotiable — this is not a risk to accept, it is a gate to close.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sz w:val="19"/>
          <w:szCs w:val="19"/>
        </w:rPr>
        <w:t xml:space="preserve">Single-region MVP with 4-hour RTO/1-hour RPO (Technical Architecture Phase 9) is reasonable for MVP scale but has not been tested via an actual restore drill — the plan calls for quarterly drills but none has occurred yet.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13. Immediate Actions Required (Before Any Re-Submission to This Board)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5900"/>
        <w:gridCol w:w="295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9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Obtain and document explicit IC confirmation that the Track 0 validation sprint cleared its Go/No-Go gate (IC Memo §11) — or, if it has not, cancel this authorization request entirely until it does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CEO / Investment Committee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Close the PDPL legal review and obtain written counsel sign-off on data-residency region and deletion-SLA requirements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Legal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Confirm Egyptian LLC incorporation status in writing before any vendor contract is signed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CEO / Legal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a funded Sales/Brand-Partnerships role to the Sprint 0–6 Resource Plan, or explicitly document who executes GTM Stage 1 outbound and from what budget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CEO / PMO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Add an explicit Sprint 0 budget line for production vendor contracts, separate from the Track 0 validation-sprint budget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Finance / PMO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Populate the Decision Log with every material decision and correction made to date, per the FDD's own amendment rule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14. Final Gate Review</w:t>
      </w:r>
    </w:p>
    <w:p>
      <w:pPr>
        <w:pStyle w:val="Heading2"/>
        <w:spacing w:after="120" w:before="240"/>
      </w:pPr>
      <w:r>
        <w:rPr>
          <w:b/>
          <w:bCs/>
          <w:color w:val="1F2A44"/>
          <w:sz w:val="22"/>
          <w:szCs w:val="22"/>
        </w:rPr>
        <w:t xml:space="preserve">Can the engineering team begin implementation tomorrow?</w:t>
      </w:r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NO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The document corpus is implementation-ready in isolation — the PRD, Architecture, and Delivery Plan give an engineering team enough detail to start coding.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But readiness to code is not authorization to spend, and this project has neither a confirmed Go decision beyond its $15–25K validation sprint, nor closure on the legal, staffing, and budget gaps in Sections 4 and 13.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Starting Sprint 0 tomorrow would mean provisioning infrastructure in an undecided region, signing vendor contracts against an unconfirmed legal entity, and executing a Beta strategy with no funded Sales function — any one of which is independently sufficient grounds to withhold authorization.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8"/>
          <w:szCs w:val="28"/>
        </w:rPr>
        <w:t xml:space="preserve">15. Development Authorization Statement</w:t>
      </w:r>
    </w:p>
    <w:p>
      <w:pPr>
        <w:spacing w:after="110" w:line="260"/>
      </w:pPr>
      <w:r>
        <w:rPr>
          <w:sz w:val="19"/>
          <w:szCs w:val="19"/>
        </w:rPr>
        <w:t xml:space="preserve">This Board finds the planning documentation for Tajribti to be thorough and internally coherent to an unusual degree for a pre-development review. That is acknowledged and should not be discounted.</w:t>
      </w:r>
    </w:p>
    <w:p>
      <w:pPr>
        <w:spacing w:after="110" w:line="260"/>
      </w:pPr>
      <w:r>
        <w:rPr>
          <w:sz w:val="19"/>
          <w:szCs w:val="19"/>
        </w:rPr>
        <w:t xml:space="preserve">However, thorough planning is not the same as an authorized, de-risked, fundable program. This review identified 3 Critical Findings, 4 Blocking Issues, and 6 Major Issues that are not documentation gaps — they are open questions whose answers change what gets built, by whom, and whether the company is legally and financially positioned to build it. Chief among them: no evidence in this document set confirms that the one funding decision actually made by the Investment Committee — a $15,000–25,000 validation sprint — has concluded with a GO.</w:t>
      </w:r>
    </w:p>
    <w:p>
      <w:pPr>
        <w:spacing w:after="110" w:line="260"/>
      </w:pPr>
      <w:r>
        <w:rPr>
          <w:sz w:val="19"/>
          <w:szCs w:val="19"/>
        </w:rPr>
        <w:t xml:space="preserve">This Board does not reject the underlying strategy, the product design, or the technical architecture. It rejects proceeding to engineering execution while the funding gate, legal entity status, PDPL sign-off, and Sales resourcing remain unresolved. Close the items in Section 13 and resubmit.</w:t>
      </w:r>
    </w:p>
    <w:p>
      <w:pPr>
        <w:spacing w:after="150" w:before="300"/>
        <w:jc w:val="center"/>
      </w:pPr>
      <w:r>
        <w:rPr>
          <w:b/>
          <w:bCs/>
          <w:color w:val="C0392B"/>
          <w:sz w:val="32"/>
          <w:szCs w:val="32"/>
        </w:rPr>
        <w:t xml:space="preserve">❌ DEVELOPMENT NOT AUTHORIZED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Independent Executive Review Board — Readiness Audit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2026-07-26T17:55:54.125Z</dcterms:created>
  <dcterms:modified xsi:type="dcterms:W3CDTF">2026-07-26T17:55:54.138Z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