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p>
    <w:p>
      <w:pPr>
        <w:spacing w:after="80"/>
        <w:jc w:val="center"/>
      </w:pPr>
      <w:r>
        <w:rPr>
          <w:b/>
          <w:bCs/>
          <w:color w:val="1F2A44"/>
          <w:sz w:val="32"/>
          <w:szCs w:val="32"/>
        </w:rPr>
        <w:t xml:space="preserve">REMEDIATION PACKAGE &amp; RE-AUDIT</w:t>
      </w:r>
    </w:p>
    <w:p>
      <w:pPr>
        <w:spacing w:after="60"/>
        <w:jc w:val="center"/>
      </w:pPr>
      <w:r>
        <w:rPr>
          <w:b/>
          <w:bCs/>
          <w:color w:val="D68910"/>
          <w:sz w:val="21"/>
          <w:szCs w:val="21"/>
        </w:rPr>
        <w:t xml:space="preserve">Response to Independent Executive Review Board Findings</w:t>
      </w:r>
    </w:p>
    <w:p>
      <w:pPr>
        <w:spacing w:after="300"/>
        <w:jc w:val="center"/>
      </w:pPr>
      <w:r>
        <w:rPr>
          <w:color w:val="6B7280"/>
          <w:sz w:val="22"/>
          <w:szCs w:val="22"/>
        </w:rPr>
        <w:t xml:space="preserve">Tajribti (تجربتي) — Egypt's Consumer Intelligence Platform</w:t>
      </w:r>
    </w:p>
    <w:p>
      <w:pPr>
        <w:spacing w:before="450"/>
      </w:pP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700"/>
        <w:gridCol w:w="6650"/>
      </w:tblGrid>
      <w:tr>
        <w:trPr>
          <w:tblHeader/>
        </w:trPr>
        <w:tc>
          <w:tcPr>
            <w:tcW w:type="dxa" w:w="2700"/>
            <w:shd w:fill="1F2A44" w:val="clear"/>
            <w:tcMar>
              <w:top w:type="dxa" w:w="80"/>
              <w:left w:type="dxa" w:w="100"/>
              <w:bottom w:type="dxa" w:w="80"/>
              <w:right w:type="dxa" w:w="100"/>
            </w:tcMar>
            <w:vAlign w:val="center"/>
          </w:tcPr>
          <w:p>
            <w:r>
              <w:rPr>
                <w:b/>
                <w:bCs/>
                <w:color w:val="FFFFFF"/>
                <w:sz w:val="16"/>
                <w:szCs w:val="16"/>
              </w:rPr>
              <w:t xml:space="preserve">Field</w:t>
            </w:r>
          </w:p>
        </w:tc>
        <w:tc>
          <w:tcPr>
            <w:tcW w:type="dxa" w:w="6650"/>
            <w:shd w:fill="1F2A44" w:val="clear"/>
            <w:tcMar>
              <w:top w:type="dxa" w:w="80"/>
              <w:left w:type="dxa" w:w="100"/>
              <w:bottom w:type="dxa" w:w="80"/>
              <w:right w:type="dxa" w:w="100"/>
            </w:tcMar>
            <w:vAlign w:val="center"/>
          </w:tcPr>
          <w:p>
            <w:r>
              <w:rPr>
                <w:b/>
                <w:bCs/>
                <w:color w:val="FFFFFF"/>
                <w:sz w:val="16"/>
                <w:szCs w:val="16"/>
              </w:rPr>
              <w:t xml:space="preserve">Detail</w:t>
            </w:r>
          </w:p>
        </w:tc>
      </w:tr>
      <w:tr>
        <w:tc>
          <w:tcPr>
            <w:tcW w:type="dxa" w:w="2700"/>
            <w:shd w:fill="FFFFFF" w:val="clear"/>
            <w:tcMar>
              <w:top w:type="dxa" w:w="60"/>
              <w:left w:type="dxa" w:w="90"/>
              <w:bottom w:type="dxa" w:w="60"/>
              <w:right w:type="dxa" w:w="90"/>
            </w:tcMar>
            <w:vAlign w:val="center"/>
          </w:tcPr>
          <w:p>
            <w:r>
              <w:rPr>
                <w:sz w:val="16"/>
                <w:szCs w:val="16"/>
              </w:rPr>
              <w:t xml:space="preserve">Responds to</w:t>
            </w:r>
          </w:p>
        </w:tc>
        <w:tc>
          <w:tcPr>
            <w:tcW w:type="dxa" w:w="6650"/>
            <w:shd w:fill="FFFFFF" w:val="clear"/>
            <w:tcMar>
              <w:top w:type="dxa" w:w="60"/>
              <w:left w:type="dxa" w:w="90"/>
              <w:bottom w:type="dxa" w:w="60"/>
              <w:right w:type="dxa" w:w="90"/>
            </w:tcMar>
            <w:vAlign w:val="center"/>
          </w:tcPr>
          <w:p>
            <w:r>
              <w:rPr>
                <w:sz w:val="16"/>
                <w:szCs w:val="16"/>
              </w:rPr>
              <w:t xml:space="preserve">Independent Readiness Audit — ❌ DEVELOPMENT NOT AUTHORIZED (Score 58/100)</w:t>
            </w:r>
          </w:p>
        </w:tc>
      </w:tr>
      <w:tr>
        <w:tc>
          <w:tcPr>
            <w:tcW w:type="dxa" w:w="2700"/>
            <w:shd w:fill="F2F2F2" w:val="clear"/>
            <w:tcMar>
              <w:top w:type="dxa" w:w="60"/>
              <w:left w:type="dxa" w:w="90"/>
              <w:bottom w:type="dxa" w:w="60"/>
              <w:right w:type="dxa" w:w="90"/>
            </w:tcMar>
            <w:vAlign w:val="center"/>
          </w:tcPr>
          <w:p>
            <w:r>
              <w:rPr>
                <w:sz w:val="16"/>
                <w:szCs w:val="16"/>
              </w:rPr>
              <w:t xml:space="preserve">Date</w:t>
            </w:r>
          </w:p>
        </w:tc>
        <w:tc>
          <w:tcPr>
            <w:tcW w:type="dxa" w:w="6650"/>
            <w:shd w:fill="F2F2F2" w:val="clear"/>
            <w:tcMar>
              <w:top w:type="dxa" w:w="60"/>
              <w:left w:type="dxa" w:w="90"/>
              <w:bottom w:type="dxa" w:w="60"/>
              <w:right w:type="dxa" w:w="90"/>
            </w:tcMar>
            <w:vAlign w:val="center"/>
          </w:tcPr>
          <w:p>
            <w:r>
              <w:rPr>
                <w:sz w:val="16"/>
                <w:szCs w:val="16"/>
              </w:rPr>
              <w:t xml:space="preserve">26 July 2026</w:t>
            </w:r>
          </w:p>
        </w:tc>
      </w:tr>
      <w:tr>
        <w:tc>
          <w:tcPr>
            <w:tcW w:type="dxa" w:w="2700"/>
            <w:shd w:fill="FFFFFF" w:val="clear"/>
            <w:tcMar>
              <w:top w:type="dxa" w:w="60"/>
              <w:left w:type="dxa" w:w="90"/>
              <w:bottom w:type="dxa" w:w="60"/>
              <w:right w:type="dxa" w:w="90"/>
            </w:tcMar>
            <w:vAlign w:val="center"/>
          </w:tcPr>
          <w:p>
            <w:r>
              <w:rPr>
                <w:sz w:val="16"/>
                <w:szCs w:val="16"/>
              </w:rPr>
              <w:t xml:space="preserve">Version</w:t>
            </w:r>
          </w:p>
        </w:tc>
        <w:tc>
          <w:tcPr>
            <w:tcW w:type="dxa" w:w="6650"/>
            <w:shd w:fill="FFFFFF" w:val="clear"/>
            <w:tcMar>
              <w:top w:type="dxa" w:w="60"/>
              <w:left w:type="dxa" w:w="90"/>
              <w:bottom w:type="dxa" w:w="60"/>
              <w:right w:type="dxa" w:w="90"/>
            </w:tcMar>
            <w:vAlign w:val="center"/>
          </w:tcPr>
          <w:p>
            <w:r>
              <w:rPr>
                <w:sz w:val="16"/>
                <w:szCs w:val="16"/>
              </w:rPr>
              <w:t xml:space="preserve">1.0</w:t>
            </w:r>
          </w:p>
        </w:tc>
      </w:tr>
    </w:tbl>
    <w:p>
      <w:pPr>
        <w:spacing w:before="350"/>
      </w:pPr>
    </w:p>
    <w:tbl>
      <w:tblPr>
        <w:tblW w:type="pct" w:w="100%"/>
        <w:tblBorders>
          <w:top w:val="single" w:color="D68910" w:sz="6"/>
          <w:left w:val="single" w:color="D68910" w:sz="6"/>
          <w:bottom w:val="single" w:color="D68910" w:sz="6"/>
          <w:right w:val="single" w:color="D68910" w:sz="6"/>
          <w:insideH w:val="none" w:color="FFFFFF" w:sz="0"/>
          <w:insideV w:val="none" w:color="FFFFFF" w:sz="0"/>
        </w:tblBorders>
      </w:tblPr>
      <w:tblGrid>
        <w:gridCol w:w="100"/>
      </w:tblGrid>
      <w:tr>
        <w:tc>
          <w:tcPr>
            <w:shd w:fill="F2F2F2" w:val="clear"/>
            <w:tcMar>
              <w:top w:type="dxa" w:w="150"/>
              <w:left w:type="dxa" w:w="190"/>
              <w:bottom w:type="dxa" w:w="150"/>
              <w:right w:type="dxa" w:w="190"/>
            </w:tcMar>
          </w:tcPr>
          <w:p>
            <w:pPr>
              <w:spacing w:after="90"/>
            </w:pPr>
            <w:r>
              <w:rPr>
                <w:b/>
                <w:bCs/>
                <w:color w:val="D68910"/>
                <w:sz w:val="20"/>
                <w:szCs w:val="20"/>
              </w:rPr>
              <w:t xml:space="preserve">What this document is — and isn't</w:t>
            </w:r>
          </w:p>
          <w:p>
            <w:pPr>
              <w:spacing w:after="50"/>
            </w:pPr>
            <w:r>
              <w:rPr>
                <w:sz w:val="19"/>
                <w:szCs w:val="19"/>
              </w:rPr>
              <w:t xml:space="preserve">• It genuinely fixes every finding that was a planning, resourcing, or documentation gap.</w:t>
            </w:r>
          </w:p>
          <w:p>
            <w:pPr>
              <w:spacing w:after="50"/>
            </w:pPr>
            <w:r>
              <w:rPr>
                <w:sz w:val="19"/>
                <w:szCs w:val="19"/>
              </w:rPr>
              <w:t xml:space="preserve">• It does NOT claim to have obtained an IC funding confirmation, conducted brand interviews, secured legal sign-off, or confirmed incorporation — none of that happened between the audit and this document, so none of it is claimed here. Fabricating those would defeat the entire purpose of an independent audit.</w:t>
            </w:r>
          </w:p>
          <w:p>
            <w:pPr>
              <w:spacing w:after="50"/>
            </w:pPr>
            <w:r>
              <w:rPr>
                <w:sz w:val="19"/>
                <w:szCs w:val="19"/>
              </w:rPr>
              <w:t xml:space="preserve">• The re-audit at the end is scored honestly against that reality.</w:t>
            </w:r>
          </w:p>
        </w:tc>
      </w:tr>
    </w:tbl>
    <w:p>
      <w:pPr>
        <w:sectPr>
          <w:pgSz w:w="11906" w:h="16838" w:orient="portrait"/>
          <w:pgMar w:top="1000" w:right="1000" w:bottom="1000" w:left="1000" w:header="708" w:footer="708" w:gutter="0"/>
          <w:pgNumType/>
          <w:docGrid w:linePitch="360"/>
        </w:sectPr>
      </w:pPr>
    </w:p>
    <w:p>
      <w:pPr>
        <w:pStyle w:val="Heading1"/>
        <w:pBdr>
          <w:bottom w:val="single" w:color="1F2A44" w:sz="8" w:space="4"/>
        </w:pBdr>
        <w:spacing w:after="190" w:before="380"/>
      </w:pPr>
      <w:r>
        <w:rPr>
          <w:b/>
          <w:bCs/>
          <w:color w:val="1F2A44"/>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000" w:right="1000" w:bottom="1000" w:left="1000" w:header="708" w:footer="708" w:gutter="0"/>
          <w:pgNumType/>
          <w:docGrid w:linePitch="360"/>
        </w:sectPr>
      </w:pPr>
    </w:p>
    <w:p>
      <w:pPr>
        <w:pStyle w:val="Heading1"/>
        <w:pBdr>
          <w:bottom w:val="single" w:color="1F2A44" w:sz="8" w:space="4"/>
        </w:pBdr>
        <w:spacing w:after="190" w:before="380"/>
      </w:pPr>
      <w:r>
        <w:rPr>
          <w:b/>
          <w:bCs/>
          <w:color w:val="1F2A44"/>
          <w:sz w:val="28"/>
          <w:szCs w:val="28"/>
        </w:rPr>
        <w:t xml:space="preserve">A. Remediation Log — Every Finding, Individually Resolved</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3050"/>
        <w:gridCol w:w="2200"/>
        <w:gridCol w:w="3400"/>
      </w:tblGrid>
      <w:tr>
        <w:trPr>
          <w:tblHeader/>
        </w:trPr>
        <w:tc>
          <w:tcPr>
            <w:tcW w:type="dxa" w:w="700"/>
            <w:shd w:fill="1F2A44" w:val="clear"/>
            <w:tcMar>
              <w:top w:type="dxa" w:w="80"/>
              <w:left w:type="dxa" w:w="100"/>
              <w:bottom w:type="dxa" w:w="80"/>
              <w:right w:type="dxa" w:w="100"/>
            </w:tcMar>
            <w:vAlign w:val="center"/>
          </w:tcPr>
          <w:p>
            <w:r>
              <w:rPr>
                <w:b/>
                <w:bCs/>
                <w:color w:val="FFFFFF"/>
                <w:sz w:val="16"/>
                <w:szCs w:val="16"/>
              </w:rPr>
              <w:t xml:space="preserve">ID</w:t>
            </w:r>
          </w:p>
        </w:tc>
        <w:tc>
          <w:tcPr>
            <w:tcW w:type="dxa" w:w="3050"/>
            <w:shd w:fill="1F2A44" w:val="clear"/>
            <w:tcMar>
              <w:top w:type="dxa" w:w="80"/>
              <w:left w:type="dxa" w:w="100"/>
              <w:bottom w:type="dxa" w:w="80"/>
              <w:right w:type="dxa" w:w="100"/>
            </w:tcMar>
            <w:vAlign w:val="center"/>
          </w:tcPr>
          <w:p>
            <w:r>
              <w:rPr>
                <w:b/>
                <w:bCs/>
                <w:color w:val="FFFFFF"/>
                <w:sz w:val="16"/>
                <w:szCs w:val="16"/>
              </w:rPr>
              <w:t xml:space="preserve">Finding</w:t>
            </w:r>
          </w:p>
        </w:tc>
        <w:tc>
          <w:tcPr>
            <w:tcW w:type="dxa" w:w="2200"/>
            <w:shd w:fill="1F2A44" w:val="clear"/>
            <w:tcMar>
              <w:top w:type="dxa" w:w="80"/>
              <w:left w:type="dxa" w:w="100"/>
              <w:bottom w:type="dxa" w:w="80"/>
              <w:right w:type="dxa" w:w="100"/>
            </w:tcMar>
            <w:vAlign w:val="center"/>
          </w:tcPr>
          <w:p>
            <w:r>
              <w:rPr>
                <w:b/>
                <w:bCs/>
                <w:color w:val="FFFFFF"/>
                <w:sz w:val="16"/>
                <w:szCs w:val="16"/>
              </w:rPr>
              <w:t xml:space="preserve">Resolution Status</w:t>
            </w:r>
          </w:p>
        </w:tc>
        <w:tc>
          <w:tcPr>
            <w:tcW w:type="dxa" w:w="3400"/>
            <w:shd w:fill="1F2A44" w:val="clear"/>
            <w:tcMar>
              <w:top w:type="dxa" w:w="80"/>
              <w:left w:type="dxa" w:w="100"/>
              <w:bottom w:type="dxa" w:w="80"/>
              <w:right w:type="dxa" w:w="100"/>
            </w:tcMar>
            <w:vAlign w:val="center"/>
          </w:tcPr>
          <w:p>
            <w:r>
              <w:rPr>
                <w:b/>
                <w:bCs/>
                <w:color w:val="FFFFFF"/>
                <w:sz w:val="16"/>
                <w:szCs w:val="16"/>
              </w:rPr>
              <w:t xml:space="preserve">What Changed</w:t>
            </w:r>
          </w:p>
        </w:tc>
      </w:tr>
      <w:tr>
        <w:tc>
          <w:tcPr>
            <w:tcW w:type="dxa" w:w="700"/>
            <w:shd w:fill="FFFFFF" w:val="clear"/>
            <w:tcMar>
              <w:top w:type="dxa" w:w="60"/>
              <w:left w:type="dxa" w:w="90"/>
              <w:bottom w:type="dxa" w:w="60"/>
              <w:right w:type="dxa" w:w="90"/>
            </w:tcMar>
            <w:vAlign w:val="center"/>
          </w:tcPr>
          <w:p>
            <w:r>
              <w:rPr>
                <w:sz w:val="16"/>
                <w:szCs w:val="16"/>
              </w:rPr>
              <w:t xml:space="preserve">CF-1</w:t>
            </w:r>
          </w:p>
        </w:tc>
        <w:tc>
          <w:tcPr>
            <w:tcW w:type="dxa" w:w="3050"/>
            <w:shd w:fill="FFFFFF" w:val="clear"/>
            <w:tcMar>
              <w:top w:type="dxa" w:w="60"/>
              <w:left w:type="dxa" w:w="90"/>
              <w:bottom w:type="dxa" w:w="60"/>
              <w:right w:type="dxa" w:w="90"/>
            </w:tcMar>
            <w:vAlign w:val="center"/>
          </w:tcPr>
          <w:p>
            <w:r>
              <w:rPr>
                <w:sz w:val="16"/>
                <w:szCs w:val="16"/>
              </w:rPr>
              <w:t xml:space="preserve">No confirmed spend authorization beyond validation sprint</w:t>
            </w:r>
          </w:p>
        </w:tc>
        <w:tc>
          <w:tcPr>
            <w:tcW w:type="dxa" w:w="2200"/>
            <w:shd w:fill="FFFFFF" w:val="clear"/>
            <w:tcMar>
              <w:top w:type="dxa" w:w="60"/>
              <w:left w:type="dxa" w:w="90"/>
              <w:bottom w:type="dxa" w:w="60"/>
              <w:right w:type="dxa" w:w="90"/>
            </w:tcMar>
            <w:vAlign w:val="center"/>
          </w:tcPr>
          <w:p>
            <w:r>
              <w:rPr>
                <w:sz w:val="16"/>
                <w:szCs w:val="16"/>
              </w:rPr>
              <w:t xml:space="preserve">NOT RESOLVABLE BY DOCUMENTATION</w:t>
            </w:r>
          </w:p>
        </w:tc>
        <w:tc>
          <w:tcPr>
            <w:tcW w:type="dxa" w:w="3400"/>
            <w:shd w:fill="FFFFFF" w:val="clear"/>
            <w:tcMar>
              <w:top w:type="dxa" w:w="60"/>
              <w:left w:type="dxa" w:w="90"/>
              <w:bottom w:type="dxa" w:w="60"/>
              <w:right w:type="dxa" w:w="90"/>
            </w:tcMar>
            <w:vAlign w:val="center"/>
          </w:tcPr>
          <w:p>
            <w:r>
              <w:rPr>
                <w:sz w:val="16"/>
                <w:szCs w:val="16"/>
              </w:rPr>
              <w:t xml:space="preserve">Requires an actual Investment Committee confirmation. Cannot be produced by this exercise. See Section B.</w:t>
            </w:r>
          </w:p>
        </w:tc>
      </w:tr>
      <w:tr>
        <w:tc>
          <w:tcPr>
            <w:tcW w:type="dxa" w:w="700"/>
            <w:shd w:fill="F2F2F2" w:val="clear"/>
            <w:tcMar>
              <w:top w:type="dxa" w:w="60"/>
              <w:left w:type="dxa" w:w="90"/>
              <w:bottom w:type="dxa" w:w="60"/>
              <w:right w:type="dxa" w:w="90"/>
            </w:tcMar>
            <w:vAlign w:val="center"/>
          </w:tcPr>
          <w:p>
            <w:r>
              <w:rPr>
                <w:sz w:val="16"/>
                <w:szCs w:val="16"/>
              </w:rPr>
              <w:t xml:space="preserve">CF-2</w:t>
            </w:r>
          </w:p>
        </w:tc>
        <w:tc>
          <w:tcPr>
            <w:tcW w:type="dxa" w:w="3050"/>
            <w:shd w:fill="F2F2F2" w:val="clear"/>
            <w:tcMar>
              <w:top w:type="dxa" w:w="60"/>
              <w:left w:type="dxa" w:w="90"/>
              <w:bottom w:type="dxa" w:w="60"/>
              <w:right w:type="dxa" w:w="90"/>
            </w:tcMar>
            <w:vAlign w:val="center"/>
          </w:tcPr>
          <w:p>
            <w:r>
              <w:rPr>
                <w:sz w:val="16"/>
                <w:szCs w:val="16"/>
              </w:rPr>
              <w:t xml:space="preserve">No commercial validation evidence exists</w:t>
            </w:r>
          </w:p>
        </w:tc>
        <w:tc>
          <w:tcPr>
            <w:tcW w:type="dxa" w:w="2200"/>
            <w:shd w:fill="F2F2F2" w:val="clear"/>
            <w:tcMar>
              <w:top w:type="dxa" w:w="60"/>
              <w:left w:type="dxa" w:w="90"/>
              <w:bottom w:type="dxa" w:w="60"/>
              <w:right w:type="dxa" w:w="90"/>
            </w:tcMar>
            <w:vAlign w:val="center"/>
          </w:tcPr>
          <w:p>
            <w:r>
              <w:rPr>
                <w:sz w:val="16"/>
                <w:szCs w:val="16"/>
              </w:rPr>
              <w:t xml:space="preserve">NOT RESOLVABLE BY DOCUMENTATION</w:t>
            </w:r>
          </w:p>
        </w:tc>
        <w:tc>
          <w:tcPr>
            <w:tcW w:type="dxa" w:w="3400"/>
            <w:shd w:fill="F2F2F2" w:val="clear"/>
            <w:tcMar>
              <w:top w:type="dxa" w:w="60"/>
              <w:left w:type="dxa" w:w="90"/>
              <w:bottom w:type="dxa" w:w="60"/>
              <w:right w:type="dxa" w:w="90"/>
            </w:tcMar>
            <w:vAlign w:val="center"/>
          </w:tcPr>
          <w:p>
            <w:r>
              <w:rPr>
                <w:sz w:val="16"/>
                <w:szCs w:val="16"/>
              </w:rPr>
              <w:t xml:space="preserve">Requires real brand interviews and LOIs to actually occur. See Section B.</w:t>
            </w:r>
          </w:p>
        </w:tc>
      </w:tr>
      <w:tr>
        <w:tc>
          <w:tcPr>
            <w:tcW w:type="dxa" w:w="700"/>
            <w:shd w:fill="FFFFFF" w:val="clear"/>
            <w:tcMar>
              <w:top w:type="dxa" w:w="60"/>
              <w:left w:type="dxa" w:w="90"/>
              <w:bottom w:type="dxa" w:w="60"/>
              <w:right w:type="dxa" w:w="90"/>
            </w:tcMar>
            <w:vAlign w:val="center"/>
          </w:tcPr>
          <w:p>
            <w:r>
              <w:rPr>
                <w:sz w:val="16"/>
                <w:szCs w:val="16"/>
              </w:rPr>
              <w:t xml:space="preserve">CF-3</w:t>
            </w:r>
          </w:p>
        </w:tc>
        <w:tc>
          <w:tcPr>
            <w:tcW w:type="dxa" w:w="3050"/>
            <w:shd w:fill="FFFFFF" w:val="clear"/>
            <w:tcMar>
              <w:top w:type="dxa" w:w="60"/>
              <w:left w:type="dxa" w:w="90"/>
              <w:bottom w:type="dxa" w:w="60"/>
              <w:right w:type="dxa" w:w="90"/>
            </w:tcMar>
            <w:vAlign w:val="center"/>
          </w:tcPr>
          <w:p>
            <w:r>
              <w:rPr>
                <w:sz w:val="16"/>
                <w:szCs w:val="16"/>
              </w:rPr>
              <w:t xml:space="preserve">Legal entity and data-residency status unconfirmed</w:t>
            </w:r>
          </w:p>
        </w:tc>
        <w:tc>
          <w:tcPr>
            <w:tcW w:type="dxa" w:w="2200"/>
            <w:shd w:fill="FFFFFF" w:val="clear"/>
            <w:tcMar>
              <w:top w:type="dxa" w:w="60"/>
              <w:left w:type="dxa" w:w="90"/>
              <w:bottom w:type="dxa" w:w="60"/>
              <w:right w:type="dxa" w:w="90"/>
            </w:tcMar>
            <w:vAlign w:val="center"/>
          </w:tcPr>
          <w:p>
            <w:r>
              <w:rPr>
                <w:sz w:val="16"/>
                <w:szCs w:val="16"/>
              </w:rPr>
              <w:t xml:space="preserve">PARTIALLY RESOLVED</w:t>
            </w:r>
          </w:p>
        </w:tc>
        <w:tc>
          <w:tcPr>
            <w:tcW w:type="dxa" w:w="3400"/>
            <w:shd w:fill="FFFFFF" w:val="clear"/>
            <w:tcMar>
              <w:top w:type="dxa" w:w="60"/>
              <w:left w:type="dxa" w:w="90"/>
              <w:bottom w:type="dxa" w:w="60"/>
              <w:right w:type="dxa" w:w="90"/>
            </w:tcMar>
            <w:vAlign w:val="center"/>
          </w:tcPr>
          <w:p>
            <w:r>
              <w:rPr>
                <w:sz w:val="16"/>
                <w:szCs w:val="16"/>
              </w:rPr>
              <w:t xml:space="preserve">Data-residency region given a provisional default (see B-03 below); legal entity incorporation itself remains a real-world action — see Section B.</w:t>
            </w:r>
          </w:p>
        </w:tc>
      </w:tr>
      <w:tr>
        <w:tc>
          <w:tcPr>
            <w:tcW w:type="dxa" w:w="700"/>
            <w:shd w:fill="F2F2F2" w:val="clear"/>
            <w:tcMar>
              <w:top w:type="dxa" w:w="60"/>
              <w:left w:type="dxa" w:w="90"/>
              <w:bottom w:type="dxa" w:w="60"/>
              <w:right w:type="dxa" w:w="90"/>
            </w:tcMar>
            <w:vAlign w:val="center"/>
          </w:tcPr>
          <w:p>
            <w:r>
              <w:rPr>
                <w:sz w:val="16"/>
                <w:szCs w:val="16"/>
              </w:rPr>
              <w:t xml:space="preserve">B-01</w:t>
            </w:r>
          </w:p>
        </w:tc>
        <w:tc>
          <w:tcPr>
            <w:tcW w:type="dxa" w:w="3050"/>
            <w:shd w:fill="F2F2F2" w:val="clear"/>
            <w:tcMar>
              <w:top w:type="dxa" w:w="60"/>
              <w:left w:type="dxa" w:w="90"/>
              <w:bottom w:type="dxa" w:w="60"/>
              <w:right w:type="dxa" w:w="90"/>
            </w:tcMar>
            <w:vAlign w:val="center"/>
          </w:tcPr>
          <w:p>
            <w:r>
              <w:rPr>
                <w:sz w:val="16"/>
                <w:szCs w:val="16"/>
              </w:rPr>
              <w:t xml:space="preserve">PDPL legal sign-off not obtained</w:t>
            </w:r>
          </w:p>
        </w:tc>
        <w:tc>
          <w:tcPr>
            <w:tcW w:type="dxa" w:w="2200"/>
            <w:shd w:fill="F2F2F2" w:val="clear"/>
            <w:tcMar>
              <w:top w:type="dxa" w:w="60"/>
              <w:left w:type="dxa" w:w="90"/>
              <w:bottom w:type="dxa" w:w="60"/>
              <w:right w:type="dxa" w:w="90"/>
            </w:tcMar>
            <w:vAlign w:val="center"/>
          </w:tcPr>
          <w:p>
            <w:r>
              <w:rPr>
                <w:sz w:val="16"/>
                <w:szCs w:val="16"/>
              </w:rPr>
              <w:t xml:space="preserve">NOT RESOLVABLE BY DOCUMENTATION</w:t>
            </w:r>
          </w:p>
        </w:tc>
        <w:tc>
          <w:tcPr>
            <w:tcW w:type="dxa" w:w="3400"/>
            <w:shd w:fill="F2F2F2" w:val="clear"/>
            <w:tcMar>
              <w:top w:type="dxa" w:w="60"/>
              <w:left w:type="dxa" w:w="90"/>
              <w:bottom w:type="dxa" w:w="60"/>
              <w:right w:type="dxa" w:w="90"/>
            </w:tcMar>
            <w:vAlign w:val="center"/>
          </w:tcPr>
          <w:p>
            <w:r>
              <w:rPr>
                <w:sz w:val="16"/>
                <w:szCs w:val="16"/>
              </w:rPr>
              <w:t xml:space="preserve">Requires actual counsel review. See Section B.</w:t>
            </w:r>
          </w:p>
        </w:tc>
      </w:tr>
      <w:tr>
        <w:tc>
          <w:tcPr>
            <w:tcW w:type="dxa" w:w="700"/>
            <w:shd w:fill="FFFFFF" w:val="clear"/>
            <w:tcMar>
              <w:top w:type="dxa" w:w="60"/>
              <w:left w:type="dxa" w:w="90"/>
              <w:bottom w:type="dxa" w:w="60"/>
              <w:right w:type="dxa" w:w="90"/>
            </w:tcMar>
            <w:vAlign w:val="center"/>
          </w:tcPr>
          <w:p>
            <w:r>
              <w:rPr>
                <w:sz w:val="16"/>
                <w:szCs w:val="16"/>
              </w:rPr>
              <w:t xml:space="preserve">B-02</w:t>
            </w:r>
          </w:p>
        </w:tc>
        <w:tc>
          <w:tcPr>
            <w:tcW w:type="dxa" w:w="3050"/>
            <w:shd w:fill="FFFFFF" w:val="clear"/>
            <w:tcMar>
              <w:top w:type="dxa" w:w="60"/>
              <w:left w:type="dxa" w:w="90"/>
              <w:bottom w:type="dxa" w:w="60"/>
              <w:right w:type="dxa" w:w="90"/>
            </w:tcMar>
            <w:vAlign w:val="center"/>
          </w:tcPr>
          <w:p>
            <w:r>
              <w:rPr>
                <w:sz w:val="16"/>
                <w:szCs w:val="16"/>
              </w:rPr>
              <w:t xml:space="preserve">No Sales/Brand-Partnerships role staffed in Sprint 0–6</w:t>
            </w:r>
          </w:p>
        </w:tc>
        <w:tc>
          <w:tcPr>
            <w:tcW w:type="dxa" w:w="2200"/>
            <w:shd w:fill="FFFFFF" w:val="clear"/>
            <w:tcMar>
              <w:top w:type="dxa" w:w="60"/>
              <w:left w:type="dxa" w:w="90"/>
              <w:bottom w:type="dxa" w:w="60"/>
              <w:right w:type="dxa" w:w="90"/>
            </w:tcMar>
            <w:vAlign w:val="center"/>
          </w:tcPr>
          <w:p>
            <w:r>
              <w:rPr>
                <w:sz w:val="16"/>
                <w:szCs w:val="16"/>
              </w:rPr>
              <w:t xml:space="preserve">FIXED</w:t>
            </w:r>
          </w:p>
        </w:tc>
        <w:tc>
          <w:tcPr>
            <w:tcW w:type="dxa" w:w="3400"/>
            <w:shd w:fill="FFFFFF" w:val="clear"/>
            <w:tcMar>
              <w:top w:type="dxa" w:w="60"/>
              <w:left w:type="dxa" w:w="90"/>
              <w:bottom w:type="dxa" w:w="60"/>
              <w:right w:type="dxa" w:w="90"/>
            </w:tcMar>
            <w:vAlign w:val="center"/>
          </w:tcPr>
          <w:p>
            <w:r>
              <w:rPr>
                <w:sz w:val="16"/>
                <w:szCs w:val="16"/>
              </w:rPr>
              <w:t xml:space="preserve">Resource Plan updated below — role added with sprint-by-sprint allocation</w:t>
            </w:r>
          </w:p>
        </w:tc>
      </w:tr>
      <w:tr>
        <w:tc>
          <w:tcPr>
            <w:tcW w:type="dxa" w:w="700"/>
            <w:shd w:fill="F2F2F2" w:val="clear"/>
            <w:tcMar>
              <w:top w:type="dxa" w:w="60"/>
              <w:left w:type="dxa" w:w="90"/>
              <w:bottom w:type="dxa" w:w="60"/>
              <w:right w:type="dxa" w:w="90"/>
            </w:tcMar>
            <w:vAlign w:val="center"/>
          </w:tcPr>
          <w:p>
            <w:r>
              <w:rPr>
                <w:sz w:val="16"/>
                <w:szCs w:val="16"/>
              </w:rPr>
              <w:t xml:space="preserve">B-03</w:t>
            </w:r>
          </w:p>
        </w:tc>
        <w:tc>
          <w:tcPr>
            <w:tcW w:type="dxa" w:w="3050"/>
            <w:shd w:fill="F2F2F2" w:val="clear"/>
            <w:tcMar>
              <w:top w:type="dxa" w:w="60"/>
              <w:left w:type="dxa" w:w="90"/>
              <w:bottom w:type="dxa" w:w="60"/>
              <w:right w:type="dxa" w:w="90"/>
            </w:tcMar>
            <w:vAlign w:val="center"/>
          </w:tcPr>
          <w:p>
            <w:r>
              <w:rPr>
                <w:sz w:val="16"/>
                <w:szCs w:val="16"/>
              </w:rPr>
              <w:t xml:space="preserve">Cloud hosting region undecided</w:t>
            </w:r>
          </w:p>
        </w:tc>
        <w:tc>
          <w:tcPr>
            <w:tcW w:type="dxa" w:w="2200"/>
            <w:shd w:fill="F2F2F2" w:val="clear"/>
            <w:tcMar>
              <w:top w:type="dxa" w:w="60"/>
              <w:left w:type="dxa" w:w="90"/>
              <w:bottom w:type="dxa" w:w="60"/>
              <w:right w:type="dxa" w:w="90"/>
            </w:tcMar>
            <w:vAlign w:val="center"/>
          </w:tcPr>
          <w:p>
            <w:r>
              <w:rPr>
                <w:sz w:val="16"/>
                <w:szCs w:val="16"/>
              </w:rPr>
              <w:t xml:space="preserve">PROVISIONALLY FIXED</w:t>
            </w:r>
          </w:p>
        </w:tc>
        <w:tc>
          <w:tcPr>
            <w:tcW w:type="dxa" w:w="3400"/>
            <w:shd w:fill="F2F2F2" w:val="clear"/>
            <w:tcMar>
              <w:top w:type="dxa" w:w="60"/>
              <w:left w:type="dxa" w:w="90"/>
              <w:bottom w:type="dxa" w:w="60"/>
              <w:right w:type="dxa" w:w="90"/>
            </w:tcMar>
            <w:vAlign w:val="center"/>
          </w:tcPr>
          <w:p>
            <w:r>
              <w:rPr>
                <w:sz w:val="16"/>
                <w:szCs w:val="16"/>
              </w:rPr>
              <w:t xml:space="preserve">Default region set to Bahrain (AWS me-south-1), pending legal confirmation — unblocks Sprint 0 planning without pretending the legal question is closed</w:t>
            </w:r>
          </w:p>
        </w:tc>
      </w:tr>
      <w:tr>
        <w:tc>
          <w:tcPr>
            <w:tcW w:type="dxa" w:w="700"/>
            <w:shd w:fill="FFFFFF" w:val="clear"/>
            <w:tcMar>
              <w:top w:type="dxa" w:w="60"/>
              <w:left w:type="dxa" w:w="90"/>
              <w:bottom w:type="dxa" w:w="60"/>
              <w:right w:type="dxa" w:w="90"/>
            </w:tcMar>
            <w:vAlign w:val="center"/>
          </w:tcPr>
          <w:p>
            <w:r>
              <w:rPr>
                <w:sz w:val="16"/>
                <w:szCs w:val="16"/>
              </w:rPr>
              <w:t xml:space="preserve">B-04</w:t>
            </w:r>
          </w:p>
        </w:tc>
        <w:tc>
          <w:tcPr>
            <w:tcW w:type="dxa" w:w="3050"/>
            <w:shd w:fill="FFFFFF" w:val="clear"/>
            <w:tcMar>
              <w:top w:type="dxa" w:w="60"/>
              <w:left w:type="dxa" w:w="90"/>
              <w:bottom w:type="dxa" w:w="60"/>
              <w:right w:type="dxa" w:w="90"/>
            </w:tcMar>
            <w:vAlign w:val="center"/>
          </w:tcPr>
          <w:p>
            <w:r>
              <w:rPr>
                <w:sz w:val="16"/>
                <w:szCs w:val="16"/>
              </w:rPr>
              <w:t xml:space="preserve">No Sprint 0 budget line for vendor contracts</w:t>
            </w:r>
          </w:p>
        </w:tc>
        <w:tc>
          <w:tcPr>
            <w:tcW w:type="dxa" w:w="2200"/>
            <w:shd w:fill="FFFFFF" w:val="clear"/>
            <w:tcMar>
              <w:top w:type="dxa" w:w="60"/>
              <w:left w:type="dxa" w:w="90"/>
              <w:bottom w:type="dxa" w:w="60"/>
              <w:right w:type="dxa" w:w="90"/>
            </w:tcMar>
            <w:vAlign w:val="center"/>
          </w:tcPr>
          <w:p>
            <w:r>
              <w:rPr>
                <w:sz w:val="16"/>
                <w:szCs w:val="16"/>
              </w:rPr>
              <w:t xml:space="preserve">FIXED</w:t>
            </w:r>
          </w:p>
        </w:tc>
        <w:tc>
          <w:tcPr>
            <w:tcW w:type="dxa" w:w="3400"/>
            <w:shd w:fill="FFFFFF" w:val="clear"/>
            <w:tcMar>
              <w:top w:type="dxa" w:w="60"/>
              <w:left w:type="dxa" w:w="90"/>
              <w:bottom w:type="dxa" w:w="60"/>
              <w:right w:type="dxa" w:w="90"/>
            </w:tcMar>
            <w:vAlign w:val="center"/>
          </w:tcPr>
          <w:p>
            <w:r>
              <w:rPr>
                <w:sz w:val="16"/>
                <w:szCs w:val="16"/>
              </w:rPr>
              <w:t xml:space="preserve">Budget line added below, separate from the Track 0 validation-sprint envelope</w:t>
            </w:r>
          </w:p>
        </w:tc>
      </w:tr>
      <w:tr>
        <w:tc>
          <w:tcPr>
            <w:tcW w:type="dxa" w:w="700"/>
            <w:shd w:fill="F2F2F2" w:val="clear"/>
            <w:tcMar>
              <w:top w:type="dxa" w:w="60"/>
              <w:left w:type="dxa" w:w="90"/>
              <w:bottom w:type="dxa" w:w="60"/>
              <w:right w:type="dxa" w:w="90"/>
            </w:tcMar>
            <w:vAlign w:val="center"/>
          </w:tcPr>
          <w:p>
            <w:r>
              <w:rPr>
                <w:sz w:val="16"/>
                <w:szCs w:val="16"/>
              </w:rPr>
              <w:t xml:space="preserve">M-01</w:t>
            </w:r>
          </w:p>
        </w:tc>
        <w:tc>
          <w:tcPr>
            <w:tcW w:type="dxa" w:w="3050"/>
            <w:shd w:fill="F2F2F2" w:val="clear"/>
            <w:tcMar>
              <w:top w:type="dxa" w:w="60"/>
              <w:left w:type="dxa" w:w="90"/>
              <w:bottom w:type="dxa" w:w="60"/>
              <w:right w:type="dxa" w:w="90"/>
            </w:tcMar>
            <w:vAlign w:val="center"/>
          </w:tcPr>
          <w:p>
            <w:r>
              <w:rPr>
                <w:sz w:val="16"/>
                <w:szCs w:val="16"/>
              </w:rPr>
              <w:t xml:space="preserve">10 of 22 features only summary-specified</w:t>
            </w:r>
          </w:p>
        </w:tc>
        <w:tc>
          <w:tcPr>
            <w:tcW w:type="dxa" w:w="2200"/>
            <w:shd w:fill="F2F2F2" w:val="clear"/>
            <w:tcMar>
              <w:top w:type="dxa" w:w="60"/>
              <w:left w:type="dxa" w:w="90"/>
              <w:bottom w:type="dxa" w:w="60"/>
              <w:right w:type="dxa" w:w="90"/>
            </w:tcMar>
            <w:vAlign w:val="center"/>
          </w:tcPr>
          <w:p>
            <w:r>
              <w:rPr>
                <w:sz w:val="16"/>
                <w:szCs w:val="16"/>
              </w:rPr>
              <w:t xml:space="preserve">ACKNOWLEDGED, NOT CHANGED</w:t>
            </w:r>
          </w:p>
        </w:tc>
        <w:tc>
          <w:tcPr>
            <w:tcW w:type="dxa" w:w="3400"/>
            <w:shd w:fill="F2F2F2" w:val="clear"/>
            <w:tcMar>
              <w:top w:type="dxa" w:w="60"/>
              <w:left w:type="dxa" w:w="90"/>
              <w:bottom w:type="dxa" w:w="60"/>
              <w:right w:type="dxa" w:w="90"/>
            </w:tcMar>
            <w:vAlign w:val="center"/>
          </w:tcPr>
          <w:p>
            <w:r>
              <w:rPr>
                <w:sz w:val="16"/>
                <w:szCs w:val="16"/>
              </w:rPr>
              <w:t xml:space="preserve">Correct as designed — full-spec-on-demand is the right call, not a gap to force-close prematurely</w:t>
            </w:r>
          </w:p>
        </w:tc>
      </w:tr>
      <w:tr>
        <w:tc>
          <w:tcPr>
            <w:tcW w:type="dxa" w:w="700"/>
            <w:shd w:fill="FFFFFF" w:val="clear"/>
            <w:tcMar>
              <w:top w:type="dxa" w:w="60"/>
              <w:left w:type="dxa" w:w="90"/>
              <w:bottom w:type="dxa" w:w="60"/>
              <w:right w:type="dxa" w:w="90"/>
            </w:tcMar>
            <w:vAlign w:val="center"/>
          </w:tcPr>
          <w:p>
            <w:r>
              <w:rPr>
                <w:sz w:val="16"/>
                <w:szCs w:val="16"/>
              </w:rPr>
              <w:t xml:space="preserve">M-02</w:t>
            </w:r>
          </w:p>
        </w:tc>
        <w:tc>
          <w:tcPr>
            <w:tcW w:type="dxa" w:w="3050"/>
            <w:shd w:fill="FFFFFF" w:val="clear"/>
            <w:tcMar>
              <w:top w:type="dxa" w:w="60"/>
              <w:left w:type="dxa" w:w="90"/>
              <w:bottom w:type="dxa" w:w="60"/>
              <w:right w:type="dxa" w:w="90"/>
            </w:tcMar>
            <w:vAlign w:val="center"/>
          </w:tcPr>
          <w:p>
            <w:r>
              <w:rPr>
                <w:sz w:val="16"/>
                <w:szCs w:val="16"/>
              </w:rPr>
              <w:t xml:space="preserve">No pagination strategy defined</w:t>
            </w:r>
          </w:p>
        </w:tc>
        <w:tc>
          <w:tcPr>
            <w:tcW w:type="dxa" w:w="2200"/>
            <w:shd w:fill="FFFFFF" w:val="clear"/>
            <w:tcMar>
              <w:top w:type="dxa" w:w="60"/>
              <w:left w:type="dxa" w:w="90"/>
              <w:bottom w:type="dxa" w:w="60"/>
              <w:right w:type="dxa" w:w="90"/>
            </w:tcMar>
            <w:vAlign w:val="center"/>
          </w:tcPr>
          <w:p>
            <w:r>
              <w:rPr>
                <w:sz w:val="16"/>
                <w:szCs w:val="16"/>
              </w:rPr>
              <w:t xml:space="preserve">FIXED</w:t>
            </w:r>
          </w:p>
        </w:tc>
        <w:tc>
          <w:tcPr>
            <w:tcW w:type="dxa" w:w="3400"/>
            <w:shd w:fill="FFFFFF" w:val="clear"/>
            <w:tcMar>
              <w:top w:type="dxa" w:w="60"/>
              <w:left w:type="dxa" w:w="90"/>
              <w:bottom w:type="dxa" w:w="60"/>
              <w:right w:type="dxa" w:w="90"/>
            </w:tcMar>
            <w:vAlign w:val="center"/>
          </w:tcPr>
          <w:p>
            <w:r>
              <w:rPr>
                <w:sz w:val="16"/>
                <w:szCs w:val="16"/>
              </w:rPr>
              <w:t xml:space="preserve">Standard defined below</w:t>
            </w:r>
          </w:p>
        </w:tc>
      </w:tr>
      <w:tr>
        <w:tc>
          <w:tcPr>
            <w:tcW w:type="dxa" w:w="700"/>
            <w:shd w:fill="F2F2F2" w:val="clear"/>
            <w:tcMar>
              <w:top w:type="dxa" w:w="60"/>
              <w:left w:type="dxa" w:w="90"/>
              <w:bottom w:type="dxa" w:w="60"/>
              <w:right w:type="dxa" w:w="90"/>
            </w:tcMar>
            <w:vAlign w:val="center"/>
          </w:tcPr>
          <w:p>
            <w:r>
              <w:rPr>
                <w:sz w:val="16"/>
                <w:szCs w:val="16"/>
              </w:rPr>
              <w:t xml:space="preserve">M-03</w:t>
            </w:r>
          </w:p>
        </w:tc>
        <w:tc>
          <w:tcPr>
            <w:tcW w:type="dxa" w:w="3050"/>
            <w:shd w:fill="F2F2F2" w:val="clear"/>
            <w:tcMar>
              <w:top w:type="dxa" w:w="60"/>
              <w:left w:type="dxa" w:w="90"/>
              <w:bottom w:type="dxa" w:w="60"/>
              <w:right w:type="dxa" w:w="90"/>
            </w:tcMar>
            <w:vAlign w:val="center"/>
          </w:tcPr>
          <w:p>
            <w:r>
              <w:rPr>
                <w:sz w:val="16"/>
                <w:szCs w:val="16"/>
              </w:rPr>
              <w:t xml:space="preserve">Team-composition mismatch (Blueprint vs. Delivery Plan)</w:t>
            </w:r>
          </w:p>
        </w:tc>
        <w:tc>
          <w:tcPr>
            <w:tcW w:type="dxa" w:w="2200"/>
            <w:shd w:fill="F2F2F2" w:val="clear"/>
            <w:tcMar>
              <w:top w:type="dxa" w:w="60"/>
              <w:left w:type="dxa" w:w="90"/>
              <w:bottom w:type="dxa" w:w="60"/>
              <w:right w:type="dxa" w:w="90"/>
            </w:tcMar>
            <w:vAlign w:val="center"/>
          </w:tcPr>
          <w:p>
            <w:r>
              <w:rPr>
                <w:sz w:val="16"/>
                <w:szCs w:val="16"/>
              </w:rPr>
              <w:t xml:space="preserve">FIXED</w:t>
            </w:r>
          </w:p>
        </w:tc>
        <w:tc>
          <w:tcPr>
            <w:tcW w:type="dxa" w:w="3400"/>
            <w:shd w:fill="F2F2F2" w:val="clear"/>
            <w:tcMar>
              <w:top w:type="dxa" w:w="60"/>
              <w:left w:type="dxa" w:w="90"/>
              <w:bottom w:type="dxa" w:w="60"/>
              <w:right w:type="dxa" w:w="90"/>
            </w:tcMar>
            <w:vAlign w:val="center"/>
          </w:tcPr>
          <w:p>
            <w:r>
              <w:rPr>
                <w:sz w:val="16"/>
                <w:szCs w:val="16"/>
              </w:rPr>
              <w:t xml:space="preserve">Same fix as B-02 — Resource Plan now matches the Blueprint's own org chart</w:t>
            </w:r>
          </w:p>
        </w:tc>
      </w:tr>
      <w:tr>
        <w:tc>
          <w:tcPr>
            <w:tcW w:type="dxa" w:w="700"/>
            <w:shd w:fill="FFFFFF" w:val="clear"/>
            <w:tcMar>
              <w:top w:type="dxa" w:w="60"/>
              <w:left w:type="dxa" w:w="90"/>
              <w:bottom w:type="dxa" w:w="60"/>
              <w:right w:type="dxa" w:w="90"/>
            </w:tcMar>
            <w:vAlign w:val="center"/>
          </w:tcPr>
          <w:p>
            <w:r>
              <w:rPr>
                <w:sz w:val="16"/>
                <w:szCs w:val="16"/>
              </w:rPr>
              <w:t xml:space="preserve">M-04</w:t>
            </w:r>
          </w:p>
        </w:tc>
        <w:tc>
          <w:tcPr>
            <w:tcW w:type="dxa" w:w="3050"/>
            <w:shd w:fill="FFFFFF" w:val="clear"/>
            <w:tcMar>
              <w:top w:type="dxa" w:w="60"/>
              <w:left w:type="dxa" w:w="90"/>
              <w:bottom w:type="dxa" w:w="60"/>
              <w:right w:type="dxa" w:w="90"/>
            </w:tcMar>
            <w:vAlign w:val="center"/>
          </w:tcPr>
          <w:p>
            <w:r>
              <w:rPr>
                <w:sz w:val="16"/>
                <w:szCs w:val="16"/>
              </w:rPr>
              <w:t xml:space="preserve">Timeline has no velocity data</w:t>
            </w:r>
          </w:p>
        </w:tc>
        <w:tc>
          <w:tcPr>
            <w:tcW w:type="dxa" w:w="2200"/>
            <w:shd w:fill="FFFFFF" w:val="clear"/>
            <w:tcMar>
              <w:top w:type="dxa" w:w="60"/>
              <w:left w:type="dxa" w:w="90"/>
              <w:bottom w:type="dxa" w:w="60"/>
              <w:right w:type="dxa" w:w="90"/>
            </w:tcMar>
            <w:vAlign w:val="center"/>
          </w:tcPr>
          <w:p>
            <w:r>
              <w:rPr>
                <w:sz w:val="16"/>
                <w:szCs w:val="16"/>
              </w:rPr>
              <w:t xml:space="preserve">ACKNOWLEDGED, NOT CHANGED</w:t>
            </w:r>
          </w:p>
        </w:tc>
        <w:tc>
          <w:tcPr>
            <w:tcW w:type="dxa" w:w="3400"/>
            <w:shd w:fill="FFFFFF" w:val="clear"/>
            <w:tcMar>
              <w:top w:type="dxa" w:w="60"/>
              <w:left w:type="dxa" w:w="90"/>
              <w:bottom w:type="dxa" w:w="60"/>
              <w:right w:type="dxa" w:w="90"/>
            </w:tcMar>
            <w:vAlign w:val="center"/>
          </w:tcPr>
          <w:p>
            <w:r>
              <w:rPr>
                <w:sz w:val="16"/>
                <w:szCs w:val="16"/>
              </w:rPr>
              <w:t xml:space="preserve">Cannot be fixed before Sprint 1 actually runs — flagged honestly, not fabricated</w:t>
            </w:r>
          </w:p>
        </w:tc>
      </w:tr>
      <w:tr>
        <w:tc>
          <w:tcPr>
            <w:tcW w:type="dxa" w:w="700"/>
            <w:shd w:fill="F2F2F2" w:val="clear"/>
            <w:tcMar>
              <w:top w:type="dxa" w:w="60"/>
              <w:left w:type="dxa" w:w="90"/>
              <w:bottom w:type="dxa" w:w="60"/>
              <w:right w:type="dxa" w:w="90"/>
            </w:tcMar>
            <w:vAlign w:val="center"/>
          </w:tcPr>
          <w:p>
            <w:r>
              <w:rPr>
                <w:sz w:val="16"/>
                <w:szCs w:val="16"/>
              </w:rPr>
              <w:t xml:space="preserve">M-05</w:t>
            </w:r>
          </w:p>
        </w:tc>
        <w:tc>
          <w:tcPr>
            <w:tcW w:type="dxa" w:w="3050"/>
            <w:shd w:fill="F2F2F2" w:val="clear"/>
            <w:tcMar>
              <w:top w:type="dxa" w:w="60"/>
              <w:left w:type="dxa" w:w="90"/>
              <w:bottom w:type="dxa" w:w="60"/>
              <w:right w:type="dxa" w:w="90"/>
            </w:tcMar>
            <w:vAlign w:val="center"/>
          </w:tcPr>
          <w:p>
            <w:r>
              <w:rPr>
                <w:sz w:val="16"/>
                <w:szCs w:val="16"/>
              </w:rPr>
              <w:t xml:space="preserve">Working name used as final everywhere</w:t>
            </w:r>
          </w:p>
        </w:tc>
        <w:tc>
          <w:tcPr>
            <w:tcW w:type="dxa" w:w="2200"/>
            <w:shd w:fill="F2F2F2" w:val="clear"/>
            <w:tcMar>
              <w:top w:type="dxa" w:w="60"/>
              <w:left w:type="dxa" w:w="90"/>
              <w:bottom w:type="dxa" w:w="60"/>
              <w:right w:type="dxa" w:w="90"/>
            </w:tcMar>
            <w:vAlign w:val="center"/>
          </w:tcPr>
          <w:p>
            <w:r>
              <w:rPr>
                <w:sz w:val="16"/>
                <w:szCs w:val="16"/>
              </w:rPr>
              <w:t xml:space="preserve">FIXED</w:t>
            </w:r>
          </w:p>
        </w:tc>
        <w:tc>
          <w:tcPr>
            <w:tcW w:type="dxa" w:w="3400"/>
            <w:shd w:fill="F2F2F2" w:val="clear"/>
            <w:tcMar>
              <w:top w:type="dxa" w:w="60"/>
              <w:left w:type="dxa" w:w="90"/>
              <w:bottom w:type="dxa" w:w="60"/>
              <w:right w:type="dxa" w:w="90"/>
            </w:tcMar>
            <w:vAlign w:val="center"/>
          </w:tcPr>
          <w:p>
            <w:r>
              <w:rPr>
                <w:sz w:val="16"/>
                <w:szCs w:val="16"/>
              </w:rPr>
              <w:t xml:space="preserve">Provisional-name disclaimer standard defined below</w:t>
            </w:r>
          </w:p>
        </w:tc>
      </w:tr>
      <w:tr>
        <w:tc>
          <w:tcPr>
            <w:tcW w:type="dxa" w:w="700"/>
            <w:shd w:fill="FFFFFF" w:val="clear"/>
            <w:tcMar>
              <w:top w:type="dxa" w:w="60"/>
              <w:left w:type="dxa" w:w="90"/>
              <w:bottom w:type="dxa" w:w="60"/>
              <w:right w:type="dxa" w:w="90"/>
            </w:tcMar>
            <w:vAlign w:val="center"/>
          </w:tcPr>
          <w:p>
            <w:r>
              <w:rPr>
                <w:sz w:val="16"/>
                <w:szCs w:val="16"/>
              </w:rPr>
              <w:t xml:space="preserve">M-06</w:t>
            </w:r>
          </w:p>
        </w:tc>
        <w:tc>
          <w:tcPr>
            <w:tcW w:type="dxa" w:w="3050"/>
            <w:shd w:fill="FFFFFF" w:val="clear"/>
            <w:tcMar>
              <w:top w:type="dxa" w:w="60"/>
              <w:left w:type="dxa" w:w="90"/>
              <w:bottom w:type="dxa" w:w="60"/>
              <w:right w:type="dxa" w:w="90"/>
            </w:tcMar>
            <w:vAlign w:val="center"/>
          </w:tcPr>
          <w:p>
            <w:r>
              <w:rPr>
                <w:sz w:val="16"/>
                <w:szCs w:val="16"/>
              </w:rPr>
              <w:t xml:space="preserve">Decision Log/ADR log not populated</w:t>
            </w:r>
          </w:p>
        </w:tc>
        <w:tc>
          <w:tcPr>
            <w:tcW w:type="dxa" w:w="2200"/>
            <w:shd w:fill="FFFFFF" w:val="clear"/>
            <w:tcMar>
              <w:top w:type="dxa" w:w="60"/>
              <w:left w:type="dxa" w:w="90"/>
              <w:bottom w:type="dxa" w:w="60"/>
              <w:right w:type="dxa" w:w="90"/>
            </w:tcMar>
            <w:vAlign w:val="center"/>
          </w:tcPr>
          <w:p>
            <w:r>
              <w:rPr>
                <w:sz w:val="16"/>
                <w:szCs w:val="16"/>
              </w:rPr>
              <w:t xml:space="preserve">FIXED</w:t>
            </w:r>
          </w:p>
        </w:tc>
        <w:tc>
          <w:tcPr>
            <w:tcW w:type="dxa" w:w="3400"/>
            <w:shd w:fill="FFFFFF" w:val="clear"/>
            <w:tcMar>
              <w:top w:type="dxa" w:w="60"/>
              <w:left w:type="dxa" w:w="90"/>
              <w:bottom w:type="dxa" w:w="60"/>
              <w:right w:type="dxa" w:w="90"/>
            </w:tcMar>
            <w:vAlign w:val="center"/>
          </w:tcPr>
          <w:p>
            <w:r>
              <w:rPr>
                <w:sz w:val="16"/>
                <w:szCs w:val="16"/>
              </w:rPr>
              <w:t xml:space="preserve">Populated below with every material decision/correction made to date</w:t>
            </w:r>
          </w:p>
        </w:tc>
      </w:tr>
    </w:tbl>
    <w:p>
      <w:r>
        <w:br w:type="page"/>
      </w:r>
    </w:p>
    <w:p>
      <w:pPr>
        <w:pStyle w:val="Heading1"/>
        <w:pBdr>
          <w:bottom w:val="single" w:color="1F2A44" w:sz="8" w:space="4"/>
        </w:pBdr>
        <w:spacing w:after="190" w:before="380"/>
      </w:pPr>
      <w:r>
        <w:rPr>
          <w:b/>
          <w:bCs/>
          <w:color w:val="1F2A44"/>
          <w:sz w:val="28"/>
          <w:szCs w:val="28"/>
        </w:rPr>
        <w:t xml:space="preserve">B. Items That Require Your Confirmation — Not Documentation</w:t>
      </w:r>
    </w:p>
    <w:tbl>
      <w:tblPr>
        <w:tblW w:type="pct" w:w="100%"/>
        <w:tblBorders>
          <w:top w:val="single" w:color="C0392B" w:sz="6"/>
          <w:left w:val="single" w:color="C0392B" w:sz="6"/>
          <w:bottom w:val="single" w:color="C0392B" w:sz="6"/>
          <w:right w:val="single" w:color="C0392B" w:sz="6"/>
          <w:insideH w:val="none" w:color="FFFFFF" w:sz="0"/>
          <w:insideV w:val="none" w:color="FFFFFF" w:sz="0"/>
        </w:tblBorders>
      </w:tblPr>
      <w:tblGrid>
        <w:gridCol w:w="100"/>
      </w:tblGrid>
      <w:tr>
        <w:tc>
          <w:tcPr>
            <w:shd w:fill="F2F2F2" w:val="clear"/>
            <w:tcMar>
              <w:top w:type="dxa" w:w="150"/>
              <w:left w:type="dxa" w:w="190"/>
              <w:bottom w:type="dxa" w:w="150"/>
              <w:right w:type="dxa" w:w="190"/>
            </w:tcMar>
          </w:tcPr>
          <w:p>
            <w:pPr>
              <w:spacing w:after="90"/>
            </w:pPr>
            <w:r>
              <w:rPr>
                <w:b/>
                <w:bCs/>
                <w:color w:val="C0392B"/>
                <w:sz w:val="21"/>
                <w:szCs w:val="21"/>
              </w:rPr>
              <w:t xml:space="preserve">These four items are the actual reason the project remains not authorized. No document can close them.</w:t>
            </w:r>
          </w:p>
          <w:p>
            <w:pPr>
              <w:spacing w:after="50"/>
            </w:pPr>
            <w:r>
              <w:rPr>
                <w:sz w:val="19"/>
                <w:szCs w:val="19"/>
              </w:rPr>
              <w:t xml:space="preserve">• 1. IC confirmation that the Track 0 validation sprint reached a GO decision under IC Memo §11 criteria — or a decision to extend/re-scope it.</w:t>
            </w:r>
          </w:p>
          <w:p>
            <w:pPr>
              <w:spacing w:after="50"/>
            </w:pPr>
            <w:r>
              <w:rPr>
                <w:sz w:val="19"/>
                <w:szCs w:val="19"/>
              </w:rPr>
              <w:t xml:space="preserve">• 2. Evidence of commercial validation: completed brand interviews and, ideally, signed LOIs.</w:t>
            </w:r>
          </w:p>
          <w:p>
            <w:pPr>
              <w:spacing w:after="50"/>
            </w:pPr>
            <w:r>
              <w:rPr>
                <w:sz w:val="19"/>
                <w:szCs w:val="19"/>
              </w:rPr>
              <w:t xml:space="preserve">• 3. Written legal counsel sign-off on PDPL data-residency and deletion-SLA requirements.</w:t>
            </w:r>
          </w:p>
          <w:p>
            <w:pPr>
              <w:spacing w:after="50"/>
            </w:pPr>
            <w:r>
              <w:rPr>
                <w:sz w:val="19"/>
                <w:szCs w:val="19"/>
              </w:rPr>
              <w:t xml:space="preserve">• 4. Written confirmation that the Egyptian LLC is incorporated (or a target incorporation date before any vendor contract is signed).</w:t>
            </w:r>
          </w:p>
        </w:tc>
      </w:tr>
    </w:tbl>
    <w:p>
      <w:pPr>
        <w:spacing w:after="110" w:line="260"/>
      </w:pPr>
      <w:r>
        <w:rPr>
          <w:sz w:val="19"/>
          <w:szCs w:val="19"/>
        </w:rPr>
        <w:t xml:space="preserve">If you can provide these four confirmations, the remaining blocking issues close and this project is realistically re-auditable to an APPROVED outcome. Everything else in this document has already been fixed.</w:t>
      </w:r>
    </w:p>
    <w:p>
      <w:r>
        <w:br w:type="page"/>
      </w:r>
    </w:p>
    <w:p>
      <w:pPr>
        <w:pStyle w:val="Heading1"/>
        <w:pBdr>
          <w:bottom w:val="single" w:color="1F2A44" w:sz="8" w:space="4"/>
        </w:pBdr>
        <w:spacing w:after="190" w:before="380"/>
      </w:pPr>
      <w:r>
        <w:rPr>
          <w:b/>
          <w:bCs/>
          <w:color w:val="1F2A44"/>
          <w:sz w:val="28"/>
          <w:szCs w:val="28"/>
        </w:rPr>
        <w:t xml:space="preserve">C. The Fixes</w:t>
      </w:r>
    </w:p>
    <w:p>
      <w:pPr>
        <w:pStyle w:val="Heading2"/>
        <w:spacing w:after="120" w:before="240"/>
      </w:pPr>
      <w:r>
        <w:rPr>
          <w:b/>
          <w:bCs/>
          <w:color w:val="1F2A44"/>
          <w:sz w:val="22"/>
          <w:szCs w:val="22"/>
        </w:rPr>
        <w:t xml:space="preserve">C.1 Updated Resource Plan — Sprint 0–6 (fixes B-02, M-03)</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500"/>
        <w:gridCol w:w="1200"/>
        <w:gridCol w:w="5650"/>
      </w:tblGrid>
      <w:tr>
        <w:trPr>
          <w:tblHeader/>
        </w:trPr>
        <w:tc>
          <w:tcPr>
            <w:tcW w:type="dxa" w:w="2500"/>
            <w:shd w:fill="1F2A44" w:val="clear"/>
            <w:tcMar>
              <w:top w:type="dxa" w:w="80"/>
              <w:left w:type="dxa" w:w="100"/>
              <w:bottom w:type="dxa" w:w="80"/>
              <w:right w:type="dxa" w:w="100"/>
            </w:tcMar>
            <w:vAlign w:val="center"/>
          </w:tcPr>
          <w:p>
            <w:r>
              <w:rPr>
                <w:b/>
                <w:bCs/>
                <w:color w:val="FFFFFF"/>
                <w:sz w:val="16"/>
                <w:szCs w:val="16"/>
              </w:rPr>
              <w:t xml:space="preserve">Role</w:t>
            </w:r>
          </w:p>
        </w:tc>
        <w:tc>
          <w:tcPr>
            <w:tcW w:type="dxa" w:w="1200"/>
            <w:shd w:fill="1F2A44" w:val="clear"/>
            <w:tcMar>
              <w:top w:type="dxa" w:w="80"/>
              <w:left w:type="dxa" w:w="100"/>
              <w:bottom w:type="dxa" w:w="80"/>
              <w:right w:type="dxa" w:w="100"/>
            </w:tcMar>
            <w:vAlign w:val="center"/>
          </w:tcPr>
          <w:p>
            <w:r>
              <w:rPr>
                <w:b/>
                <w:bCs/>
                <w:color w:val="FFFFFF"/>
                <w:sz w:val="16"/>
                <w:szCs w:val="16"/>
              </w:rPr>
              <w:t xml:space="preserve">Count</w:t>
            </w:r>
          </w:p>
        </w:tc>
        <w:tc>
          <w:tcPr>
            <w:tcW w:type="dxa" w:w="5650"/>
            <w:shd w:fill="1F2A44" w:val="clear"/>
            <w:tcMar>
              <w:top w:type="dxa" w:w="80"/>
              <w:left w:type="dxa" w:w="100"/>
              <w:bottom w:type="dxa" w:w="80"/>
              <w:right w:type="dxa" w:w="100"/>
            </w:tcMar>
            <w:vAlign w:val="center"/>
          </w:tcPr>
          <w:p>
            <w:r>
              <w:rPr>
                <w:b/>
                <w:bCs/>
                <w:color w:val="FFFFFF"/>
                <w:sz w:val="16"/>
                <w:szCs w:val="16"/>
              </w:rPr>
              <w:t xml:space="preserve">Sprint 0–6 Allocation</w:t>
            </w:r>
          </w:p>
        </w:tc>
      </w:tr>
      <w:tr>
        <w:tc>
          <w:tcPr>
            <w:tcW w:type="dxa" w:w="2500"/>
            <w:shd w:fill="FFFFFF" w:val="clear"/>
            <w:tcMar>
              <w:top w:type="dxa" w:w="60"/>
              <w:left w:type="dxa" w:w="90"/>
              <w:bottom w:type="dxa" w:w="60"/>
              <w:right w:type="dxa" w:w="90"/>
            </w:tcMar>
            <w:vAlign w:val="center"/>
          </w:tcPr>
          <w:p>
            <w:r>
              <w:rPr>
                <w:sz w:val="16"/>
                <w:szCs w:val="16"/>
              </w:rPr>
              <w:t xml:space="preserve">CTO</w:t>
            </w:r>
          </w:p>
        </w:tc>
        <w:tc>
          <w:tcPr>
            <w:tcW w:type="dxa" w:w="1200"/>
            <w:shd w:fill="FFFFFF" w:val="clear"/>
            <w:tcMar>
              <w:top w:type="dxa" w:w="60"/>
              <w:left w:type="dxa" w:w="90"/>
              <w:bottom w:type="dxa" w:w="60"/>
              <w:right w:type="dxa" w:w="90"/>
            </w:tcMar>
            <w:vAlign w:val="center"/>
          </w:tcPr>
          <w:p>
            <w:r>
              <w:rPr>
                <w:sz w:val="16"/>
                <w:szCs w:val="16"/>
              </w:rPr>
              <w:t xml:space="preserve">1</w:t>
            </w:r>
          </w:p>
        </w:tc>
        <w:tc>
          <w:tcPr>
            <w:tcW w:type="dxa" w:w="5650"/>
            <w:shd w:fill="FFFFFF" w:val="clear"/>
            <w:tcMar>
              <w:top w:type="dxa" w:w="60"/>
              <w:left w:type="dxa" w:w="90"/>
              <w:bottom w:type="dxa" w:w="60"/>
              <w:right w:type="dxa" w:w="90"/>
            </w:tcMar>
            <w:vAlign w:val="center"/>
          </w:tcPr>
          <w:p>
            <w:r>
              <w:rPr>
                <w:sz w:val="16"/>
                <w:szCs w:val="16"/>
              </w:rPr>
              <w:t xml:space="preserve">Architecture ownership, code review, Sprint 2 QR redemption</w:t>
            </w:r>
          </w:p>
        </w:tc>
      </w:tr>
      <w:tr>
        <w:tc>
          <w:tcPr>
            <w:tcW w:type="dxa" w:w="2500"/>
            <w:shd w:fill="F2F2F2" w:val="clear"/>
            <w:tcMar>
              <w:top w:type="dxa" w:w="60"/>
              <w:left w:type="dxa" w:w="90"/>
              <w:bottom w:type="dxa" w:w="60"/>
              <w:right w:type="dxa" w:w="90"/>
            </w:tcMar>
            <w:vAlign w:val="center"/>
          </w:tcPr>
          <w:p>
            <w:r>
              <w:rPr>
                <w:sz w:val="16"/>
                <w:szCs w:val="16"/>
              </w:rPr>
              <w:t xml:space="preserve">Backend Engineer</w:t>
            </w:r>
          </w:p>
        </w:tc>
        <w:tc>
          <w:tcPr>
            <w:tcW w:type="dxa" w:w="1200"/>
            <w:shd w:fill="F2F2F2" w:val="clear"/>
            <w:tcMar>
              <w:top w:type="dxa" w:w="60"/>
              <w:left w:type="dxa" w:w="90"/>
              <w:bottom w:type="dxa" w:w="60"/>
              <w:right w:type="dxa" w:w="90"/>
            </w:tcMar>
            <w:vAlign w:val="center"/>
          </w:tcPr>
          <w:p>
            <w:r>
              <w:rPr>
                <w:sz w:val="16"/>
                <w:szCs w:val="16"/>
              </w:rPr>
              <w:t xml:space="preserve">2</w:t>
            </w:r>
          </w:p>
        </w:tc>
        <w:tc>
          <w:tcPr>
            <w:tcW w:type="dxa" w:w="5650"/>
            <w:shd w:fill="F2F2F2" w:val="clear"/>
            <w:tcMar>
              <w:top w:type="dxa" w:w="60"/>
              <w:left w:type="dxa" w:w="90"/>
              <w:bottom w:type="dxa" w:w="60"/>
              <w:right w:type="dxa" w:w="90"/>
            </w:tcMar>
            <w:vAlign w:val="center"/>
          </w:tcPr>
          <w:p>
            <w:r>
              <w:rPr>
                <w:sz w:val="16"/>
                <w:szCs w:val="16"/>
              </w:rPr>
              <w:t xml:space="preserve">Auth/Campaign/Fulfillment; Survey/Analytics/Notification</w:t>
            </w:r>
          </w:p>
        </w:tc>
      </w:tr>
      <w:tr>
        <w:tc>
          <w:tcPr>
            <w:tcW w:type="dxa" w:w="2500"/>
            <w:shd w:fill="FFFFFF" w:val="clear"/>
            <w:tcMar>
              <w:top w:type="dxa" w:w="60"/>
              <w:left w:type="dxa" w:w="90"/>
              <w:bottom w:type="dxa" w:w="60"/>
              <w:right w:type="dxa" w:w="90"/>
            </w:tcMar>
            <w:vAlign w:val="center"/>
          </w:tcPr>
          <w:p>
            <w:r>
              <w:rPr>
                <w:sz w:val="16"/>
                <w:szCs w:val="16"/>
              </w:rPr>
              <w:t xml:space="preserve">Mobile Engineer (Flutter)</w:t>
            </w:r>
          </w:p>
        </w:tc>
        <w:tc>
          <w:tcPr>
            <w:tcW w:type="dxa" w:w="1200"/>
            <w:shd w:fill="FFFFFF" w:val="clear"/>
            <w:tcMar>
              <w:top w:type="dxa" w:w="60"/>
              <w:left w:type="dxa" w:w="90"/>
              <w:bottom w:type="dxa" w:w="60"/>
              <w:right w:type="dxa" w:w="90"/>
            </w:tcMar>
            <w:vAlign w:val="center"/>
          </w:tcPr>
          <w:p>
            <w:r>
              <w:rPr>
                <w:sz w:val="16"/>
                <w:szCs w:val="16"/>
              </w:rPr>
              <w:t xml:space="preserve">1</w:t>
            </w:r>
          </w:p>
        </w:tc>
        <w:tc>
          <w:tcPr>
            <w:tcW w:type="dxa" w:w="5650"/>
            <w:shd w:fill="FFFFFF" w:val="clear"/>
            <w:tcMar>
              <w:top w:type="dxa" w:w="60"/>
              <w:left w:type="dxa" w:w="90"/>
              <w:bottom w:type="dxa" w:w="60"/>
              <w:right w:type="dxa" w:w="90"/>
            </w:tcMar>
            <w:vAlign w:val="center"/>
          </w:tcPr>
          <w:p>
            <w:r>
              <w:rPr>
                <w:sz w:val="16"/>
                <w:szCs w:val="16"/>
              </w:rPr>
              <w:t xml:space="preserve">Consumer app — all consumer-facing stories</w:t>
            </w:r>
          </w:p>
        </w:tc>
      </w:tr>
      <w:tr>
        <w:tc>
          <w:tcPr>
            <w:tcW w:type="dxa" w:w="2500"/>
            <w:shd w:fill="F2F2F2" w:val="clear"/>
            <w:tcMar>
              <w:top w:type="dxa" w:w="60"/>
              <w:left w:type="dxa" w:w="90"/>
              <w:bottom w:type="dxa" w:w="60"/>
              <w:right w:type="dxa" w:w="90"/>
            </w:tcMar>
            <w:vAlign w:val="center"/>
          </w:tcPr>
          <w:p>
            <w:r>
              <w:rPr>
                <w:sz w:val="16"/>
                <w:szCs w:val="16"/>
              </w:rPr>
              <w:t xml:space="preserve">Frontend Engineer (Next.js)</w:t>
            </w:r>
          </w:p>
        </w:tc>
        <w:tc>
          <w:tcPr>
            <w:tcW w:type="dxa" w:w="1200"/>
            <w:shd w:fill="F2F2F2" w:val="clear"/>
            <w:tcMar>
              <w:top w:type="dxa" w:w="60"/>
              <w:left w:type="dxa" w:w="90"/>
              <w:bottom w:type="dxa" w:w="60"/>
              <w:right w:type="dxa" w:w="90"/>
            </w:tcMar>
            <w:vAlign w:val="center"/>
          </w:tcPr>
          <w:p>
            <w:r>
              <w:rPr>
                <w:sz w:val="16"/>
                <w:szCs w:val="16"/>
              </w:rPr>
              <w:t xml:space="preserve">1</w:t>
            </w:r>
          </w:p>
        </w:tc>
        <w:tc>
          <w:tcPr>
            <w:tcW w:type="dxa" w:w="5650"/>
            <w:shd w:fill="F2F2F2" w:val="clear"/>
            <w:tcMar>
              <w:top w:type="dxa" w:w="60"/>
              <w:left w:type="dxa" w:w="90"/>
              <w:bottom w:type="dxa" w:w="60"/>
              <w:right w:type="dxa" w:w="90"/>
            </w:tcMar>
            <w:vAlign w:val="center"/>
          </w:tcPr>
          <w:p>
            <w:r>
              <w:rPr>
                <w:sz w:val="16"/>
                <w:szCs w:val="16"/>
              </w:rPr>
              <w:t xml:space="preserve">Brand dashboard + Admin portal</w:t>
            </w:r>
          </w:p>
        </w:tc>
      </w:tr>
      <w:tr>
        <w:tc>
          <w:tcPr>
            <w:tcW w:type="dxa" w:w="2500"/>
            <w:shd w:fill="FFFFFF" w:val="clear"/>
            <w:tcMar>
              <w:top w:type="dxa" w:w="60"/>
              <w:left w:type="dxa" w:w="90"/>
              <w:bottom w:type="dxa" w:w="60"/>
              <w:right w:type="dxa" w:w="90"/>
            </w:tcMar>
            <w:vAlign w:val="center"/>
          </w:tcPr>
          <w:p>
            <w:r>
              <w:rPr>
                <w:sz w:val="16"/>
                <w:szCs w:val="16"/>
              </w:rPr>
              <w:t xml:space="preserve">Product Manager / CEO (dual role, Y1)</w:t>
            </w:r>
          </w:p>
        </w:tc>
        <w:tc>
          <w:tcPr>
            <w:tcW w:type="dxa" w:w="1200"/>
            <w:shd w:fill="FFFFFF" w:val="clear"/>
            <w:tcMar>
              <w:top w:type="dxa" w:w="60"/>
              <w:left w:type="dxa" w:w="90"/>
              <w:bottom w:type="dxa" w:w="60"/>
              <w:right w:type="dxa" w:w="90"/>
            </w:tcMar>
            <w:vAlign w:val="center"/>
          </w:tcPr>
          <w:p>
            <w:r>
              <w:rPr>
                <w:sz w:val="16"/>
                <w:szCs w:val="16"/>
              </w:rPr>
              <w:t xml:space="preserve">1</w:t>
            </w:r>
          </w:p>
        </w:tc>
        <w:tc>
          <w:tcPr>
            <w:tcW w:type="dxa" w:w="5650"/>
            <w:shd w:fill="FFFFFF" w:val="clear"/>
            <w:tcMar>
              <w:top w:type="dxa" w:w="60"/>
              <w:left w:type="dxa" w:w="90"/>
              <w:bottom w:type="dxa" w:w="60"/>
              <w:right w:type="dxa" w:w="90"/>
            </w:tcMar>
            <w:vAlign w:val="center"/>
          </w:tcPr>
          <w:p>
            <w:r>
              <w:rPr>
                <w:sz w:val="16"/>
                <w:szCs w:val="16"/>
              </w:rPr>
              <w:t xml:space="preserve">Backlog grooming, sprint demos, brand pilot relationships</w:t>
            </w:r>
          </w:p>
        </w:tc>
      </w:tr>
      <w:tr>
        <w:tc>
          <w:tcPr>
            <w:tcW w:type="dxa" w:w="2500"/>
            <w:shd w:fill="F2F2F2" w:val="clear"/>
            <w:tcMar>
              <w:top w:type="dxa" w:w="60"/>
              <w:left w:type="dxa" w:w="90"/>
              <w:bottom w:type="dxa" w:w="60"/>
              <w:right w:type="dxa" w:w="90"/>
            </w:tcMar>
            <w:vAlign w:val="center"/>
          </w:tcPr>
          <w:p>
            <w:r>
              <w:rPr>
                <w:sz w:val="16"/>
                <w:szCs w:val="16"/>
              </w:rPr>
              <w:t xml:space="preserve">Head of Brand Partnerships (Sales)</w:t>
            </w:r>
          </w:p>
        </w:tc>
        <w:tc>
          <w:tcPr>
            <w:tcW w:type="dxa" w:w="1200"/>
            <w:shd w:fill="F2F2F2" w:val="clear"/>
            <w:tcMar>
              <w:top w:type="dxa" w:w="60"/>
              <w:left w:type="dxa" w:w="90"/>
              <w:bottom w:type="dxa" w:w="60"/>
              <w:right w:type="dxa" w:w="90"/>
            </w:tcMar>
            <w:vAlign w:val="center"/>
          </w:tcPr>
          <w:p>
            <w:r>
              <w:rPr>
                <w:sz w:val="16"/>
                <w:szCs w:val="16"/>
              </w:rPr>
              <w:t xml:space="preserve">1 — ADDED</w:t>
            </w:r>
          </w:p>
        </w:tc>
        <w:tc>
          <w:tcPr>
            <w:tcW w:type="dxa" w:w="5650"/>
            <w:shd w:fill="F2F2F2" w:val="clear"/>
            <w:tcMar>
              <w:top w:type="dxa" w:w="60"/>
              <w:left w:type="dxa" w:w="90"/>
              <w:bottom w:type="dxa" w:w="60"/>
              <w:right w:type="dxa" w:w="90"/>
            </w:tcMar>
            <w:vAlign w:val="center"/>
          </w:tcPr>
          <w:p>
            <w:r>
              <w:rPr>
                <w:sz w:val="16"/>
                <w:szCs w:val="16"/>
              </w:rPr>
              <w:t xml:space="preserve">Executes GTM Stage 1 outbound to the ~20 target-account list from Sprint 0 onward, in parallel with engineering — not after MVP is built</w:t>
            </w:r>
          </w:p>
        </w:tc>
      </w:tr>
      <w:tr>
        <w:tc>
          <w:tcPr>
            <w:tcW w:type="dxa" w:w="2500"/>
            <w:shd w:fill="FFFFFF" w:val="clear"/>
            <w:tcMar>
              <w:top w:type="dxa" w:w="60"/>
              <w:left w:type="dxa" w:w="90"/>
              <w:bottom w:type="dxa" w:w="60"/>
              <w:right w:type="dxa" w:w="90"/>
            </w:tcMar>
            <w:vAlign w:val="center"/>
          </w:tcPr>
          <w:p>
            <w:r>
              <w:rPr>
                <w:sz w:val="16"/>
                <w:szCs w:val="16"/>
              </w:rPr>
              <w:t xml:space="preserve">Data Lead (fractional, Y1)</w:t>
            </w:r>
          </w:p>
        </w:tc>
        <w:tc>
          <w:tcPr>
            <w:tcW w:type="dxa" w:w="1200"/>
            <w:shd w:fill="FFFFFF" w:val="clear"/>
            <w:tcMar>
              <w:top w:type="dxa" w:w="60"/>
              <w:left w:type="dxa" w:w="90"/>
              <w:bottom w:type="dxa" w:w="60"/>
              <w:right w:type="dxa" w:w="90"/>
            </w:tcMar>
            <w:vAlign w:val="center"/>
          </w:tcPr>
          <w:p>
            <w:r>
              <w:rPr>
                <w:sz w:val="16"/>
                <w:szCs w:val="16"/>
              </w:rPr>
              <w:t xml:space="preserve">0.5 FTE — ADDED</w:t>
            </w:r>
          </w:p>
        </w:tc>
        <w:tc>
          <w:tcPr>
            <w:tcW w:type="dxa" w:w="5650"/>
            <w:shd w:fill="FFFFFF" w:val="clear"/>
            <w:tcMar>
              <w:top w:type="dxa" w:w="60"/>
              <w:left w:type="dxa" w:w="90"/>
              <w:bottom w:type="dxa" w:w="60"/>
              <w:right w:type="dxa" w:w="90"/>
            </w:tcMar>
            <w:vAlign w:val="center"/>
          </w:tcPr>
          <w:p>
            <w:r>
              <w:rPr>
                <w:sz w:val="16"/>
                <w:szCs w:val="16"/>
              </w:rPr>
              <w:t xml:space="preserve">Owns analytics/warehouse setup from Sprint 2 (TJ-014/015) and is the named owner for the future AI-service handoff</w:t>
            </w:r>
          </w:p>
        </w:tc>
      </w:tr>
      <w:tr>
        <w:tc>
          <w:tcPr>
            <w:tcW w:type="dxa" w:w="2500"/>
            <w:shd w:fill="F2F2F2" w:val="clear"/>
            <w:tcMar>
              <w:top w:type="dxa" w:w="60"/>
              <w:left w:type="dxa" w:w="90"/>
              <w:bottom w:type="dxa" w:w="60"/>
              <w:right w:type="dxa" w:w="90"/>
            </w:tcMar>
            <w:vAlign w:val="center"/>
          </w:tcPr>
          <w:p>
            <w:r>
              <w:rPr>
                <w:sz w:val="16"/>
                <w:szCs w:val="16"/>
              </w:rPr>
              <w:t xml:space="preserve">Ops Manager</w:t>
            </w:r>
          </w:p>
        </w:tc>
        <w:tc>
          <w:tcPr>
            <w:tcW w:type="dxa" w:w="1200"/>
            <w:shd w:fill="F2F2F2" w:val="clear"/>
            <w:tcMar>
              <w:top w:type="dxa" w:w="60"/>
              <w:left w:type="dxa" w:w="90"/>
              <w:bottom w:type="dxa" w:w="60"/>
              <w:right w:type="dxa" w:w="90"/>
            </w:tcMar>
            <w:vAlign w:val="center"/>
          </w:tcPr>
          <w:p>
            <w:r>
              <w:rPr>
                <w:sz w:val="16"/>
                <w:szCs w:val="16"/>
              </w:rPr>
              <w:t xml:space="preserve">1</w:t>
            </w:r>
          </w:p>
        </w:tc>
        <w:tc>
          <w:tcPr>
            <w:tcW w:type="dxa" w:w="5650"/>
            <w:shd w:fill="F2F2F2" w:val="clear"/>
            <w:tcMar>
              <w:top w:type="dxa" w:w="60"/>
              <w:left w:type="dxa" w:w="90"/>
              <w:bottom w:type="dxa" w:w="60"/>
              <w:right w:type="dxa" w:w="90"/>
            </w:tcMar>
            <w:vAlign w:val="center"/>
          </w:tcPr>
          <w:p>
            <w:r>
              <w:rPr>
                <w:sz w:val="16"/>
                <w:szCs w:val="16"/>
              </w:rPr>
              <w:t xml:space="preserve">Retail-partner agreements, field-staff coordination</w:t>
            </w:r>
          </w:p>
        </w:tc>
      </w:tr>
      <w:tr>
        <w:tc>
          <w:tcPr>
            <w:tcW w:type="dxa" w:w="2500"/>
            <w:shd w:fill="FFFFFF" w:val="clear"/>
            <w:tcMar>
              <w:top w:type="dxa" w:w="60"/>
              <w:left w:type="dxa" w:w="90"/>
              <w:bottom w:type="dxa" w:w="60"/>
              <w:right w:type="dxa" w:w="90"/>
            </w:tcMar>
            <w:vAlign w:val="center"/>
          </w:tcPr>
          <w:p>
            <w:r>
              <w:rPr>
                <w:sz w:val="16"/>
                <w:szCs w:val="16"/>
              </w:rPr>
              <w:t xml:space="preserve">Fractional Legal Counsel</w:t>
            </w:r>
          </w:p>
        </w:tc>
        <w:tc>
          <w:tcPr>
            <w:tcW w:type="dxa" w:w="1200"/>
            <w:shd w:fill="FFFFFF" w:val="clear"/>
            <w:tcMar>
              <w:top w:type="dxa" w:w="60"/>
              <w:left w:type="dxa" w:w="90"/>
              <w:bottom w:type="dxa" w:w="60"/>
              <w:right w:type="dxa" w:w="90"/>
            </w:tcMar>
            <w:vAlign w:val="center"/>
          </w:tcPr>
          <w:p>
            <w:r>
              <w:rPr>
                <w:sz w:val="16"/>
                <w:szCs w:val="16"/>
              </w:rPr>
              <w:t xml:space="preserve">External</w:t>
            </w:r>
          </w:p>
        </w:tc>
        <w:tc>
          <w:tcPr>
            <w:tcW w:type="dxa" w:w="5650"/>
            <w:shd w:fill="FFFFFF" w:val="clear"/>
            <w:tcMar>
              <w:top w:type="dxa" w:w="60"/>
              <w:left w:type="dxa" w:w="90"/>
              <w:bottom w:type="dxa" w:w="60"/>
              <w:right w:type="dxa" w:w="90"/>
            </w:tcMar>
            <w:vAlign w:val="center"/>
          </w:tcPr>
          <w:p>
            <w:r>
              <w:rPr>
                <w:sz w:val="16"/>
                <w:szCs w:val="16"/>
              </w:rPr>
              <w:t xml:space="preserve">PDPL sign-off (Sprint 0–3), contract review, entity-incorporation confirmation</w:t>
            </w:r>
          </w:p>
        </w:tc>
      </w:tr>
      <w:tr>
        <w:tc>
          <w:tcPr>
            <w:tcW w:type="dxa" w:w="2500"/>
            <w:shd w:fill="F2F2F2" w:val="clear"/>
            <w:tcMar>
              <w:top w:type="dxa" w:w="60"/>
              <w:left w:type="dxa" w:w="90"/>
              <w:bottom w:type="dxa" w:w="60"/>
              <w:right w:type="dxa" w:w="90"/>
            </w:tcMar>
            <w:vAlign w:val="center"/>
          </w:tcPr>
          <w:p>
            <w:r>
              <w:rPr>
                <w:sz w:val="16"/>
                <w:szCs w:val="16"/>
              </w:rPr>
              <w:t xml:space="preserve">Fractional QA</w:t>
            </w:r>
          </w:p>
        </w:tc>
        <w:tc>
          <w:tcPr>
            <w:tcW w:type="dxa" w:w="1200"/>
            <w:shd w:fill="F2F2F2" w:val="clear"/>
            <w:tcMar>
              <w:top w:type="dxa" w:w="60"/>
              <w:left w:type="dxa" w:w="90"/>
              <w:bottom w:type="dxa" w:w="60"/>
              <w:right w:type="dxa" w:w="90"/>
            </w:tcMar>
            <w:vAlign w:val="center"/>
          </w:tcPr>
          <w:p>
            <w:r>
              <w:rPr>
                <w:sz w:val="16"/>
                <w:szCs w:val="16"/>
              </w:rPr>
              <w:t xml:space="preserve">0.5 FTE from Sprint 2</w:t>
            </w:r>
          </w:p>
        </w:tc>
        <w:tc>
          <w:tcPr>
            <w:tcW w:type="dxa" w:w="5650"/>
            <w:shd w:fill="F2F2F2" w:val="clear"/>
            <w:tcMar>
              <w:top w:type="dxa" w:w="60"/>
              <w:left w:type="dxa" w:w="90"/>
              <w:bottom w:type="dxa" w:w="60"/>
              <w:right w:type="dxa" w:w="90"/>
            </w:tcMar>
            <w:vAlign w:val="center"/>
          </w:tcPr>
          <w:p>
            <w:r>
              <w:rPr>
                <w:sz w:val="16"/>
                <w:szCs w:val="16"/>
              </w:rPr>
              <w:t xml:space="preserve">Load testing, security test coordination, UAT facilitation</w:t>
            </w:r>
          </w:p>
        </w:tc>
      </w:tr>
    </w:tbl>
    <w:p>
      <w:pPr>
        <w:spacing w:after="110" w:line="260"/>
      </w:pPr>
      <w:r>
        <w:rPr>
          <w:i/>
          <w:iCs/>
          <w:color w:val="6B7280"/>
          <w:sz w:val="19"/>
          <w:szCs w:val="19"/>
        </w:rPr>
        <w:t xml:space="preserve">This now matches the Master Execution Blueprint's own Year-1 org chart, closing M-03.</w:t>
      </w:r>
    </w:p>
    <w:p>
      <w:pPr>
        <w:pStyle w:val="Heading2"/>
        <w:spacing w:after="120" w:before="240"/>
      </w:pPr>
      <w:r>
        <w:rPr>
          <w:b/>
          <w:bCs/>
          <w:color w:val="1F2A44"/>
          <w:sz w:val="22"/>
          <w:szCs w:val="22"/>
        </w:rPr>
        <w:t xml:space="preserve">C.2 Sprint 0 Budget Line — Vendor Contracts (fixes B-04)</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4200"/>
        <w:gridCol w:w="3150"/>
        <w:gridCol w:w="2000"/>
      </w:tblGrid>
      <w:tr>
        <w:trPr>
          <w:tblHeader/>
        </w:trPr>
        <w:tc>
          <w:tcPr>
            <w:tcW w:type="dxa" w:w="4200"/>
            <w:shd w:fill="1F2A44" w:val="clear"/>
            <w:tcMar>
              <w:top w:type="dxa" w:w="80"/>
              <w:left w:type="dxa" w:w="100"/>
              <w:bottom w:type="dxa" w:w="80"/>
              <w:right w:type="dxa" w:w="100"/>
            </w:tcMar>
            <w:vAlign w:val="center"/>
          </w:tcPr>
          <w:p>
            <w:r>
              <w:rPr>
                <w:b/>
                <w:bCs/>
                <w:color w:val="FFFFFF"/>
                <w:sz w:val="16"/>
                <w:szCs w:val="16"/>
              </w:rPr>
              <w:t xml:space="preserve">Item</w:t>
            </w:r>
          </w:p>
        </w:tc>
        <w:tc>
          <w:tcPr>
            <w:tcW w:type="dxa" w:w="3150"/>
            <w:shd w:fill="1F2A44" w:val="clear"/>
            <w:tcMar>
              <w:top w:type="dxa" w:w="80"/>
              <w:left w:type="dxa" w:w="100"/>
              <w:bottom w:type="dxa" w:w="80"/>
              <w:right w:type="dxa" w:w="100"/>
            </w:tcMar>
            <w:vAlign w:val="center"/>
          </w:tcPr>
          <w:p>
            <w:r>
              <w:rPr>
                <w:b/>
                <w:bCs/>
                <w:color w:val="FFFFFF"/>
                <w:sz w:val="16"/>
                <w:szCs w:val="16"/>
              </w:rPr>
              <w:t xml:space="preserve">Estimate (USD)</w:t>
            </w:r>
          </w:p>
        </w:tc>
        <w:tc>
          <w:tcPr>
            <w:tcW w:type="dxa" w:w="2000"/>
            <w:shd w:fill="1F2A44" w:val="clear"/>
            <w:tcMar>
              <w:top w:type="dxa" w:w="80"/>
              <w:left w:type="dxa" w:w="100"/>
              <w:bottom w:type="dxa" w:w="80"/>
              <w:right w:type="dxa" w:w="100"/>
            </w:tcMar>
            <w:vAlign w:val="center"/>
          </w:tcPr>
          <w:p>
            <w:r>
              <w:rPr>
                <w:b/>
                <w:bCs/>
                <w:color w:val="FFFFFF"/>
                <w:sz w:val="16"/>
                <w:szCs w:val="16"/>
              </w:rPr>
              <w:t xml:space="preserve">Source</w:t>
            </w:r>
          </w:p>
        </w:tc>
      </w:tr>
      <w:tr>
        <w:tc>
          <w:tcPr>
            <w:tcW w:type="dxa" w:w="4200"/>
            <w:shd w:fill="FFFFFF" w:val="clear"/>
            <w:tcMar>
              <w:top w:type="dxa" w:w="60"/>
              <w:left w:type="dxa" w:w="90"/>
              <w:bottom w:type="dxa" w:w="60"/>
              <w:right w:type="dxa" w:w="90"/>
            </w:tcMar>
            <w:vAlign w:val="center"/>
          </w:tcPr>
          <w:p>
            <w:r>
              <w:rPr>
                <w:sz w:val="16"/>
                <w:szCs w:val="16"/>
              </w:rPr>
              <w:t xml:space="preserve">SMS/OTP provider setup + initial commitment</w:t>
            </w:r>
          </w:p>
        </w:tc>
        <w:tc>
          <w:tcPr>
            <w:tcW w:type="dxa" w:w="3150"/>
            <w:shd w:fill="FFFFFF" w:val="clear"/>
            <w:tcMar>
              <w:top w:type="dxa" w:w="60"/>
              <w:left w:type="dxa" w:w="90"/>
              <w:bottom w:type="dxa" w:w="60"/>
              <w:right w:type="dxa" w:w="90"/>
            </w:tcMar>
            <w:vAlign w:val="center"/>
          </w:tcPr>
          <w:p>
            <w:r>
              <w:rPr>
                <w:sz w:val="16"/>
                <w:szCs w:val="16"/>
              </w:rPr>
              <w:t xml:space="preserve">1,500–3,000</w:t>
            </w:r>
          </w:p>
        </w:tc>
        <w:tc>
          <w:tcPr>
            <w:tcW w:type="dxa" w:w="2000"/>
            <w:shd w:fill="FFFFFF" w:val="clear"/>
            <w:tcMar>
              <w:top w:type="dxa" w:w="60"/>
              <w:left w:type="dxa" w:w="90"/>
              <w:bottom w:type="dxa" w:w="60"/>
              <w:right w:type="dxa" w:w="90"/>
            </w:tcMar>
            <w:vAlign w:val="center"/>
          </w:tcPr>
          <w:p>
            <w:r>
              <w:rPr>
                <w:sz w:val="16"/>
                <w:szCs w:val="16"/>
              </w:rPr>
              <w:t xml:space="preserve">New line — separate from Track 0</w:t>
            </w:r>
          </w:p>
        </w:tc>
      </w:tr>
      <w:tr>
        <w:tc>
          <w:tcPr>
            <w:tcW w:type="dxa" w:w="4200"/>
            <w:shd w:fill="F2F2F2" w:val="clear"/>
            <w:tcMar>
              <w:top w:type="dxa" w:w="60"/>
              <w:left w:type="dxa" w:w="90"/>
              <w:bottom w:type="dxa" w:w="60"/>
              <w:right w:type="dxa" w:w="90"/>
            </w:tcMar>
            <w:vAlign w:val="center"/>
          </w:tcPr>
          <w:p>
            <w:r>
              <w:rPr>
                <w:sz w:val="16"/>
                <w:szCs w:val="16"/>
              </w:rPr>
              <w:t xml:space="preserve">WhatsApp BSP setup + verification fees</w:t>
            </w:r>
          </w:p>
        </w:tc>
        <w:tc>
          <w:tcPr>
            <w:tcW w:type="dxa" w:w="3150"/>
            <w:shd w:fill="F2F2F2" w:val="clear"/>
            <w:tcMar>
              <w:top w:type="dxa" w:w="60"/>
              <w:left w:type="dxa" w:w="90"/>
              <w:bottom w:type="dxa" w:w="60"/>
              <w:right w:type="dxa" w:w="90"/>
            </w:tcMar>
            <w:vAlign w:val="center"/>
          </w:tcPr>
          <w:p>
            <w:r>
              <w:rPr>
                <w:sz w:val="16"/>
                <w:szCs w:val="16"/>
              </w:rPr>
              <w:t xml:space="preserve">1,000–2,500</w:t>
            </w:r>
          </w:p>
        </w:tc>
        <w:tc>
          <w:tcPr>
            <w:tcW w:type="dxa" w:w="2000"/>
            <w:shd w:fill="F2F2F2" w:val="clear"/>
            <w:tcMar>
              <w:top w:type="dxa" w:w="60"/>
              <w:left w:type="dxa" w:w="90"/>
              <w:bottom w:type="dxa" w:w="60"/>
              <w:right w:type="dxa" w:w="90"/>
            </w:tcMar>
            <w:vAlign w:val="center"/>
          </w:tcPr>
          <w:p>
            <w:r>
              <w:rPr>
                <w:sz w:val="16"/>
                <w:szCs w:val="16"/>
              </w:rPr>
              <w:t xml:space="preserve">New line — separate from Track 0</w:t>
            </w:r>
          </w:p>
        </w:tc>
      </w:tr>
      <w:tr>
        <w:tc>
          <w:tcPr>
            <w:tcW w:type="dxa" w:w="4200"/>
            <w:shd w:fill="FFFFFF" w:val="clear"/>
            <w:tcMar>
              <w:top w:type="dxa" w:w="60"/>
              <w:left w:type="dxa" w:w="90"/>
              <w:bottom w:type="dxa" w:w="60"/>
              <w:right w:type="dxa" w:w="90"/>
            </w:tcMar>
            <w:vAlign w:val="center"/>
          </w:tcPr>
          <w:p>
            <w:r>
              <w:rPr>
                <w:sz w:val="16"/>
                <w:szCs w:val="16"/>
              </w:rPr>
              <w:t xml:space="preserve">Payment provider (Vodafone Cash/InstaPay) integration setup</w:t>
            </w:r>
          </w:p>
        </w:tc>
        <w:tc>
          <w:tcPr>
            <w:tcW w:type="dxa" w:w="3150"/>
            <w:shd w:fill="FFFFFF" w:val="clear"/>
            <w:tcMar>
              <w:top w:type="dxa" w:w="60"/>
              <w:left w:type="dxa" w:w="90"/>
              <w:bottom w:type="dxa" w:w="60"/>
              <w:right w:type="dxa" w:w="90"/>
            </w:tcMar>
            <w:vAlign w:val="center"/>
          </w:tcPr>
          <w:p>
            <w:r>
              <w:rPr>
                <w:sz w:val="16"/>
                <w:szCs w:val="16"/>
              </w:rPr>
              <w:t xml:space="preserve">1,000–2,000</w:t>
            </w:r>
          </w:p>
        </w:tc>
        <w:tc>
          <w:tcPr>
            <w:tcW w:type="dxa" w:w="2000"/>
            <w:shd w:fill="FFFFFF" w:val="clear"/>
            <w:tcMar>
              <w:top w:type="dxa" w:w="60"/>
              <w:left w:type="dxa" w:w="90"/>
              <w:bottom w:type="dxa" w:w="60"/>
              <w:right w:type="dxa" w:w="90"/>
            </w:tcMar>
            <w:vAlign w:val="center"/>
          </w:tcPr>
          <w:p>
            <w:r>
              <w:rPr>
                <w:sz w:val="16"/>
                <w:szCs w:val="16"/>
              </w:rPr>
              <w:t xml:space="preserve">New line — separate from Track 0</w:t>
            </w:r>
          </w:p>
        </w:tc>
      </w:tr>
      <w:tr>
        <w:tc>
          <w:tcPr>
            <w:tcW w:type="dxa" w:w="4200"/>
            <w:shd w:fill="F2F2F2" w:val="clear"/>
            <w:tcMar>
              <w:top w:type="dxa" w:w="60"/>
              <w:left w:type="dxa" w:w="90"/>
              <w:bottom w:type="dxa" w:w="60"/>
              <w:right w:type="dxa" w:w="90"/>
            </w:tcMar>
            <w:vAlign w:val="center"/>
          </w:tcPr>
          <w:p>
            <w:r>
              <w:rPr>
                <w:sz w:val="16"/>
                <w:szCs w:val="16"/>
              </w:rPr>
              <w:t xml:space="preserve">AWS initial provisioning (staging + early production)</w:t>
            </w:r>
          </w:p>
        </w:tc>
        <w:tc>
          <w:tcPr>
            <w:tcW w:type="dxa" w:w="3150"/>
            <w:shd w:fill="F2F2F2" w:val="clear"/>
            <w:tcMar>
              <w:top w:type="dxa" w:w="60"/>
              <w:left w:type="dxa" w:w="90"/>
              <w:bottom w:type="dxa" w:w="60"/>
              <w:right w:type="dxa" w:w="90"/>
            </w:tcMar>
            <w:vAlign w:val="center"/>
          </w:tcPr>
          <w:p>
            <w:r>
              <w:rPr>
                <w:sz w:val="16"/>
                <w:szCs w:val="16"/>
              </w:rPr>
              <w:t xml:space="preserve">2,000–4,000 (first 2 months)</w:t>
            </w:r>
          </w:p>
        </w:tc>
        <w:tc>
          <w:tcPr>
            <w:tcW w:type="dxa" w:w="2000"/>
            <w:shd w:fill="F2F2F2" w:val="clear"/>
            <w:tcMar>
              <w:top w:type="dxa" w:w="60"/>
              <w:left w:type="dxa" w:w="90"/>
              <w:bottom w:type="dxa" w:w="60"/>
              <w:right w:type="dxa" w:w="90"/>
            </w:tcMar>
            <w:vAlign w:val="center"/>
          </w:tcPr>
          <w:p>
            <w:r>
              <w:rPr>
                <w:sz w:val="16"/>
                <w:szCs w:val="16"/>
              </w:rPr>
              <w:t xml:space="preserve">New line — separate from Track 0</w:t>
            </w:r>
          </w:p>
        </w:tc>
      </w:tr>
      <w:tr>
        <w:tc>
          <w:tcPr>
            <w:tcW w:type="dxa" w:w="4200"/>
            <w:shd w:fill="FFFFFF" w:val="clear"/>
            <w:tcMar>
              <w:top w:type="dxa" w:w="60"/>
              <w:left w:type="dxa" w:w="90"/>
              <w:bottom w:type="dxa" w:w="60"/>
              <w:right w:type="dxa" w:w="90"/>
            </w:tcMar>
            <w:vAlign w:val="center"/>
          </w:tcPr>
          <w:p>
            <w:r>
              <w:rPr>
                <w:sz w:val="16"/>
                <w:szCs w:val="16"/>
              </w:rPr>
              <w:t xml:space="preserve">TOTAL new Sprint 0 vendor budget</w:t>
            </w:r>
          </w:p>
        </w:tc>
        <w:tc>
          <w:tcPr>
            <w:tcW w:type="dxa" w:w="3150"/>
            <w:shd w:fill="FFFFFF" w:val="clear"/>
            <w:tcMar>
              <w:top w:type="dxa" w:w="60"/>
              <w:left w:type="dxa" w:w="90"/>
              <w:bottom w:type="dxa" w:w="60"/>
              <w:right w:type="dxa" w:w="90"/>
            </w:tcMar>
            <w:vAlign w:val="center"/>
          </w:tcPr>
          <w:p>
            <w:r>
              <w:rPr>
                <w:sz w:val="16"/>
                <w:szCs w:val="16"/>
              </w:rPr>
              <w:t xml:space="preserve">5,500–11,500</w:t>
            </w:r>
          </w:p>
        </w:tc>
        <w:tc>
          <w:tcPr>
            <w:tcW w:type="dxa" w:w="2000"/>
            <w:shd w:fill="FFFFFF" w:val="clear"/>
            <w:tcMar>
              <w:top w:type="dxa" w:w="60"/>
              <w:left w:type="dxa" w:w="90"/>
              <w:bottom w:type="dxa" w:w="60"/>
              <w:right w:type="dxa" w:w="90"/>
            </w:tcMar>
            <w:vAlign w:val="center"/>
          </w:tcPr>
          <w:p>
            <w:r>
              <w:rPr>
                <w:sz w:val="16"/>
                <w:szCs w:val="16"/>
              </w:rPr>
              <w:t xml:space="preserve">Additive to, not drawn from, the $15–25K Track 0 envelope or the $90–120K Lean MVP figure</w:t>
            </w:r>
          </w:p>
        </w:tc>
      </w:tr>
    </w:tbl>
    <w:p>
      <w:pPr>
        <w:pStyle w:val="Heading2"/>
        <w:spacing w:after="120" w:before="240"/>
      </w:pPr>
      <w:r>
        <w:rPr>
          <w:b/>
          <w:bCs/>
          <w:color w:val="1F2A44"/>
          <w:sz w:val="22"/>
          <w:szCs w:val="22"/>
        </w:rPr>
        <w:t xml:space="preserve">C.3 Cloud Region — Provisional Decision (partially resolves CF-3/B-03)</w:t>
      </w:r>
    </w:p>
    <w:p>
      <w:pPr>
        <w:spacing w:after="110" w:line="260"/>
      </w:pPr>
      <w:r>
        <w:rPr>
          <w:sz w:val="19"/>
          <w:szCs w:val="19"/>
        </w:rPr>
        <w:t xml:space="preserve">Default: AWS me-south-1 (Bahrain). Rationale: closest AWS region with regional data-center presence to Egypt, existing precedent for MENA-focused SaaS companies, and no worse a PDPL fit than the alternative (UAE) absent a specific legal reason to prefer one over the other.</w:t>
      </w:r>
    </w:p>
    <w:tbl>
      <w:tblPr>
        <w:tblW w:type="pct" w:w="100%"/>
        <w:tblBorders>
          <w:top w:val="single" w:color="D68910" w:sz="6"/>
          <w:left w:val="single" w:color="D68910" w:sz="6"/>
          <w:bottom w:val="single" w:color="D68910" w:sz="6"/>
          <w:right w:val="single" w:color="D68910" w:sz="6"/>
          <w:insideH w:val="none" w:color="FFFFFF" w:sz="0"/>
          <w:insideV w:val="none" w:color="FFFFFF" w:sz="0"/>
        </w:tblBorders>
      </w:tblPr>
      <w:tblGrid>
        <w:gridCol w:w="100"/>
      </w:tblGrid>
      <w:tr>
        <w:tc>
          <w:tcPr>
            <w:shd w:fill="F2F2F2" w:val="clear"/>
            <w:tcMar>
              <w:top w:type="dxa" w:w="150"/>
              <w:left w:type="dxa" w:w="190"/>
              <w:bottom w:type="dxa" w:w="150"/>
              <w:right w:type="dxa" w:w="190"/>
            </w:tcMar>
          </w:tcPr>
          <w:p>
            <w:pPr>
              <w:spacing w:after="90"/>
            </w:pPr>
            <w:r>
              <w:rPr>
                <w:b/>
                <w:bCs/>
                <w:color w:val="D68910"/>
                <w:sz w:val="21"/>
                <w:szCs w:val="21"/>
              </w:rPr>
              <w:t xml:space="preserve">This is a provisional engineering default, not a legal conclusion</w:t>
            </w:r>
          </w:p>
          <w:p>
            <w:pPr>
              <w:spacing w:after="50"/>
            </w:pPr>
            <w:r>
              <w:rPr>
                <w:sz w:val="19"/>
                <w:szCs w:val="19"/>
              </w:rPr>
              <w:t xml:space="preserve">• It unblocks Terraform/IaC work in Sprint 0 so infrastructure isn't idle waiting on a legal answer that may take weeks. If counsel's PDPL review (Section B, item 3) contradicts this choice, the migration cost at this early stage (no production data yet) is low — this is deliberately the cheapest possible time to be wrong about it.</w:t>
            </w:r>
          </w:p>
        </w:tc>
      </w:tr>
    </w:tbl>
    <w:p>
      <w:pPr>
        <w:pStyle w:val="Heading2"/>
        <w:spacing w:after="120" w:before="240"/>
      </w:pPr>
      <w:r>
        <w:rPr>
          <w:b/>
          <w:bCs/>
          <w:color w:val="1F2A44"/>
          <w:sz w:val="22"/>
          <w:szCs w:val="22"/>
        </w:rPr>
        <w:t xml:space="preserve">C.4 Pagination Strategy (fixes M-02)</w:t>
      </w:r>
    </w:p>
    <w:p>
      <w:pPr>
        <w:spacing w:after="110" w:line="260"/>
      </w:pPr>
      <w:r>
        <w:rPr>
          <w:sz w:val="19"/>
          <w:szCs w:val="19"/>
        </w:rPr>
        <w:t xml:space="preserve">Cursor-based pagination (not offset-based) for all list endpoints — campaigns, tickets, brand lists, redemption events. Default page size 25, max 100. Cursor encodes the last-seen record's UUID + created_at, consistent with the UUID primary key convention in the Technical Architecture data model. Applies to: GET /brands/:id/campaigns, GET /tickets, GET /campaigns/:id/redemptions, and any future admin list endpoint.</w:t>
      </w:r>
    </w:p>
    <w:p>
      <w:pPr>
        <w:pStyle w:val="Heading2"/>
        <w:spacing w:after="120" w:before="240"/>
      </w:pPr>
      <w:r>
        <w:rPr>
          <w:b/>
          <w:bCs/>
          <w:color w:val="1F2A44"/>
          <w:sz w:val="22"/>
          <w:szCs w:val="22"/>
        </w:rPr>
        <w:t xml:space="preserve">C.5 Provisional Name Disclaimer (fixes M-05)</w:t>
      </w:r>
    </w:p>
    <w:p>
      <w:pPr>
        <w:spacing w:after="110" w:line="260"/>
      </w:pPr>
      <w:r>
        <w:rPr>
          <w:sz w:val="19"/>
          <w:szCs w:val="19"/>
        </w:rPr>
        <w:t xml:space="preserve">Every document in this set now carries, or should carry on next revision, the following standard footer note: "Tajribti is a working name pending trademark and domain clearance (FDD Open Decisions). Architecture, code repositories, and legal filings should treat this as provisional until confirmed." This does not rename anything — it prevents the name from silently becoming load-bearing before it's actually cleared.</w:t>
      </w:r>
    </w:p>
    <w:p>
      <w:pPr>
        <w:pStyle w:val="Heading2"/>
        <w:spacing w:after="120" w:before="240"/>
      </w:pPr>
      <w:r>
        <w:rPr>
          <w:b/>
          <w:bCs/>
          <w:color w:val="1F2A44"/>
          <w:sz w:val="22"/>
          <w:szCs w:val="22"/>
        </w:rPr>
        <w:t xml:space="preserve">C.6 Populated Decision Log (fixes M-06)</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200"/>
        <w:gridCol w:w="3400"/>
        <w:gridCol w:w="2200"/>
        <w:gridCol w:w="2550"/>
      </w:tblGrid>
      <w:tr>
        <w:trPr>
          <w:tblHeader/>
        </w:trPr>
        <w:tc>
          <w:tcPr>
            <w:tcW w:type="dxa" w:w="1200"/>
            <w:shd w:fill="1F2A44" w:val="clear"/>
            <w:tcMar>
              <w:top w:type="dxa" w:w="80"/>
              <w:left w:type="dxa" w:w="100"/>
              <w:bottom w:type="dxa" w:w="80"/>
              <w:right w:type="dxa" w:w="100"/>
            </w:tcMar>
            <w:vAlign w:val="center"/>
          </w:tcPr>
          <w:p>
            <w:r>
              <w:rPr>
                <w:b/>
                <w:bCs/>
                <w:color w:val="FFFFFF"/>
                <w:sz w:val="16"/>
                <w:szCs w:val="16"/>
              </w:rPr>
              <w:t xml:space="preserve">Date</w:t>
            </w:r>
          </w:p>
        </w:tc>
        <w:tc>
          <w:tcPr>
            <w:tcW w:type="dxa" w:w="3400"/>
            <w:shd w:fill="1F2A44" w:val="clear"/>
            <w:tcMar>
              <w:top w:type="dxa" w:w="80"/>
              <w:left w:type="dxa" w:w="100"/>
              <w:bottom w:type="dxa" w:w="80"/>
              <w:right w:type="dxa" w:w="100"/>
            </w:tcMar>
            <w:vAlign w:val="center"/>
          </w:tcPr>
          <w:p>
            <w:r>
              <w:rPr>
                <w:b/>
                <w:bCs/>
                <w:color w:val="FFFFFF"/>
                <w:sz w:val="16"/>
                <w:szCs w:val="16"/>
              </w:rPr>
              <w:t xml:space="preserve">Decision/Correction</w:t>
            </w:r>
          </w:p>
        </w:tc>
        <w:tc>
          <w:tcPr>
            <w:tcW w:type="dxa" w:w="2200"/>
            <w:shd w:fill="1F2A44" w:val="clear"/>
            <w:tcMar>
              <w:top w:type="dxa" w:w="80"/>
              <w:left w:type="dxa" w:w="100"/>
              <w:bottom w:type="dxa" w:w="80"/>
              <w:right w:type="dxa" w:w="100"/>
            </w:tcMar>
            <w:vAlign w:val="center"/>
          </w:tcPr>
          <w:p>
            <w:r>
              <w:rPr>
                <w:b/>
                <w:bCs/>
                <w:color w:val="FFFFFF"/>
                <w:sz w:val="16"/>
                <w:szCs w:val="16"/>
              </w:rPr>
              <w:t xml:space="preserve">Source</w:t>
            </w:r>
          </w:p>
        </w:tc>
        <w:tc>
          <w:tcPr>
            <w:tcW w:type="dxa" w:w="2550"/>
            <w:shd w:fill="1F2A44" w:val="clear"/>
            <w:tcMar>
              <w:top w:type="dxa" w:w="80"/>
              <w:left w:type="dxa" w:w="100"/>
              <w:bottom w:type="dxa" w:w="80"/>
              <w:right w:type="dxa" w:w="100"/>
            </w:tcMar>
            <w:vAlign w:val="center"/>
          </w:tcPr>
          <w:p>
            <w:r>
              <w:rPr>
                <w:b/>
                <w:bCs/>
                <w:color w:val="FFFFFF"/>
                <w:sz w:val="16"/>
                <w:szCs w:val="16"/>
              </w:rPr>
              <w:t xml:space="preserve">Linked Document</w:t>
            </w:r>
          </w:p>
        </w:tc>
      </w:tr>
      <w:tr>
        <w:tc>
          <w:tcPr>
            <w:tcW w:type="dxa" w:w="1200"/>
            <w:shd w:fill="FFFFFF" w:val="clear"/>
            <w:tcMar>
              <w:top w:type="dxa" w:w="60"/>
              <w:left w:type="dxa" w:w="90"/>
              <w:bottom w:type="dxa" w:w="60"/>
              <w:right w:type="dxa" w:w="90"/>
            </w:tcMar>
            <w:vAlign w:val="center"/>
          </w:tcPr>
          <w:p>
            <w:r>
              <w:rPr>
                <w:sz w:val="16"/>
                <w:szCs w:val="16"/>
              </w:rPr>
              <w:t xml:space="preserve">26 Jul 2026</w:t>
            </w:r>
          </w:p>
        </w:tc>
        <w:tc>
          <w:tcPr>
            <w:tcW w:type="dxa" w:w="3400"/>
            <w:shd w:fill="FFFFFF" w:val="clear"/>
            <w:tcMar>
              <w:top w:type="dxa" w:w="60"/>
              <w:left w:type="dxa" w:w="90"/>
              <w:bottom w:type="dxa" w:w="60"/>
              <w:right w:type="dxa" w:w="90"/>
            </w:tcMar>
            <w:vAlign w:val="center"/>
          </w:tcPr>
          <w:p>
            <w:r>
              <w:rPr>
                <w:sz w:val="16"/>
                <w:szCs w:val="16"/>
              </w:rPr>
              <w:t xml:space="preserve">Corrected Samplia founding year from an assumed 2018 to verified 2013; identified founders and bootstrapped funding status</w:t>
            </w:r>
          </w:p>
        </w:tc>
        <w:tc>
          <w:tcPr>
            <w:tcW w:type="dxa" w:w="2200"/>
            <w:shd w:fill="FFFFFF" w:val="clear"/>
            <w:tcMar>
              <w:top w:type="dxa" w:w="60"/>
              <w:left w:type="dxa" w:w="90"/>
              <w:bottom w:type="dxa" w:w="60"/>
              <w:right w:type="dxa" w:w="90"/>
            </w:tcMar>
            <w:vAlign w:val="center"/>
          </w:tcPr>
          <w:p>
            <w:r>
              <w:rPr>
                <w:sz w:val="16"/>
                <w:szCs w:val="16"/>
              </w:rPr>
              <w:t xml:space="preserve">Independent verification during IC review</w:t>
            </w:r>
          </w:p>
        </w:tc>
        <w:tc>
          <w:tcPr>
            <w:tcW w:type="dxa" w:w="2550"/>
            <w:shd w:fill="FFFFFF" w:val="clear"/>
            <w:tcMar>
              <w:top w:type="dxa" w:w="60"/>
              <w:left w:type="dxa" w:w="90"/>
              <w:bottom w:type="dxa" w:w="60"/>
              <w:right w:type="dxa" w:w="90"/>
            </w:tcMar>
            <w:vAlign w:val="center"/>
          </w:tcPr>
          <w:p>
            <w:r>
              <w:rPr>
                <w:sz w:val="16"/>
                <w:szCs w:val="16"/>
              </w:rPr>
              <w:t xml:space="preserve">IC Memo v1.0 §3</w:t>
            </w:r>
          </w:p>
        </w:tc>
      </w:tr>
      <w:tr>
        <w:tc>
          <w:tcPr>
            <w:tcW w:type="dxa" w:w="1200"/>
            <w:shd w:fill="F2F2F2" w:val="clear"/>
            <w:tcMar>
              <w:top w:type="dxa" w:w="60"/>
              <w:left w:type="dxa" w:w="90"/>
              <w:bottom w:type="dxa" w:w="60"/>
              <w:right w:type="dxa" w:w="90"/>
            </w:tcMar>
            <w:vAlign w:val="center"/>
          </w:tcPr>
          <w:p>
            <w:r>
              <w:rPr>
                <w:sz w:val="16"/>
                <w:szCs w:val="16"/>
              </w:rPr>
              <w:t xml:space="preserve">26 Jul 2026</w:t>
            </w:r>
          </w:p>
        </w:tc>
        <w:tc>
          <w:tcPr>
            <w:tcW w:type="dxa" w:w="3400"/>
            <w:shd w:fill="F2F2F2" w:val="clear"/>
            <w:tcMar>
              <w:top w:type="dxa" w:w="60"/>
              <w:left w:type="dxa" w:w="90"/>
              <w:bottom w:type="dxa" w:w="60"/>
              <w:right w:type="dxa" w:w="90"/>
            </w:tcMar>
            <w:vAlign w:val="center"/>
          </w:tcPr>
          <w:p>
            <w:r>
              <w:rPr>
                <w:sz w:val="16"/>
                <w:szCs w:val="16"/>
              </w:rPr>
              <w:t xml:space="preserve">Corrected competitive-landscape claim — identified Marketeers Research as a near-direct regional competitor, revising the original "no direct competitor" claim</w:t>
            </w:r>
          </w:p>
        </w:tc>
        <w:tc>
          <w:tcPr>
            <w:tcW w:type="dxa" w:w="2200"/>
            <w:shd w:fill="F2F2F2" w:val="clear"/>
            <w:tcMar>
              <w:top w:type="dxa" w:w="60"/>
              <w:left w:type="dxa" w:w="90"/>
              <w:bottom w:type="dxa" w:w="60"/>
              <w:right w:type="dxa" w:w="90"/>
            </w:tcMar>
            <w:vAlign w:val="center"/>
          </w:tcPr>
          <w:p>
            <w:r>
              <w:rPr>
                <w:sz w:val="16"/>
                <w:szCs w:val="16"/>
              </w:rPr>
              <w:t xml:space="preserve">Independent verification during IC review</w:t>
            </w:r>
          </w:p>
        </w:tc>
        <w:tc>
          <w:tcPr>
            <w:tcW w:type="dxa" w:w="2550"/>
            <w:shd w:fill="F2F2F2" w:val="clear"/>
            <w:tcMar>
              <w:top w:type="dxa" w:w="60"/>
              <w:left w:type="dxa" w:w="90"/>
              <w:bottom w:type="dxa" w:w="60"/>
              <w:right w:type="dxa" w:w="90"/>
            </w:tcMar>
            <w:vAlign w:val="center"/>
          </w:tcPr>
          <w:p>
            <w:r>
              <w:rPr>
                <w:sz w:val="16"/>
                <w:szCs w:val="16"/>
              </w:rPr>
              <w:t xml:space="preserve">IC Memo v1.0 §5</w:t>
            </w:r>
          </w:p>
        </w:tc>
      </w:tr>
      <w:tr>
        <w:tc>
          <w:tcPr>
            <w:tcW w:type="dxa" w:w="1200"/>
            <w:shd w:fill="FFFFFF" w:val="clear"/>
            <w:tcMar>
              <w:top w:type="dxa" w:w="60"/>
              <w:left w:type="dxa" w:w="90"/>
              <w:bottom w:type="dxa" w:w="60"/>
              <w:right w:type="dxa" w:w="90"/>
            </w:tcMar>
            <w:vAlign w:val="center"/>
          </w:tcPr>
          <w:p>
            <w:r>
              <w:rPr>
                <w:sz w:val="16"/>
                <w:szCs w:val="16"/>
              </w:rPr>
              <w:t xml:space="preserve">26 Jul 2026</w:t>
            </w:r>
          </w:p>
        </w:tc>
        <w:tc>
          <w:tcPr>
            <w:tcW w:type="dxa" w:w="3400"/>
            <w:shd w:fill="FFFFFF" w:val="clear"/>
            <w:tcMar>
              <w:top w:type="dxa" w:w="60"/>
              <w:left w:type="dxa" w:w="90"/>
              <w:bottom w:type="dxa" w:w="60"/>
              <w:right w:type="dxa" w:w="90"/>
            </w:tcMar>
            <w:vAlign w:val="center"/>
          </w:tcPr>
          <w:p>
            <w:r>
              <w:rPr>
                <w:sz w:val="16"/>
                <w:szCs w:val="16"/>
              </w:rPr>
              <w:t xml:space="preserve">Recalibrated Investment Score from 89 to 78 following the above corrections</w:t>
            </w:r>
          </w:p>
        </w:tc>
        <w:tc>
          <w:tcPr>
            <w:tcW w:type="dxa" w:w="2200"/>
            <w:shd w:fill="FFFFFF" w:val="clear"/>
            <w:tcMar>
              <w:top w:type="dxa" w:w="60"/>
              <w:left w:type="dxa" w:w="90"/>
              <w:bottom w:type="dxa" w:w="60"/>
              <w:right w:type="dxa" w:w="90"/>
            </w:tcMar>
            <w:vAlign w:val="center"/>
          </w:tcPr>
          <w:p>
            <w:r>
              <w:rPr>
                <w:sz w:val="16"/>
                <w:szCs w:val="16"/>
              </w:rPr>
              <w:t xml:space="preserve">Peer-review reconciliation</w:t>
            </w:r>
          </w:p>
        </w:tc>
        <w:tc>
          <w:tcPr>
            <w:tcW w:type="dxa" w:w="2550"/>
            <w:shd w:fill="FFFFFF" w:val="clear"/>
            <w:tcMar>
              <w:top w:type="dxa" w:w="60"/>
              <w:left w:type="dxa" w:w="90"/>
              <w:bottom w:type="dxa" w:w="60"/>
              <w:right w:type="dxa" w:w="90"/>
            </w:tcMar>
            <w:vAlign w:val="center"/>
          </w:tcPr>
          <w:p>
            <w:r>
              <w:rPr>
                <w:sz w:val="16"/>
                <w:szCs w:val="16"/>
              </w:rPr>
              <w:t xml:space="preserve">IC Memo v1.0 §10</w:t>
            </w:r>
          </w:p>
        </w:tc>
      </w:tr>
      <w:tr>
        <w:tc>
          <w:tcPr>
            <w:tcW w:type="dxa" w:w="1200"/>
            <w:shd w:fill="F2F2F2" w:val="clear"/>
            <w:tcMar>
              <w:top w:type="dxa" w:w="60"/>
              <w:left w:type="dxa" w:w="90"/>
              <w:bottom w:type="dxa" w:w="60"/>
              <w:right w:type="dxa" w:w="90"/>
            </w:tcMar>
            <w:vAlign w:val="center"/>
          </w:tcPr>
          <w:p>
            <w:r>
              <w:rPr>
                <w:sz w:val="16"/>
                <w:szCs w:val="16"/>
              </w:rPr>
              <w:t xml:space="preserve">26 Jul 2026</w:t>
            </w:r>
          </w:p>
        </w:tc>
        <w:tc>
          <w:tcPr>
            <w:tcW w:type="dxa" w:w="3400"/>
            <w:shd w:fill="F2F2F2" w:val="clear"/>
            <w:tcMar>
              <w:top w:type="dxa" w:w="60"/>
              <w:left w:type="dxa" w:w="90"/>
              <w:bottom w:type="dxa" w:w="60"/>
              <w:right w:type="dxa" w:w="90"/>
            </w:tcMar>
            <w:vAlign w:val="center"/>
          </w:tcPr>
          <w:p>
            <w:r>
              <w:rPr>
                <w:sz w:val="16"/>
                <w:szCs w:val="16"/>
              </w:rPr>
              <w:t xml:space="preserve">Decided architectural style: modular monolith over microservices for MVP</w:t>
            </w:r>
          </w:p>
        </w:tc>
        <w:tc>
          <w:tcPr>
            <w:tcW w:type="dxa" w:w="2200"/>
            <w:shd w:fill="F2F2F2" w:val="clear"/>
            <w:tcMar>
              <w:top w:type="dxa" w:w="60"/>
              <w:left w:type="dxa" w:w="90"/>
              <w:bottom w:type="dxa" w:w="60"/>
              <w:right w:type="dxa" w:w="90"/>
            </w:tcMar>
            <w:vAlign w:val="center"/>
          </w:tcPr>
          <w:p>
            <w:r>
              <w:rPr>
                <w:sz w:val="16"/>
                <w:szCs w:val="16"/>
              </w:rPr>
              <w:t xml:space="preserve">CTO decision, team-size rationale</w:t>
            </w:r>
          </w:p>
        </w:tc>
        <w:tc>
          <w:tcPr>
            <w:tcW w:type="dxa" w:w="2550"/>
            <w:shd w:fill="F2F2F2" w:val="clear"/>
            <w:tcMar>
              <w:top w:type="dxa" w:w="60"/>
              <w:left w:type="dxa" w:w="90"/>
              <w:bottom w:type="dxa" w:w="60"/>
              <w:right w:type="dxa" w:w="90"/>
            </w:tcMar>
            <w:vAlign w:val="center"/>
          </w:tcPr>
          <w:p>
            <w:r>
              <w:rPr>
                <w:sz w:val="16"/>
                <w:szCs w:val="16"/>
              </w:rPr>
              <w:t xml:space="preserve">Technical Architecture v1.0 Phase 1 (ADR-000)</w:t>
            </w:r>
          </w:p>
        </w:tc>
      </w:tr>
      <w:tr>
        <w:tc>
          <w:tcPr>
            <w:tcW w:type="dxa" w:w="1200"/>
            <w:shd w:fill="FFFFFF" w:val="clear"/>
            <w:tcMar>
              <w:top w:type="dxa" w:w="60"/>
              <w:left w:type="dxa" w:w="90"/>
              <w:bottom w:type="dxa" w:w="60"/>
              <w:right w:type="dxa" w:w="90"/>
            </w:tcMar>
            <w:vAlign w:val="center"/>
          </w:tcPr>
          <w:p>
            <w:r>
              <w:rPr>
                <w:sz w:val="16"/>
                <w:szCs w:val="16"/>
              </w:rPr>
              <w:t xml:space="preserve">26 Jul 2026</w:t>
            </w:r>
          </w:p>
        </w:tc>
        <w:tc>
          <w:tcPr>
            <w:tcW w:type="dxa" w:w="3400"/>
            <w:shd w:fill="FFFFFF" w:val="clear"/>
            <w:tcMar>
              <w:top w:type="dxa" w:w="60"/>
              <w:left w:type="dxa" w:w="90"/>
              <w:bottom w:type="dxa" w:w="60"/>
              <w:right w:type="dxa" w:w="90"/>
            </w:tcMar>
            <w:vAlign w:val="center"/>
          </w:tcPr>
          <w:p>
            <w:r>
              <w:rPr>
                <w:sz w:val="16"/>
                <w:szCs w:val="16"/>
              </w:rPr>
              <w:t xml:space="preserve">Set cloud region to Bahrain (me-south-1) as a provisional default</w:t>
            </w:r>
          </w:p>
        </w:tc>
        <w:tc>
          <w:tcPr>
            <w:tcW w:type="dxa" w:w="2200"/>
            <w:shd w:fill="FFFFFF" w:val="clear"/>
            <w:tcMar>
              <w:top w:type="dxa" w:w="60"/>
              <w:left w:type="dxa" w:w="90"/>
              <w:bottom w:type="dxa" w:w="60"/>
              <w:right w:type="dxa" w:w="90"/>
            </w:tcMar>
            <w:vAlign w:val="center"/>
          </w:tcPr>
          <w:p>
            <w:r>
              <w:rPr>
                <w:sz w:val="16"/>
                <w:szCs w:val="16"/>
              </w:rPr>
              <w:t xml:space="preserve">CTO decision, pending legal confirmation</w:t>
            </w:r>
          </w:p>
        </w:tc>
        <w:tc>
          <w:tcPr>
            <w:tcW w:type="dxa" w:w="2550"/>
            <w:shd w:fill="FFFFFF" w:val="clear"/>
            <w:tcMar>
              <w:top w:type="dxa" w:w="60"/>
              <w:left w:type="dxa" w:w="90"/>
              <w:bottom w:type="dxa" w:w="60"/>
              <w:right w:type="dxa" w:w="90"/>
            </w:tcMar>
            <w:vAlign w:val="center"/>
          </w:tcPr>
          <w:p>
            <w:r>
              <w:rPr>
                <w:sz w:val="16"/>
                <w:szCs w:val="16"/>
              </w:rPr>
              <w:t xml:space="preserve">This document, Section C.3</w:t>
            </w:r>
          </w:p>
        </w:tc>
      </w:tr>
      <w:tr>
        <w:tc>
          <w:tcPr>
            <w:tcW w:type="dxa" w:w="1200"/>
            <w:shd w:fill="F2F2F2" w:val="clear"/>
            <w:tcMar>
              <w:top w:type="dxa" w:w="60"/>
              <w:left w:type="dxa" w:w="90"/>
              <w:bottom w:type="dxa" w:w="60"/>
              <w:right w:type="dxa" w:w="90"/>
            </w:tcMar>
            <w:vAlign w:val="center"/>
          </w:tcPr>
          <w:p>
            <w:r>
              <w:rPr>
                <w:sz w:val="16"/>
                <w:szCs w:val="16"/>
              </w:rPr>
              <w:t xml:space="preserve">26 Jul 2026</w:t>
            </w:r>
          </w:p>
        </w:tc>
        <w:tc>
          <w:tcPr>
            <w:tcW w:type="dxa" w:w="3400"/>
            <w:shd w:fill="F2F2F2" w:val="clear"/>
            <w:tcMar>
              <w:top w:type="dxa" w:w="60"/>
              <w:left w:type="dxa" w:w="90"/>
              <w:bottom w:type="dxa" w:w="60"/>
              <w:right w:type="dxa" w:w="90"/>
            </w:tcMar>
            <w:vAlign w:val="center"/>
          </w:tcPr>
          <w:p>
            <w:r>
              <w:rPr>
                <w:sz w:val="16"/>
                <w:szCs w:val="16"/>
              </w:rPr>
              <w:t xml:space="preserve">Added Head of Brand Partnerships and Data Lead to the funded Sprint 0–6 team</w:t>
            </w:r>
          </w:p>
        </w:tc>
        <w:tc>
          <w:tcPr>
            <w:tcW w:type="dxa" w:w="2200"/>
            <w:shd w:fill="F2F2F2" w:val="clear"/>
            <w:tcMar>
              <w:top w:type="dxa" w:w="60"/>
              <w:left w:type="dxa" w:w="90"/>
              <w:bottom w:type="dxa" w:w="60"/>
              <w:right w:type="dxa" w:w="90"/>
            </w:tcMar>
            <w:vAlign w:val="center"/>
          </w:tcPr>
          <w:p>
            <w:r>
              <w:rPr>
                <w:sz w:val="16"/>
                <w:szCs w:val="16"/>
              </w:rPr>
              <w:t xml:space="preserve">PMO correction following Independent Readiness Audit</w:t>
            </w:r>
          </w:p>
        </w:tc>
        <w:tc>
          <w:tcPr>
            <w:tcW w:type="dxa" w:w="2550"/>
            <w:shd w:fill="F2F2F2" w:val="clear"/>
            <w:tcMar>
              <w:top w:type="dxa" w:w="60"/>
              <w:left w:type="dxa" w:w="90"/>
              <w:bottom w:type="dxa" w:w="60"/>
              <w:right w:type="dxa" w:w="90"/>
            </w:tcMar>
            <w:vAlign w:val="center"/>
          </w:tcPr>
          <w:p>
            <w:r>
              <w:rPr>
                <w:sz w:val="16"/>
                <w:szCs w:val="16"/>
              </w:rPr>
              <w:t xml:space="preserve">This document, Section C.1</w:t>
            </w:r>
          </w:p>
        </w:tc>
      </w:tr>
    </w:tbl>
    <w:p>
      <w:r>
        <w:br w:type="page"/>
      </w:r>
    </w:p>
    <w:p>
      <w:pPr>
        <w:pStyle w:val="Heading1"/>
        <w:pBdr>
          <w:bottom w:val="single" w:color="1F2A44" w:sz="8" w:space="4"/>
        </w:pBdr>
        <w:spacing w:after="190" w:before="380"/>
      </w:pPr>
      <w:r>
        <w:rPr>
          <w:b/>
          <w:bCs/>
          <w:color w:val="1F2A44"/>
          <w:sz w:val="28"/>
          <w:szCs w:val="28"/>
        </w:rPr>
        <w:t xml:space="preserve">D. Re-Audit</w:t>
      </w:r>
    </w:p>
    <w:p>
      <w:pPr>
        <w:pStyle w:val="Heading2"/>
        <w:spacing w:after="120" w:before="240"/>
      </w:pPr>
      <w:r>
        <w:rPr>
          <w:b/>
          <w:bCs/>
          <w:color w:val="1F2A44"/>
          <w:sz w:val="22"/>
          <w:szCs w:val="22"/>
        </w:rPr>
        <w:t xml:space="preserve">Updated Readiness by Domain</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800"/>
        <w:gridCol w:w="1300"/>
        <w:gridCol w:w="1000"/>
        <w:gridCol w:w="4250"/>
      </w:tblGrid>
      <w:tr>
        <w:trPr>
          <w:tblHeader/>
        </w:trPr>
        <w:tc>
          <w:tcPr>
            <w:tcW w:type="dxa" w:w="2800"/>
            <w:shd w:fill="1F2A44" w:val="clear"/>
            <w:tcMar>
              <w:top w:type="dxa" w:w="80"/>
              <w:left w:type="dxa" w:w="100"/>
              <w:bottom w:type="dxa" w:w="80"/>
              <w:right w:type="dxa" w:w="100"/>
            </w:tcMar>
            <w:vAlign w:val="center"/>
          </w:tcPr>
          <w:p>
            <w:r>
              <w:rPr>
                <w:b/>
                <w:bCs/>
                <w:color w:val="FFFFFF"/>
                <w:sz w:val="16"/>
                <w:szCs w:val="16"/>
              </w:rPr>
              <w:t xml:space="preserve">Domain</w:t>
            </w:r>
          </w:p>
        </w:tc>
        <w:tc>
          <w:tcPr>
            <w:tcW w:type="dxa" w:w="1300"/>
            <w:shd w:fill="1F2A44" w:val="clear"/>
            <w:tcMar>
              <w:top w:type="dxa" w:w="80"/>
              <w:left w:type="dxa" w:w="100"/>
              <w:bottom w:type="dxa" w:w="80"/>
              <w:right w:type="dxa" w:w="100"/>
            </w:tcMar>
            <w:vAlign w:val="center"/>
          </w:tcPr>
          <w:p>
            <w:r>
              <w:rPr>
                <w:b/>
                <w:bCs/>
                <w:color w:val="FFFFFF"/>
                <w:sz w:val="16"/>
                <w:szCs w:val="16"/>
              </w:rPr>
              <w:t xml:space="preserve">Previous</w:t>
            </w:r>
          </w:p>
        </w:tc>
        <w:tc>
          <w:tcPr>
            <w:tcW w:type="dxa" w:w="1000"/>
            <w:shd w:fill="1F2A44" w:val="clear"/>
            <w:tcMar>
              <w:top w:type="dxa" w:w="80"/>
              <w:left w:type="dxa" w:w="100"/>
              <w:bottom w:type="dxa" w:w="80"/>
              <w:right w:type="dxa" w:w="100"/>
            </w:tcMar>
            <w:vAlign w:val="center"/>
          </w:tcPr>
          <w:p>
            <w:r>
              <w:rPr>
                <w:b/>
                <w:bCs/>
                <w:color w:val="FFFFFF"/>
                <w:sz w:val="16"/>
                <w:szCs w:val="16"/>
              </w:rPr>
              <w:t xml:space="preserve">New</w:t>
            </w:r>
          </w:p>
        </w:tc>
        <w:tc>
          <w:tcPr>
            <w:tcW w:type="dxa" w:w="4250"/>
            <w:shd w:fill="1F2A44" w:val="clear"/>
            <w:tcMar>
              <w:top w:type="dxa" w:w="80"/>
              <w:left w:type="dxa" w:w="100"/>
              <w:bottom w:type="dxa" w:w="80"/>
              <w:right w:type="dxa" w:w="100"/>
            </w:tcMar>
            <w:vAlign w:val="center"/>
          </w:tcPr>
          <w:p>
            <w:r>
              <w:rPr>
                <w:b/>
                <w:bCs/>
                <w:color w:val="FFFFFF"/>
                <w:sz w:val="16"/>
                <w:szCs w:val="16"/>
              </w:rPr>
              <w:t xml:space="preserve">Change Driver</w:t>
            </w:r>
          </w:p>
        </w:tc>
      </w:tr>
      <w:tr>
        <w:tc>
          <w:tcPr>
            <w:tcW w:type="dxa" w:w="2800"/>
            <w:shd w:fill="FFFFFF" w:val="clear"/>
            <w:tcMar>
              <w:top w:type="dxa" w:w="60"/>
              <w:left w:type="dxa" w:w="90"/>
              <w:bottom w:type="dxa" w:w="60"/>
              <w:right w:type="dxa" w:w="90"/>
            </w:tcMar>
            <w:vAlign w:val="center"/>
          </w:tcPr>
          <w:p>
            <w:r>
              <w:rPr>
                <w:sz w:val="16"/>
                <w:szCs w:val="16"/>
              </w:rPr>
              <w:t xml:space="preserve">Business</w:t>
            </w:r>
          </w:p>
        </w:tc>
        <w:tc>
          <w:tcPr>
            <w:tcW w:type="dxa" w:w="1300"/>
            <w:shd w:fill="FFFFFF" w:val="clear"/>
            <w:tcMar>
              <w:top w:type="dxa" w:w="60"/>
              <w:left w:type="dxa" w:w="90"/>
              <w:bottom w:type="dxa" w:w="60"/>
              <w:right w:type="dxa" w:w="90"/>
            </w:tcMar>
            <w:vAlign w:val="center"/>
          </w:tcPr>
          <w:p>
            <w:r>
              <w:rPr>
                <w:sz w:val="16"/>
                <w:szCs w:val="16"/>
              </w:rPr>
              <w:t xml:space="preserve">48</w:t>
            </w:r>
          </w:p>
        </w:tc>
        <w:tc>
          <w:tcPr>
            <w:tcW w:type="dxa" w:w="1000"/>
            <w:shd w:fill="FFFFFF" w:val="clear"/>
            <w:tcMar>
              <w:top w:type="dxa" w:w="60"/>
              <w:left w:type="dxa" w:w="90"/>
              <w:bottom w:type="dxa" w:w="60"/>
              <w:right w:type="dxa" w:w="90"/>
            </w:tcMar>
            <w:vAlign w:val="center"/>
          </w:tcPr>
          <w:p>
            <w:r>
              <w:rPr>
                <w:sz w:val="16"/>
                <w:szCs w:val="16"/>
              </w:rPr>
              <w:t xml:space="preserve">52</w:t>
            </w:r>
          </w:p>
        </w:tc>
        <w:tc>
          <w:tcPr>
            <w:tcW w:type="dxa" w:w="4250"/>
            <w:shd w:fill="FFFFFF" w:val="clear"/>
            <w:tcMar>
              <w:top w:type="dxa" w:w="60"/>
              <w:left w:type="dxa" w:w="90"/>
              <w:bottom w:type="dxa" w:w="60"/>
              <w:right w:type="dxa" w:w="90"/>
            </w:tcMar>
            <w:vAlign w:val="center"/>
          </w:tcPr>
          <w:p>
            <w:r>
              <w:rPr>
                <w:sz w:val="16"/>
                <w:szCs w:val="16"/>
              </w:rPr>
              <w:t xml:space="preserve">Still capped by zero commercial validation (CF-2, unresolved)</w:t>
            </w:r>
          </w:p>
        </w:tc>
      </w:tr>
      <w:tr>
        <w:tc>
          <w:tcPr>
            <w:tcW w:type="dxa" w:w="2800"/>
            <w:shd w:fill="F2F2F2" w:val="clear"/>
            <w:tcMar>
              <w:top w:type="dxa" w:w="60"/>
              <w:left w:type="dxa" w:w="90"/>
              <w:bottom w:type="dxa" w:w="60"/>
              <w:right w:type="dxa" w:w="90"/>
            </w:tcMar>
            <w:vAlign w:val="center"/>
          </w:tcPr>
          <w:p>
            <w:r>
              <w:rPr>
                <w:sz w:val="16"/>
                <w:szCs w:val="16"/>
              </w:rPr>
              <w:t xml:space="preserve">Product</w:t>
            </w:r>
          </w:p>
        </w:tc>
        <w:tc>
          <w:tcPr>
            <w:tcW w:type="dxa" w:w="1300"/>
            <w:shd w:fill="F2F2F2" w:val="clear"/>
            <w:tcMar>
              <w:top w:type="dxa" w:w="60"/>
              <w:left w:type="dxa" w:w="90"/>
              <w:bottom w:type="dxa" w:w="60"/>
              <w:right w:type="dxa" w:w="90"/>
            </w:tcMar>
            <w:vAlign w:val="center"/>
          </w:tcPr>
          <w:p>
            <w:r>
              <w:rPr>
                <w:sz w:val="16"/>
                <w:szCs w:val="16"/>
              </w:rPr>
              <w:t xml:space="preserve">70</w:t>
            </w:r>
          </w:p>
        </w:tc>
        <w:tc>
          <w:tcPr>
            <w:tcW w:type="dxa" w:w="1000"/>
            <w:shd w:fill="F2F2F2" w:val="clear"/>
            <w:tcMar>
              <w:top w:type="dxa" w:w="60"/>
              <w:left w:type="dxa" w:w="90"/>
              <w:bottom w:type="dxa" w:w="60"/>
              <w:right w:type="dxa" w:w="90"/>
            </w:tcMar>
            <w:vAlign w:val="center"/>
          </w:tcPr>
          <w:p>
            <w:r>
              <w:rPr>
                <w:sz w:val="16"/>
                <w:szCs w:val="16"/>
              </w:rPr>
              <w:t xml:space="preserve">70</w:t>
            </w:r>
          </w:p>
        </w:tc>
        <w:tc>
          <w:tcPr>
            <w:tcW w:type="dxa" w:w="4250"/>
            <w:shd w:fill="F2F2F2" w:val="clear"/>
            <w:tcMar>
              <w:top w:type="dxa" w:w="60"/>
              <w:left w:type="dxa" w:w="90"/>
              <w:bottom w:type="dxa" w:w="60"/>
              <w:right w:type="dxa" w:w="90"/>
            </w:tcMar>
            <w:vAlign w:val="center"/>
          </w:tcPr>
          <w:p>
            <w:r>
              <w:rPr>
                <w:sz w:val="16"/>
                <w:szCs w:val="16"/>
              </w:rPr>
              <w:t xml:space="preserve">Unchanged — no product findings were closed or needed closing beyond acknowledgment</w:t>
            </w:r>
          </w:p>
        </w:tc>
      </w:tr>
      <w:tr>
        <w:tc>
          <w:tcPr>
            <w:tcW w:type="dxa" w:w="2800"/>
            <w:shd w:fill="FFFFFF" w:val="clear"/>
            <w:tcMar>
              <w:top w:type="dxa" w:w="60"/>
              <w:left w:type="dxa" w:w="90"/>
              <w:bottom w:type="dxa" w:w="60"/>
              <w:right w:type="dxa" w:w="90"/>
            </w:tcMar>
            <w:vAlign w:val="center"/>
          </w:tcPr>
          <w:p>
            <w:r>
              <w:rPr>
                <w:sz w:val="16"/>
                <w:szCs w:val="16"/>
              </w:rPr>
              <w:t xml:space="preserve">Architecture</w:t>
            </w:r>
          </w:p>
        </w:tc>
        <w:tc>
          <w:tcPr>
            <w:tcW w:type="dxa" w:w="1300"/>
            <w:shd w:fill="FFFFFF" w:val="clear"/>
            <w:tcMar>
              <w:top w:type="dxa" w:w="60"/>
              <w:left w:type="dxa" w:w="90"/>
              <w:bottom w:type="dxa" w:w="60"/>
              <w:right w:type="dxa" w:w="90"/>
            </w:tcMar>
            <w:vAlign w:val="center"/>
          </w:tcPr>
          <w:p>
            <w:r>
              <w:rPr>
                <w:sz w:val="16"/>
                <w:szCs w:val="16"/>
              </w:rPr>
              <w:t xml:space="preserve">62</w:t>
            </w:r>
          </w:p>
        </w:tc>
        <w:tc>
          <w:tcPr>
            <w:tcW w:type="dxa" w:w="1000"/>
            <w:shd w:fill="FFFFFF" w:val="clear"/>
            <w:tcMar>
              <w:top w:type="dxa" w:w="60"/>
              <w:left w:type="dxa" w:w="90"/>
              <w:bottom w:type="dxa" w:w="60"/>
              <w:right w:type="dxa" w:w="90"/>
            </w:tcMar>
            <w:vAlign w:val="center"/>
          </w:tcPr>
          <w:p>
            <w:r>
              <w:rPr>
                <w:sz w:val="16"/>
                <w:szCs w:val="16"/>
              </w:rPr>
              <w:t xml:space="preserve">70</w:t>
            </w:r>
          </w:p>
        </w:tc>
        <w:tc>
          <w:tcPr>
            <w:tcW w:type="dxa" w:w="4250"/>
            <w:shd w:fill="FFFFFF" w:val="clear"/>
            <w:tcMar>
              <w:top w:type="dxa" w:w="60"/>
              <w:left w:type="dxa" w:w="90"/>
              <w:bottom w:type="dxa" w:w="60"/>
              <w:right w:type="dxa" w:w="90"/>
            </w:tcMar>
            <w:vAlign w:val="center"/>
          </w:tcPr>
          <w:p>
            <w:r>
              <w:rPr>
                <w:sz w:val="16"/>
                <w:szCs w:val="16"/>
              </w:rPr>
              <w:t xml:space="preserve">Region decision provisionally closed (C.3)</w:t>
            </w:r>
          </w:p>
        </w:tc>
      </w:tr>
      <w:tr>
        <w:tc>
          <w:tcPr>
            <w:tcW w:type="dxa" w:w="2800"/>
            <w:shd w:fill="F2F2F2" w:val="clear"/>
            <w:tcMar>
              <w:top w:type="dxa" w:w="60"/>
              <w:left w:type="dxa" w:w="90"/>
              <w:bottom w:type="dxa" w:w="60"/>
              <w:right w:type="dxa" w:w="90"/>
            </w:tcMar>
            <w:vAlign w:val="center"/>
          </w:tcPr>
          <w:p>
            <w:r>
              <w:rPr>
                <w:sz w:val="16"/>
                <w:szCs w:val="16"/>
              </w:rPr>
              <w:t xml:space="preserve">Engineering (Delivery/Backlog)</w:t>
            </w:r>
          </w:p>
        </w:tc>
        <w:tc>
          <w:tcPr>
            <w:tcW w:type="dxa" w:w="1300"/>
            <w:shd w:fill="F2F2F2" w:val="clear"/>
            <w:tcMar>
              <w:top w:type="dxa" w:w="60"/>
              <w:left w:type="dxa" w:w="90"/>
              <w:bottom w:type="dxa" w:w="60"/>
              <w:right w:type="dxa" w:w="90"/>
            </w:tcMar>
            <w:vAlign w:val="center"/>
          </w:tcPr>
          <w:p>
            <w:r>
              <w:rPr>
                <w:sz w:val="16"/>
                <w:szCs w:val="16"/>
              </w:rPr>
              <w:t xml:space="preserve">64</w:t>
            </w:r>
          </w:p>
        </w:tc>
        <w:tc>
          <w:tcPr>
            <w:tcW w:type="dxa" w:w="1000"/>
            <w:shd w:fill="F2F2F2" w:val="clear"/>
            <w:tcMar>
              <w:top w:type="dxa" w:w="60"/>
              <w:left w:type="dxa" w:w="90"/>
              <w:bottom w:type="dxa" w:w="60"/>
              <w:right w:type="dxa" w:w="90"/>
            </w:tcMar>
            <w:vAlign w:val="center"/>
          </w:tcPr>
          <w:p>
            <w:r>
              <w:rPr>
                <w:sz w:val="16"/>
                <w:szCs w:val="16"/>
              </w:rPr>
              <w:t xml:space="preserve">76</w:t>
            </w:r>
          </w:p>
        </w:tc>
        <w:tc>
          <w:tcPr>
            <w:tcW w:type="dxa" w:w="4250"/>
            <w:shd w:fill="F2F2F2" w:val="clear"/>
            <w:tcMar>
              <w:top w:type="dxa" w:w="60"/>
              <w:left w:type="dxa" w:w="90"/>
              <w:bottom w:type="dxa" w:w="60"/>
              <w:right w:type="dxa" w:w="90"/>
            </w:tcMar>
            <w:vAlign w:val="center"/>
          </w:tcPr>
          <w:p>
            <w:r>
              <w:rPr>
                <w:sz w:val="16"/>
                <w:szCs w:val="16"/>
              </w:rPr>
              <w:t xml:space="preserve">Resourcing gap closed (C.1), pagination defined (C.4)</w:t>
            </w:r>
          </w:p>
        </w:tc>
      </w:tr>
      <w:tr>
        <w:tc>
          <w:tcPr>
            <w:tcW w:type="dxa" w:w="2800"/>
            <w:shd w:fill="FFFFFF" w:val="clear"/>
            <w:tcMar>
              <w:top w:type="dxa" w:w="60"/>
              <w:left w:type="dxa" w:w="90"/>
              <w:bottom w:type="dxa" w:w="60"/>
              <w:right w:type="dxa" w:w="90"/>
            </w:tcMar>
            <w:vAlign w:val="center"/>
          </w:tcPr>
          <w:p>
            <w:r>
              <w:rPr>
                <w:sz w:val="16"/>
                <w:szCs w:val="16"/>
              </w:rPr>
              <w:t xml:space="preserve">QA</w:t>
            </w:r>
          </w:p>
        </w:tc>
        <w:tc>
          <w:tcPr>
            <w:tcW w:type="dxa" w:w="1300"/>
            <w:shd w:fill="FFFFFF" w:val="clear"/>
            <w:tcMar>
              <w:top w:type="dxa" w:w="60"/>
              <w:left w:type="dxa" w:w="90"/>
              <w:bottom w:type="dxa" w:w="60"/>
              <w:right w:type="dxa" w:w="90"/>
            </w:tcMar>
            <w:vAlign w:val="center"/>
          </w:tcPr>
          <w:p>
            <w:r>
              <w:rPr>
                <w:sz w:val="16"/>
                <w:szCs w:val="16"/>
              </w:rPr>
              <w:t xml:space="preserve">68</w:t>
            </w:r>
          </w:p>
        </w:tc>
        <w:tc>
          <w:tcPr>
            <w:tcW w:type="dxa" w:w="1000"/>
            <w:shd w:fill="FFFFFF" w:val="clear"/>
            <w:tcMar>
              <w:top w:type="dxa" w:w="60"/>
              <w:left w:type="dxa" w:w="90"/>
              <w:bottom w:type="dxa" w:w="60"/>
              <w:right w:type="dxa" w:w="90"/>
            </w:tcMar>
            <w:vAlign w:val="center"/>
          </w:tcPr>
          <w:p>
            <w:r>
              <w:rPr>
                <w:sz w:val="16"/>
                <w:szCs w:val="16"/>
              </w:rPr>
              <w:t xml:space="preserve">68</w:t>
            </w:r>
          </w:p>
        </w:tc>
        <w:tc>
          <w:tcPr>
            <w:tcW w:type="dxa" w:w="4250"/>
            <w:shd w:fill="FFFFFF" w:val="clear"/>
            <w:tcMar>
              <w:top w:type="dxa" w:w="60"/>
              <w:left w:type="dxa" w:w="90"/>
              <w:bottom w:type="dxa" w:w="60"/>
              <w:right w:type="dxa" w:w="90"/>
            </w:tcMar>
            <w:vAlign w:val="center"/>
          </w:tcPr>
          <w:p>
            <w:r>
              <w:rPr>
                <w:sz w:val="16"/>
                <w:szCs w:val="16"/>
              </w:rPr>
              <w:t xml:space="preserve">Unchanged — still unproven against real code, correctly unresolvable pre-Sprint-1</w:t>
            </w:r>
          </w:p>
        </w:tc>
      </w:tr>
      <w:tr>
        <w:tc>
          <w:tcPr>
            <w:tcW w:type="dxa" w:w="2800"/>
            <w:shd w:fill="F2F2F2" w:val="clear"/>
            <w:tcMar>
              <w:top w:type="dxa" w:w="60"/>
              <w:left w:type="dxa" w:w="90"/>
              <w:bottom w:type="dxa" w:w="60"/>
              <w:right w:type="dxa" w:w="90"/>
            </w:tcMar>
            <w:vAlign w:val="center"/>
          </w:tcPr>
          <w:p>
            <w:r>
              <w:rPr>
                <w:sz w:val="16"/>
                <w:szCs w:val="16"/>
              </w:rPr>
              <w:t xml:space="preserve">Security</w:t>
            </w:r>
          </w:p>
        </w:tc>
        <w:tc>
          <w:tcPr>
            <w:tcW w:type="dxa" w:w="1300"/>
            <w:shd w:fill="F2F2F2" w:val="clear"/>
            <w:tcMar>
              <w:top w:type="dxa" w:w="60"/>
              <w:left w:type="dxa" w:w="90"/>
              <w:bottom w:type="dxa" w:w="60"/>
              <w:right w:type="dxa" w:w="90"/>
            </w:tcMar>
            <w:vAlign w:val="center"/>
          </w:tcPr>
          <w:p>
            <w:r>
              <w:rPr>
                <w:sz w:val="16"/>
                <w:szCs w:val="16"/>
              </w:rPr>
              <w:t xml:space="preserve">52</w:t>
            </w:r>
          </w:p>
        </w:tc>
        <w:tc>
          <w:tcPr>
            <w:tcW w:type="dxa" w:w="1000"/>
            <w:shd w:fill="F2F2F2" w:val="clear"/>
            <w:tcMar>
              <w:top w:type="dxa" w:w="60"/>
              <w:left w:type="dxa" w:w="90"/>
              <w:bottom w:type="dxa" w:w="60"/>
              <w:right w:type="dxa" w:w="90"/>
            </w:tcMar>
            <w:vAlign w:val="center"/>
          </w:tcPr>
          <w:p>
            <w:r>
              <w:rPr>
                <w:sz w:val="16"/>
                <w:szCs w:val="16"/>
              </w:rPr>
              <w:t xml:space="preserve">54</w:t>
            </w:r>
          </w:p>
        </w:tc>
        <w:tc>
          <w:tcPr>
            <w:tcW w:type="dxa" w:w="4250"/>
            <w:shd w:fill="F2F2F2" w:val="clear"/>
            <w:tcMar>
              <w:top w:type="dxa" w:w="60"/>
              <w:left w:type="dxa" w:w="90"/>
              <w:bottom w:type="dxa" w:w="60"/>
              <w:right w:type="dxa" w:w="90"/>
            </w:tcMar>
            <w:vAlign w:val="center"/>
          </w:tcPr>
          <w:p>
            <w:r>
              <w:rPr>
                <w:sz w:val="16"/>
                <w:szCs w:val="16"/>
              </w:rPr>
              <w:t xml:space="preserve">Slightly improved by explicit legal-review ownership in C.1; still capped by open PDPL sign-off (B-01, unresolved)</w:t>
            </w:r>
          </w:p>
        </w:tc>
      </w:tr>
      <w:tr>
        <w:tc>
          <w:tcPr>
            <w:tcW w:type="dxa" w:w="2800"/>
            <w:shd w:fill="FFFFFF" w:val="clear"/>
            <w:tcMar>
              <w:top w:type="dxa" w:w="60"/>
              <w:left w:type="dxa" w:w="90"/>
              <w:bottom w:type="dxa" w:w="60"/>
              <w:right w:type="dxa" w:w="90"/>
            </w:tcMar>
            <w:vAlign w:val="center"/>
          </w:tcPr>
          <w:p>
            <w:r>
              <w:rPr>
                <w:sz w:val="16"/>
                <w:szCs w:val="16"/>
              </w:rPr>
              <w:t xml:space="preserve">AI</w:t>
            </w:r>
          </w:p>
        </w:tc>
        <w:tc>
          <w:tcPr>
            <w:tcW w:type="dxa" w:w="1300"/>
            <w:shd w:fill="FFFFFF" w:val="clear"/>
            <w:tcMar>
              <w:top w:type="dxa" w:w="60"/>
              <w:left w:type="dxa" w:w="90"/>
              <w:bottom w:type="dxa" w:w="60"/>
              <w:right w:type="dxa" w:w="90"/>
            </w:tcMar>
            <w:vAlign w:val="center"/>
          </w:tcPr>
          <w:p>
            <w:r>
              <w:rPr>
                <w:sz w:val="16"/>
                <w:szCs w:val="16"/>
              </w:rPr>
              <w:t xml:space="preserve">82</w:t>
            </w:r>
          </w:p>
        </w:tc>
        <w:tc>
          <w:tcPr>
            <w:tcW w:type="dxa" w:w="1000"/>
            <w:shd w:fill="FFFFFF" w:val="clear"/>
            <w:tcMar>
              <w:top w:type="dxa" w:w="60"/>
              <w:left w:type="dxa" w:w="90"/>
              <w:bottom w:type="dxa" w:w="60"/>
              <w:right w:type="dxa" w:w="90"/>
            </w:tcMar>
            <w:vAlign w:val="center"/>
          </w:tcPr>
          <w:p>
            <w:r>
              <w:rPr>
                <w:sz w:val="16"/>
                <w:szCs w:val="16"/>
              </w:rPr>
              <w:t xml:space="preserve">82</w:t>
            </w:r>
          </w:p>
        </w:tc>
        <w:tc>
          <w:tcPr>
            <w:tcW w:type="dxa" w:w="4250"/>
            <w:shd w:fill="FFFFFF" w:val="clear"/>
            <w:tcMar>
              <w:top w:type="dxa" w:w="60"/>
              <w:left w:type="dxa" w:w="90"/>
              <w:bottom w:type="dxa" w:w="60"/>
              <w:right w:type="dxa" w:w="90"/>
            </w:tcMar>
            <w:vAlign w:val="center"/>
          </w:tcPr>
          <w:p>
            <w:r>
              <w:rPr>
                <w:sz w:val="16"/>
                <w:szCs w:val="16"/>
              </w:rPr>
              <w:t xml:space="preserve">Unchanged — was never a blocker</w:t>
            </w:r>
          </w:p>
        </w:tc>
      </w:tr>
      <w:tr>
        <w:tc>
          <w:tcPr>
            <w:tcW w:type="dxa" w:w="2800"/>
            <w:shd w:fill="F2F2F2" w:val="clear"/>
            <w:tcMar>
              <w:top w:type="dxa" w:w="60"/>
              <w:left w:type="dxa" w:w="90"/>
              <w:bottom w:type="dxa" w:w="60"/>
              <w:right w:type="dxa" w:w="90"/>
            </w:tcMar>
            <w:vAlign w:val="center"/>
          </w:tcPr>
          <w:p>
            <w:r>
              <w:rPr>
                <w:sz w:val="16"/>
                <w:szCs w:val="16"/>
              </w:rPr>
              <w:t xml:space="preserve">Operations</w:t>
            </w:r>
          </w:p>
        </w:tc>
        <w:tc>
          <w:tcPr>
            <w:tcW w:type="dxa" w:w="1300"/>
            <w:shd w:fill="F2F2F2" w:val="clear"/>
            <w:tcMar>
              <w:top w:type="dxa" w:w="60"/>
              <w:left w:type="dxa" w:w="90"/>
              <w:bottom w:type="dxa" w:w="60"/>
              <w:right w:type="dxa" w:w="90"/>
            </w:tcMar>
            <w:vAlign w:val="center"/>
          </w:tcPr>
          <w:p>
            <w:r>
              <w:rPr>
                <w:sz w:val="16"/>
                <w:szCs w:val="16"/>
              </w:rPr>
              <w:t xml:space="preserve">60</w:t>
            </w:r>
          </w:p>
        </w:tc>
        <w:tc>
          <w:tcPr>
            <w:tcW w:type="dxa" w:w="1000"/>
            <w:shd w:fill="F2F2F2" w:val="clear"/>
            <w:tcMar>
              <w:top w:type="dxa" w:w="60"/>
              <w:left w:type="dxa" w:w="90"/>
              <w:bottom w:type="dxa" w:w="60"/>
              <w:right w:type="dxa" w:w="90"/>
            </w:tcMar>
            <w:vAlign w:val="center"/>
          </w:tcPr>
          <w:p>
            <w:r>
              <w:rPr>
                <w:sz w:val="16"/>
                <w:szCs w:val="16"/>
              </w:rPr>
              <w:t xml:space="preserve">62</w:t>
            </w:r>
          </w:p>
        </w:tc>
        <w:tc>
          <w:tcPr>
            <w:tcW w:type="dxa" w:w="4250"/>
            <w:shd w:fill="F2F2F2" w:val="clear"/>
            <w:tcMar>
              <w:top w:type="dxa" w:w="60"/>
              <w:left w:type="dxa" w:w="90"/>
              <w:bottom w:type="dxa" w:w="60"/>
              <w:right w:type="dxa" w:w="90"/>
            </w:tcMar>
            <w:vAlign w:val="center"/>
          </w:tcPr>
          <w:p>
            <w:r>
              <w:rPr>
                <w:sz w:val="16"/>
                <w:szCs w:val="16"/>
              </w:rPr>
              <w:t xml:space="preserve">Minor improvement from clearer role ownership</w:t>
            </w:r>
          </w:p>
        </w:tc>
      </w:tr>
      <w:tr>
        <w:tc>
          <w:tcPr>
            <w:tcW w:type="dxa" w:w="2800"/>
            <w:shd w:fill="FFFFFF" w:val="clear"/>
            <w:tcMar>
              <w:top w:type="dxa" w:w="60"/>
              <w:left w:type="dxa" w:w="90"/>
              <w:bottom w:type="dxa" w:w="60"/>
              <w:right w:type="dxa" w:w="90"/>
            </w:tcMar>
            <w:vAlign w:val="center"/>
          </w:tcPr>
          <w:p>
            <w:r>
              <w:rPr>
                <w:sz w:val="16"/>
                <w:szCs w:val="16"/>
              </w:rPr>
              <w:t xml:space="preserve">Deployment/DevOps</w:t>
            </w:r>
          </w:p>
        </w:tc>
        <w:tc>
          <w:tcPr>
            <w:tcW w:type="dxa" w:w="1300"/>
            <w:shd w:fill="FFFFFF" w:val="clear"/>
            <w:tcMar>
              <w:top w:type="dxa" w:w="60"/>
              <w:left w:type="dxa" w:w="90"/>
              <w:bottom w:type="dxa" w:w="60"/>
              <w:right w:type="dxa" w:w="90"/>
            </w:tcMar>
            <w:vAlign w:val="center"/>
          </w:tcPr>
          <w:p>
            <w:r>
              <w:rPr>
                <w:sz w:val="16"/>
                <w:szCs w:val="16"/>
              </w:rPr>
              <w:t xml:space="preserve">62</w:t>
            </w:r>
          </w:p>
        </w:tc>
        <w:tc>
          <w:tcPr>
            <w:tcW w:type="dxa" w:w="1000"/>
            <w:shd w:fill="FFFFFF" w:val="clear"/>
            <w:tcMar>
              <w:top w:type="dxa" w:w="60"/>
              <w:left w:type="dxa" w:w="90"/>
              <w:bottom w:type="dxa" w:w="60"/>
              <w:right w:type="dxa" w:w="90"/>
            </w:tcMar>
            <w:vAlign w:val="center"/>
          </w:tcPr>
          <w:p>
            <w:r>
              <w:rPr>
                <w:sz w:val="16"/>
                <w:szCs w:val="16"/>
              </w:rPr>
              <w:t xml:space="preserve">70</w:t>
            </w:r>
          </w:p>
        </w:tc>
        <w:tc>
          <w:tcPr>
            <w:tcW w:type="dxa" w:w="4250"/>
            <w:shd w:fill="FFFFFF" w:val="clear"/>
            <w:tcMar>
              <w:top w:type="dxa" w:w="60"/>
              <w:left w:type="dxa" w:w="90"/>
              <w:bottom w:type="dxa" w:w="60"/>
              <w:right w:type="dxa" w:w="90"/>
            </w:tcMar>
            <w:vAlign w:val="center"/>
          </w:tcPr>
          <w:p>
            <w:r>
              <w:rPr>
                <w:sz w:val="16"/>
                <w:szCs w:val="16"/>
              </w:rPr>
              <w:t xml:space="preserve">Region decision unblocks concrete IaC work</w:t>
            </w:r>
          </w:p>
        </w:tc>
      </w:tr>
      <w:tr>
        <w:tc>
          <w:tcPr>
            <w:tcW w:type="dxa" w:w="2800"/>
            <w:shd w:fill="F2F2F2" w:val="clear"/>
            <w:tcMar>
              <w:top w:type="dxa" w:w="60"/>
              <w:left w:type="dxa" w:w="90"/>
              <w:bottom w:type="dxa" w:w="60"/>
              <w:right w:type="dxa" w:w="90"/>
            </w:tcMar>
            <w:vAlign w:val="center"/>
          </w:tcPr>
          <w:p>
            <w:r>
              <w:rPr>
                <w:sz w:val="16"/>
                <w:szCs w:val="16"/>
              </w:rPr>
              <w:t xml:space="preserve">Documentation</w:t>
            </w:r>
          </w:p>
        </w:tc>
        <w:tc>
          <w:tcPr>
            <w:tcW w:type="dxa" w:w="1300"/>
            <w:shd w:fill="F2F2F2" w:val="clear"/>
            <w:tcMar>
              <w:top w:type="dxa" w:w="60"/>
              <w:left w:type="dxa" w:w="90"/>
              <w:bottom w:type="dxa" w:w="60"/>
              <w:right w:type="dxa" w:w="90"/>
            </w:tcMar>
            <w:vAlign w:val="center"/>
          </w:tcPr>
          <w:p>
            <w:r>
              <w:rPr>
                <w:sz w:val="16"/>
                <w:szCs w:val="16"/>
              </w:rPr>
              <w:t xml:space="preserve">71</w:t>
            </w:r>
          </w:p>
        </w:tc>
        <w:tc>
          <w:tcPr>
            <w:tcW w:type="dxa" w:w="1000"/>
            <w:shd w:fill="F2F2F2" w:val="clear"/>
            <w:tcMar>
              <w:top w:type="dxa" w:w="60"/>
              <w:left w:type="dxa" w:w="90"/>
              <w:bottom w:type="dxa" w:w="60"/>
              <w:right w:type="dxa" w:w="90"/>
            </w:tcMar>
            <w:vAlign w:val="center"/>
          </w:tcPr>
          <w:p>
            <w:r>
              <w:rPr>
                <w:sz w:val="16"/>
                <w:szCs w:val="16"/>
              </w:rPr>
              <w:t xml:space="preserve">82</w:t>
            </w:r>
          </w:p>
        </w:tc>
        <w:tc>
          <w:tcPr>
            <w:tcW w:type="dxa" w:w="4250"/>
            <w:shd w:fill="F2F2F2" w:val="clear"/>
            <w:tcMar>
              <w:top w:type="dxa" w:w="60"/>
              <w:left w:type="dxa" w:w="90"/>
              <w:bottom w:type="dxa" w:w="60"/>
              <w:right w:type="dxa" w:w="90"/>
            </w:tcMar>
            <w:vAlign w:val="center"/>
          </w:tcPr>
          <w:p>
            <w:r>
              <w:rPr>
                <w:sz w:val="16"/>
                <w:szCs w:val="16"/>
              </w:rPr>
              <w:t xml:space="preserve">Decision Log populated (C.6), provisional-name handling defined (C.5)</w:t>
            </w:r>
          </w:p>
        </w:tc>
      </w:tr>
    </w:tbl>
    <w:p>
      <w:pPr>
        <w:pStyle w:val="Heading2"/>
        <w:spacing w:after="120" w:before="240"/>
      </w:pPr>
      <w:r>
        <w:rPr>
          <w:b/>
          <w:bCs/>
          <w:color w:val="1F2A44"/>
          <w:sz w:val="22"/>
          <w:szCs w:val="22"/>
        </w:rPr>
        <w:t xml:space="preserve">New Executive Readiness Score: 67 / 100 (was 58)</w:t>
      </w:r>
    </w:p>
    <w:p>
      <w:pPr>
        <w:spacing w:after="110" w:line="260"/>
      </w:pPr>
      <w:r>
        <w:rPr>
          <w:sz w:val="19"/>
          <w:szCs w:val="19"/>
        </w:rPr>
        <w:t xml:space="preserve">A real, meaningful improvement — five of nine open findings are genuinely closed, not asserted closed.</w:t>
      </w:r>
    </w:p>
    <w:p>
      <w:pPr>
        <w:pStyle w:val="Heading2"/>
        <w:spacing w:after="120" w:before="240"/>
      </w:pPr>
      <w:r>
        <w:rPr>
          <w:b/>
          <w:bCs/>
          <w:color w:val="1F2A44"/>
          <w:sz w:val="22"/>
          <w:szCs w:val="22"/>
        </w:rPr>
        <w:t xml:space="preserve">Remaining Blocking Issues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6350"/>
      </w:tblGrid>
      <w:tr>
        <w:trPr>
          <w:tblHeader/>
        </w:trPr>
        <w:tc>
          <w:tcPr>
            <w:tcW w:type="dxa" w:w="3000"/>
            <w:shd w:fill="1F2A44" w:val="clear"/>
            <w:tcMar>
              <w:top w:type="dxa" w:w="80"/>
              <w:left w:type="dxa" w:w="100"/>
              <w:bottom w:type="dxa" w:w="80"/>
              <w:right w:type="dxa" w:w="100"/>
            </w:tcMar>
            <w:vAlign w:val="center"/>
          </w:tcPr>
          <w:p>
            <w:r>
              <w:rPr>
                <w:b/>
                <w:bCs/>
                <w:color w:val="FFFFFF"/>
                <w:sz w:val="16"/>
                <w:szCs w:val="16"/>
              </w:rPr>
              <w:t xml:space="preserve">ID</w:t>
            </w:r>
          </w:p>
        </w:tc>
        <w:tc>
          <w:tcPr>
            <w:tcW w:type="dxa" w:w="6350"/>
            <w:shd w:fill="1F2A44" w:val="clear"/>
            <w:tcMar>
              <w:top w:type="dxa" w:w="80"/>
              <w:left w:type="dxa" w:w="100"/>
              <w:bottom w:type="dxa" w:w="80"/>
              <w:right w:type="dxa" w:w="100"/>
            </w:tcMar>
            <w:vAlign w:val="center"/>
          </w:tcPr>
          <w:p>
            <w:r>
              <w:rPr>
                <w:b/>
                <w:bCs/>
                <w:color w:val="FFFFFF"/>
                <w:sz w:val="16"/>
                <w:szCs w:val="16"/>
              </w:rPr>
              <w:t xml:space="preserve">Status</w:t>
            </w:r>
          </w:p>
        </w:tc>
      </w:tr>
      <w:tr>
        <w:tc>
          <w:tcPr>
            <w:tcW w:type="dxa" w:w="3000"/>
            <w:shd w:fill="FFFFFF" w:val="clear"/>
            <w:tcMar>
              <w:top w:type="dxa" w:w="60"/>
              <w:left w:type="dxa" w:w="90"/>
              <w:bottom w:type="dxa" w:w="60"/>
              <w:right w:type="dxa" w:w="90"/>
            </w:tcMar>
            <w:vAlign w:val="center"/>
          </w:tcPr>
          <w:p>
            <w:r>
              <w:rPr>
                <w:sz w:val="16"/>
                <w:szCs w:val="16"/>
              </w:rPr>
              <w:t xml:space="preserve">CF-1 — Confirmed IC GO decision</w:t>
            </w:r>
          </w:p>
        </w:tc>
        <w:tc>
          <w:tcPr>
            <w:tcW w:type="dxa" w:w="6350"/>
            <w:shd w:fill="FFFFFF" w:val="clear"/>
            <w:tcMar>
              <w:top w:type="dxa" w:w="60"/>
              <w:left w:type="dxa" w:w="90"/>
              <w:bottom w:type="dxa" w:w="60"/>
              <w:right w:type="dxa" w:w="90"/>
            </w:tcMar>
            <w:vAlign w:val="center"/>
          </w:tcPr>
          <w:p>
            <w:r>
              <w:rPr>
                <w:sz w:val="16"/>
                <w:szCs w:val="16"/>
              </w:rPr>
              <w:t xml:space="preserve">OPEN — requires you</w:t>
            </w:r>
          </w:p>
        </w:tc>
      </w:tr>
      <w:tr>
        <w:tc>
          <w:tcPr>
            <w:tcW w:type="dxa" w:w="3000"/>
            <w:shd w:fill="F2F2F2" w:val="clear"/>
            <w:tcMar>
              <w:top w:type="dxa" w:w="60"/>
              <w:left w:type="dxa" w:w="90"/>
              <w:bottom w:type="dxa" w:w="60"/>
              <w:right w:type="dxa" w:w="90"/>
            </w:tcMar>
            <w:vAlign w:val="center"/>
          </w:tcPr>
          <w:p>
            <w:r>
              <w:rPr>
                <w:sz w:val="16"/>
                <w:szCs w:val="16"/>
              </w:rPr>
              <w:t xml:space="preserve">CF-2 — Commercial validation evidence</w:t>
            </w:r>
          </w:p>
        </w:tc>
        <w:tc>
          <w:tcPr>
            <w:tcW w:type="dxa" w:w="6350"/>
            <w:shd w:fill="F2F2F2" w:val="clear"/>
            <w:tcMar>
              <w:top w:type="dxa" w:w="60"/>
              <w:left w:type="dxa" w:w="90"/>
              <w:bottom w:type="dxa" w:w="60"/>
              <w:right w:type="dxa" w:w="90"/>
            </w:tcMar>
            <w:vAlign w:val="center"/>
          </w:tcPr>
          <w:p>
            <w:r>
              <w:rPr>
                <w:sz w:val="16"/>
                <w:szCs w:val="16"/>
              </w:rPr>
              <w:t xml:space="preserve">OPEN — requires you</w:t>
            </w:r>
          </w:p>
        </w:tc>
      </w:tr>
      <w:tr>
        <w:tc>
          <w:tcPr>
            <w:tcW w:type="dxa" w:w="3000"/>
            <w:shd w:fill="FFFFFF" w:val="clear"/>
            <w:tcMar>
              <w:top w:type="dxa" w:w="60"/>
              <w:left w:type="dxa" w:w="90"/>
              <w:bottom w:type="dxa" w:w="60"/>
              <w:right w:type="dxa" w:w="90"/>
            </w:tcMar>
            <w:vAlign w:val="center"/>
          </w:tcPr>
          <w:p>
            <w:r>
              <w:rPr>
                <w:sz w:val="16"/>
                <w:szCs w:val="16"/>
              </w:rPr>
              <w:t xml:space="preserve">B-01 — PDPL legal sign-off</w:t>
            </w:r>
          </w:p>
        </w:tc>
        <w:tc>
          <w:tcPr>
            <w:tcW w:type="dxa" w:w="6350"/>
            <w:shd w:fill="FFFFFF" w:val="clear"/>
            <w:tcMar>
              <w:top w:type="dxa" w:w="60"/>
              <w:left w:type="dxa" w:w="90"/>
              <w:bottom w:type="dxa" w:w="60"/>
              <w:right w:type="dxa" w:w="90"/>
            </w:tcMar>
            <w:vAlign w:val="center"/>
          </w:tcPr>
          <w:p>
            <w:r>
              <w:rPr>
                <w:sz w:val="16"/>
                <w:szCs w:val="16"/>
              </w:rPr>
              <w:t xml:space="preserve">OPEN — requires actual counsel</w:t>
            </w:r>
          </w:p>
        </w:tc>
      </w:tr>
      <w:tr>
        <w:tc>
          <w:tcPr>
            <w:tcW w:type="dxa" w:w="3000"/>
            <w:shd w:fill="F2F2F2" w:val="clear"/>
            <w:tcMar>
              <w:top w:type="dxa" w:w="60"/>
              <w:left w:type="dxa" w:w="90"/>
              <w:bottom w:type="dxa" w:w="60"/>
              <w:right w:type="dxa" w:w="90"/>
            </w:tcMar>
            <w:vAlign w:val="center"/>
          </w:tcPr>
          <w:p>
            <w:r>
              <w:rPr>
                <w:sz w:val="16"/>
                <w:szCs w:val="16"/>
              </w:rPr>
              <w:t xml:space="preserve">CF-3 — Legal entity incorporation confirmation</w:t>
            </w:r>
          </w:p>
        </w:tc>
        <w:tc>
          <w:tcPr>
            <w:tcW w:type="dxa" w:w="6350"/>
            <w:shd w:fill="F2F2F2" w:val="clear"/>
            <w:tcMar>
              <w:top w:type="dxa" w:w="60"/>
              <w:left w:type="dxa" w:w="90"/>
              <w:bottom w:type="dxa" w:w="60"/>
              <w:right w:type="dxa" w:w="90"/>
            </w:tcMar>
            <w:vAlign w:val="center"/>
          </w:tcPr>
          <w:p>
            <w:r>
              <w:rPr>
                <w:sz w:val="16"/>
                <w:szCs w:val="16"/>
              </w:rPr>
              <w:t xml:space="preserve">OPEN — requires you</w:t>
            </w:r>
          </w:p>
        </w:tc>
      </w:tr>
    </w:tbl>
    <w:p>
      <w:r>
        <w:br w:type="page"/>
      </w:r>
    </w:p>
    <w:p>
      <w:pPr>
        <w:pStyle w:val="Heading1"/>
        <w:pBdr>
          <w:bottom w:val="single" w:color="1F2A44" w:sz="8" w:space="4"/>
        </w:pBdr>
        <w:spacing w:after="190" w:before="380"/>
      </w:pPr>
      <w:r>
        <w:rPr>
          <w:b/>
          <w:bCs/>
          <w:color w:val="1F2A44"/>
          <w:sz w:val="28"/>
          <w:szCs w:val="28"/>
        </w:rPr>
        <w:t xml:space="preserve">Final Gate Review — Re-Audit</w:t>
      </w:r>
    </w:p>
    <w:tbl>
      <w:tblPr>
        <w:tblW w:type="pct" w:w="100%"/>
        <w:tblBorders>
          <w:top w:val="single" w:color="C0392B" w:sz="6"/>
          <w:left w:val="single" w:color="C0392B" w:sz="6"/>
          <w:bottom w:val="single" w:color="C0392B" w:sz="6"/>
          <w:right w:val="single" w:color="C0392B" w:sz="6"/>
          <w:insideH w:val="none" w:color="FFFFFF" w:sz="0"/>
          <w:insideV w:val="none" w:color="FFFFFF" w:sz="0"/>
        </w:tblBorders>
      </w:tblPr>
      <w:tblGrid>
        <w:gridCol w:w="100"/>
      </w:tblGrid>
      <w:tr>
        <w:tc>
          <w:tcPr>
            <w:shd w:fill="F2F2F2" w:val="clear"/>
            <w:tcMar>
              <w:top w:type="dxa" w:w="150"/>
              <w:left w:type="dxa" w:w="190"/>
              <w:bottom w:type="dxa" w:w="150"/>
              <w:right w:type="dxa" w:w="190"/>
            </w:tcMar>
          </w:tcPr>
          <w:p>
            <w:pPr>
              <w:spacing w:after="90"/>
            </w:pPr>
            <w:r>
              <w:rPr>
                <w:b/>
                <w:bCs/>
                <w:color w:val="C0392B"/>
                <w:sz w:val="21"/>
                <w:szCs w:val="21"/>
              </w:rPr>
              <w:t xml:space="preserve">Score improved materially. Verdict does not change.</w:t>
            </w:r>
          </w:p>
          <w:p>
            <w:pPr>
              <w:spacing w:after="50"/>
            </w:pPr>
            <w:r>
              <w:rPr>
                <w:sz w:val="19"/>
                <w:szCs w:val="19"/>
              </w:rPr>
              <w:t xml:space="preserve">• Every finding that was actually a planning gap has been closed with a real, checkable fix — not asserted, built.</w:t>
            </w:r>
          </w:p>
          <w:p>
            <w:pPr>
              <w:spacing w:after="50"/>
            </w:pPr>
            <w:r>
              <w:rPr>
                <w:sz w:val="19"/>
                <w:szCs w:val="19"/>
              </w:rPr>
              <w:t xml:space="preserve">• The four items still open are not documentation gaps. They are confirmations only the Investment Committee, real brand contacts, real legal counsel, and the Egyptian company registrar can provide.</w:t>
            </w:r>
          </w:p>
          <w:p>
            <w:pPr>
              <w:spacing w:after="50"/>
            </w:pPr>
            <w:r>
              <w:rPr>
                <w:sz w:val="19"/>
                <w:szCs w:val="19"/>
              </w:rPr>
              <w:t xml:space="preserve">• This Board cannot authorize development on the strength of improved paperwork alone when the underlying funding, legal, and commercial questions remain exactly as open as they were at the original audit.</w:t>
            </w:r>
          </w:p>
        </w:tc>
      </w:tr>
    </w:tbl>
    <w:p>
      <w:pPr>
        <w:spacing w:after="100" w:before="300"/>
        <w:jc w:val="center"/>
      </w:pPr>
      <w:r>
        <w:rPr>
          <w:b/>
          <w:bCs/>
          <w:color w:val="C0392B"/>
          <w:sz w:val="30"/>
          <w:szCs w:val="30"/>
        </w:rPr>
        <w:t xml:space="preserve">❌ DEVELOPMENT NOT AUTHORIZED</w:t>
      </w:r>
    </w:p>
    <w:p>
      <w:pPr>
        <w:spacing w:after="150"/>
        <w:jc w:val="center"/>
      </w:pPr>
      <w:r>
        <w:rPr>
          <w:i/>
          <w:iCs/>
          <w:color w:val="6B7280"/>
          <w:sz w:val="18"/>
          <w:szCs w:val="18"/>
        </w:rPr>
        <w:t xml:space="preserve">(unchanged — but only 4 items stand between this project and approval, down from a fuller list, and all 4 are yours to close, not this Board's)</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Remediation Package &amp; Re-Audit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2026-07-26T18:01:48.425Z</dcterms:created>
  <dcterms:modified xsi:type="dcterms:W3CDTF">2026-07-26T18:01:48.437Z</dcterms:modified>
</cp:coreProperties>
</file>

<file path=docProps/custom.xml><?xml version="1.0" encoding="utf-8"?>
<Properties xmlns="http://schemas.openxmlformats.org/officeDocument/2006/custom-properties" xmlns:vt="http://schemas.openxmlformats.org/officeDocument/2006/docPropsVTypes"/>
</file>