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00"/>
        <w:jc w:val="center"/>
      </w:pPr>
      <w:r>
        <w:rPr>
          <w:b/>
          <w:bCs/>
          <w:color w:val="1F2A44"/>
          <w:sz w:val="44"/>
          <w:szCs w:val="44"/>
        </w:rPr>
        <w:t xml:space="preserve">INVESTMENT DUE DILIGENCE REPORT</w:t>
      </w:r>
    </w:p>
    <w:p>
      <w:pPr>
        <w:spacing w:after="400"/>
        <w:jc w:val="center"/>
      </w:pPr>
      <w:r>
        <w:rPr>
          <w:color w:val="6B7280"/>
          <w:sz w:val="26"/>
          <w:szCs w:val="26"/>
        </w:rPr>
        <w:t xml:space="preserve">Consumer Sampling &amp; Intelligence Platform — Feasibility of Launch in Egypt</w:t>
      </w:r>
    </w:p>
    <w:p>
      <w:pPr>
        <w:spacing w:after="60"/>
        <w:jc w:val="center"/>
      </w:pPr>
      <w:r>
        <w:rPr>
          <w:i/>
          <w:iCs/>
          <w:sz w:val="22"/>
          <w:szCs w:val="22"/>
        </w:rPr>
        <w:t xml:space="preserve">Reference Case: Samplia (Spain) — Smart Sampling / Consumer Intelligence Platform</w:t>
      </w:r>
    </w:p>
    <w:p>
      <w:pPr>
        <w:spacing w:before="8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50"/>
      </w:tblGrid>
      <w:tr>
        <w:trPr>
          <w:tblHeader/>
        </w:trPr>
        <w:tc>
          <w:tcPr>
            <w:tcW w:type="dxa" w:w="2800"/>
            <w:shd w:fill="1F2A44" w:val="clear"/>
            <w:tcMar>
              <w:top w:type="dxa" w:w="100"/>
              <w:left w:type="dxa" w:w="120"/>
              <w:bottom w:type="dxa" w:w="100"/>
              <w:right w:type="dxa" w:w="120"/>
            </w:tcMar>
            <w:vAlign w:val="center"/>
          </w:tcPr>
          <w:p>
            <w:r>
              <w:rPr>
                <w:b/>
                <w:bCs/>
                <w:color w:val="FFFFFF"/>
                <w:sz w:val="19"/>
                <w:szCs w:val="19"/>
              </w:rPr>
              <w:t xml:space="preserve">Field</w:t>
            </w:r>
          </w:p>
        </w:tc>
        <w:tc>
          <w:tcPr>
            <w:tcW w:type="dxa" w:w="6550"/>
            <w:shd w:fill="1F2A44" w:val="clear"/>
            <w:tcMar>
              <w:top w:type="dxa" w:w="100"/>
              <w:left w:type="dxa" w:w="120"/>
              <w:bottom w:type="dxa" w:w="100"/>
              <w:right w:type="dxa" w:w="120"/>
            </w:tcMar>
            <w:vAlign w:val="center"/>
          </w:tcPr>
          <w:p>
            <w:r>
              <w:rPr>
                <w:b/>
                <w:bCs/>
                <w:color w:val="FFFFFF"/>
                <w:sz w:val="19"/>
                <w:szCs w:val="19"/>
              </w:rPr>
              <w:t xml:space="preserve">Detail</w:t>
            </w:r>
          </w:p>
        </w:tc>
      </w:tr>
      <w:tr>
        <w:tc>
          <w:tcPr>
            <w:tcW w:type="dxa" w:w="2800"/>
            <w:shd w:fill="FFFFFF" w:val="clear"/>
            <w:tcMar>
              <w:top w:type="dxa" w:w="90"/>
              <w:left w:type="dxa" w:w="120"/>
              <w:bottom w:type="dxa" w:w="90"/>
              <w:right w:type="dxa" w:w="120"/>
            </w:tcMar>
            <w:vAlign w:val="center"/>
          </w:tcPr>
          <w:p>
            <w:r>
              <w:rPr>
                <w:sz w:val="19"/>
                <w:szCs w:val="19"/>
              </w:rPr>
              <w:t xml:space="preserve">Project Name</w:t>
            </w:r>
          </w:p>
        </w:tc>
        <w:tc>
          <w:tcPr>
            <w:tcW w:type="dxa" w:w="6550"/>
            <w:shd w:fill="FFFFFF" w:val="clear"/>
            <w:tcMar>
              <w:top w:type="dxa" w:w="90"/>
              <w:left w:type="dxa" w:w="120"/>
              <w:bottom w:type="dxa" w:w="90"/>
              <w:right w:type="dxa" w:w="120"/>
            </w:tcMar>
            <w:vAlign w:val="center"/>
          </w:tcPr>
          <w:p>
            <w:r>
              <w:rPr>
                <w:sz w:val="19"/>
                <w:szCs w:val="19"/>
              </w:rPr>
              <w:t xml:space="preserve">Egypt Market Entry Assessment — Consumer Sampling &amp; Intelligence Platform</w:t>
            </w:r>
          </w:p>
        </w:tc>
      </w:tr>
      <w:tr>
        <w:tc>
          <w:tcPr>
            <w:tcW w:type="dxa" w:w="2800"/>
            <w:shd w:fill="F2F2F2" w:val="clear"/>
            <w:tcMar>
              <w:top w:type="dxa" w:w="90"/>
              <w:left w:type="dxa" w:w="120"/>
              <w:bottom w:type="dxa" w:w="90"/>
              <w:right w:type="dxa" w:w="120"/>
            </w:tcMar>
            <w:vAlign w:val="center"/>
          </w:tcPr>
          <w:p>
            <w:r>
              <w:rPr>
                <w:sz w:val="19"/>
                <w:szCs w:val="19"/>
              </w:rPr>
              <w:t xml:space="preserve">Reference Company</w:t>
            </w:r>
          </w:p>
        </w:tc>
        <w:tc>
          <w:tcPr>
            <w:tcW w:type="dxa" w:w="6550"/>
            <w:shd w:fill="F2F2F2" w:val="clear"/>
            <w:tcMar>
              <w:top w:type="dxa" w:w="90"/>
              <w:left w:type="dxa" w:w="120"/>
              <w:bottom w:type="dxa" w:w="90"/>
              <w:right w:type="dxa" w:w="120"/>
            </w:tcMar>
            <w:vAlign w:val="center"/>
          </w:tcPr>
          <w:p>
            <w:r>
              <w:rPr>
                <w:sz w:val="19"/>
                <w:szCs w:val="19"/>
              </w:rPr>
              <w:t xml:space="preserve">Samplia (Spain)</w:t>
            </w:r>
          </w:p>
        </w:tc>
      </w:tr>
      <w:tr>
        <w:tc>
          <w:tcPr>
            <w:tcW w:type="dxa" w:w="2800"/>
            <w:shd w:fill="FFFFFF" w:val="clear"/>
            <w:tcMar>
              <w:top w:type="dxa" w:w="90"/>
              <w:left w:type="dxa" w:w="120"/>
              <w:bottom w:type="dxa" w:w="90"/>
              <w:right w:type="dxa" w:w="120"/>
            </w:tcMar>
            <w:vAlign w:val="center"/>
          </w:tcPr>
          <w:p>
            <w:r>
              <w:rPr>
                <w:sz w:val="19"/>
                <w:szCs w:val="19"/>
              </w:rPr>
              <w:t xml:space="preserve">Country of Analysis</w:t>
            </w:r>
          </w:p>
        </w:tc>
        <w:tc>
          <w:tcPr>
            <w:tcW w:type="dxa" w:w="6550"/>
            <w:shd w:fill="FFFFFF" w:val="clear"/>
            <w:tcMar>
              <w:top w:type="dxa" w:w="90"/>
              <w:left w:type="dxa" w:w="120"/>
              <w:bottom w:type="dxa" w:w="90"/>
              <w:right w:type="dxa" w:w="120"/>
            </w:tcMar>
            <w:vAlign w:val="center"/>
          </w:tcPr>
          <w:p>
            <w:r>
              <w:rPr>
                <w:sz w:val="19"/>
                <w:szCs w:val="19"/>
              </w:rPr>
              <w:t xml:space="preserve">Arab Republic of Egypt</w:t>
            </w:r>
          </w:p>
        </w:tc>
      </w:tr>
      <w:tr>
        <w:tc>
          <w:tcPr>
            <w:tcW w:type="dxa" w:w="2800"/>
            <w:shd w:fill="F2F2F2" w:val="clear"/>
            <w:tcMar>
              <w:top w:type="dxa" w:w="90"/>
              <w:left w:type="dxa" w:w="120"/>
              <w:bottom w:type="dxa" w:w="90"/>
              <w:right w:type="dxa" w:w="120"/>
            </w:tcMar>
            <w:vAlign w:val="center"/>
          </w:tcPr>
          <w:p>
            <w:r>
              <w:rPr>
                <w:sz w:val="19"/>
                <w:szCs w:val="19"/>
              </w:rPr>
              <w:t xml:space="preserve">Source Material</w:t>
            </w:r>
          </w:p>
        </w:tc>
        <w:tc>
          <w:tcPr>
            <w:tcW w:type="dxa" w:w="6550"/>
            <w:shd w:fill="F2F2F2" w:val="clear"/>
            <w:tcMar>
              <w:top w:type="dxa" w:w="90"/>
              <w:left w:type="dxa" w:w="120"/>
              <w:bottom w:type="dxa" w:w="90"/>
              <w:right w:type="dxa" w:w="120"/>
            </w:tcMar>
            <w:vAlign w:val="center"/>
          </w:tcPr>
          <w:p>
            <w:r>
              <w:rPr>
                <w:sz w:val="19"/>
                <w:szCs w:val="19"/>
              </w:rPr>
              <w:t xml:space="preserve">Video/transcript describing an app-based product sampling concept, plus public research on Samplia</w:t>
            </w:r>
          </w:p>
        </w:tc>
      </w:tr>
      <w:tr>
        <w:tc>
          <w:tcPr>
            <w:tcW w:type="dxa" w:w="2800"/>
            <w:shd w:fill="FFFFFF" w:val="clear"/>
            <w:tcMar>
              <w:top w:type="dxa" w:w="90"/>
              <w:left w:type="dxa" w:w="120"/>
              <w:bottom w:type="dxa" w:w="90"/>
              <w:right w:type="dxa" w:w="120"/>
            </w:tcMar>
            <w:vAlign w:val="center"/>
          </w:tcPr>
          <w:p>
            <w:r>
              <w:rPr>
                <w:sz w:val="19"/>
                <w:szCs w:val="19"/>
              </w:rPr>
              <w:t xml:space="preserve">Date</w:t>
            </w:r>
          </w:p>
        </w:tc>
        <w:tc>
          <w:tcPr>
            <w:tcW w:type="dxa" w:w="6550"/>
            <w:shd w:fill="FFFFFF" w:val="clear"/>
            <w:tcMar>
              <w:top w:type="dxa" w:w="90"/>
              <w:left w:type="dxa" w:w="120"/>
              <w:bottom w:type="dxa" w:w="90"/>
              <w:right w:type="dxa" w:w="120"/>
            </w:tcMar>
            <w:vAlign w:val="center"/>
          </w:tcPr>
          <w:p>
            <w:r>
              <w:rPr>
                <w:sz w:val="19"/>
                <w:szCs w:val="19"/>
              </w:rPr>
              <w:t xml:space="preserve">26 July 2026</w:t>
            </w:r>
          </w:p>
        </w:tc>
      </w:tr>
      <w:tr>
        <w:tc>
          <w:tcPr>
            <w:tcW w:type="dxa" w:w="2800"/>
            <w:shd w:fill="F2F2F2" w:val="clear"/>
            <w:tcMar>
              <w:top w:type="dxa" w:w="90"/>
              <w:left w:type="dxa" w:w="120"/>
              <w:bottom w:type="dxa" w:w="90"/>
              <w:right w:type="dxa" w:w="120"/>
            </w:tcMar>
            <w:vAlign w:val="center"/>
          </w:tcPr>
          <w:p>
            <w:r>
              <w:rPr>
                <w:sz w:val="19"/>
                <w:szCs w:val="19"/>
              </w:rPr>
              <w:t xml:space="preserve">Prepared For</w:t>
            </w:r>
          </w:p>
        </w:tc>
        <w:tc>
          <w:tcPr>
            <w:tcW w:type="dxa" w:w="6550"/>
            <w:shd w:fill="F2F2F2" w:val="clear"/>
            <w:tcMar>
              <w:top w:type="dxa" w:w="90"/>
              <w:left w:type="dxa" w:w="120"/>
              <w:bottom w:type="dxa" w:w="90"/>
              <w:right w:type="dxa" w:w="120"/>
            </w:tcMar>
            <w:vAlign w:val="center"/>
          </w:tcPr>
          <w:p>
            <w:r>
              <w:rPr>
                <w:sz w:val="19"/>
                <w:szCs w:val="19"/>
              </w:rPr>
              <w:t xml:space="preserve">Investment Committee / Board Review</w:t>
            </w:r>
          </w:p>
        </w:tc>
      </w:tr>
      <w:tr>
        <w:tc>
          <w:tcPr>
            <w:tcW w:type="dxa" w:w="2800"/>
            <w:shd w:fill="FFFFFF" w:val="clear"/>
            <w:tcMar>
              <w:top w:type="dxa" w:w="90"/>
              <w:left w:type="dxa" w:w="120"/>
              <w:bottom w:type="dxa" w:w="90"/>
              <w:right w:type="dxa" w:w="120"/>
            </w:tcMar>
            <w:vAlign w:val="center"/>
          </w:tcPr>
          <w:p>
            <w:r>
              <w:rPr>
                <w:sz w:val="19"/>
                <w:szCs w:val="19"/>
              </w:rPr>
              <w:t xml:space="preserve">Prepared By</w:t>
            </w:r>
          </w:p>
        </w:tc>
        <w:tc>
          <w:tcPr>
            <w:tcW w:type="dxa" w:w="6550"/>
            <w:shd w:fill="FFFFFF" w:val="clear"/>
            <w:tcMar>
              <w:top w:type="dxa" w:w="90"/>
              <w:left w:type="dxa" w:w="120"/>
              <w:bottom w:type="dxa" w:w="90"/>
              <w:right w:type="dxa" w:w="120"/>
            </w:tcMar>
            <w:vAlign w:val="center"/>
          </w:tcPr>
          <w:p>
            <w:r>
              <w:rPr>
                <w:sz w:val="19"/>
                <w:szCs w:val="19"/>
              </w:rPr>
              <w:t xml:space="preserve">Compiled from external analysis (ChatGPT); reformatted into this report</w:t>
            </w:r>
          </w:p>
        </w:tc>
      </w:tr>
      <w:tr>
        <w:tc>
          <w:tcPr>
            <w:tcW w:type="dxa" w:w="2800"/>
            <w:shd w:fill="F2F2F2" w:val="clear"/>
            <w:tcMar>
              <w:top w:type="dxa" w:w="90"/>
              <w:left w:type="dxa" w:w="120"/>
              <w:bottom w:type="dxa" w:w="90"/>
              <w:right w:type="dxa" w:w="120"/>
            </w:tcMar>
            <w:vAlign w:val="center"/>
          </w:tcPr>
          <w:p>
            <w:r>
              <w:rPr>
                <w:sz w:val="19"/>
                <w:szCs w:val="19"/>
              </w:rPr>
              <w:t xml:space="preserve">Version</w:t>
            </w:r>
          </w:p>
        </w:tc>
        <w:tc>
          <w:tcPr>
            <w:tcW w:type="dxa" w:w="6550"/>
            <w:shd w:fill="F2F2F2" w:val="clear"/>
            <w:tcMar>
              <w:top w:type="dxa" w:w="90"/>
              <w:left w:type="dxa" w:w="120"/>
              <w:bottom w:type="dxa" w:w="90"/>
              <w:right w:type="dxa" w:w="120"/>
            </w:tcMar>
            <w:vAlign w:val="center"/>
          </w:tcPr>
          <w:p>
            <w:r>
              <w:rPr>
                <w:sz w:val="19"/>
                <w:szCs w:val="19"/>
              </w:rPr>
              <w:t xml:space="preserve">1.0 — Full Due Diligence (Phases 1–18) + Independent IC Critique</w:t>
            </w:r>
          </w:p>
        </w:tc>
      </w:tr>
    </w:tbl>
    <w:p>
      <w:pPr>
        <w:spacing w:before="500"/>
      </w:pP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C0392B"/>
                <w:sz w:val="22"/>
                <w:szCs w:val="22"/>
              </w:rPr>
              <w:t xml:space="preserve">CONFIDENTIALITY &amp; STATUS NOTICE</w:t>
            </w:r>
          </w:p>
          <w:p>
            <w:pPr>
              <w:spacing w:after="60"/>
            </w:pPr>
            <w:r>
              <w:rPr>
                <w:sz w:val="20"/>
                <w:szCs w:val="20"/>
              </w:rPr>
              <w:t xml:space="preserve">• This report reproduces, in full and without substantive edits, an external due-diligence analysis of the concept and its applicability to Egypt.</w:t>
            </w:r>
          </w:p>
          <w:p>
            <w:pPr>
              <w:spacing w:after="60"/>
            </w:pPr>
            <w:r>
              <w:rPr>
                <w:sz w:val="20"/>
                <w:szCs w:val="20"/>
              </w:rPr>
              <w:t xml:space="preserve">• Facts, estimates, and opinions are labelled as in the source analysis. Financial projections are scenario-based estimates, not audited forecasts.</w:t>
            </w:r>
          </w:p>
          <w:p>
            <w:pPr>
              <w:spacing w:after="60"/>
            </w:pPr>
            <w:r>
              <w:rPr>
                <w:sz w:val="20"/>
                <w:szCs w:val="20"/>
              </w:rPr>
              <w:t xml:space="preserve">• An independent Investment Committee critique is included as the final section, per the original source material.</w:t>
            </w:r>
          </w:p>
          <w:p>
            <w:pPr>
              <w:spacing w:after="60"/>
            </w:pPr>
            <w:r>
              <w:rPr>
                <w:sz w:val="20"/>
                <w:szCs w:val="20"/>
              </w:rPr>
              <w:t xml:space="preserve">• Distribution: internal use only.</w:t>
            </w:r>
          </w:p>
        </w:tc>
      </w:tr>
    </w:tbl>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Executive Summary</w:t>
      </w:r>
    </w:p>
    <w:p>
      <w:pPr>
        <w:pStyle w:val="Heading2"/>
        <w:spacing w:after="140" w:before="280"/>
      </w:pPr>
      <w:r>
        <w:rPr>
          <w:b/>
          <w:bCs/>
          <w:color w:val="1F2A44"/>
          <w:sz w:val="24"/>
          <w:szCs w:val="24"/>
        </w:rPr>
        <w:t xml:space="preserve">الفكرة ليست تطبيق توزيع عينات مجانية</w:t>
      </w:r>
    </w:p>
    <w:p>
      <w:pPr>
        <w:bidi/>
        <w:spacing w:after="140" w:line="300"/>
        <w:jc w:val="right"/>
      </w:pPr>
      <w:r>
        <w:rPr>
          <w:sz w:val="22"/>
          <w:szCs w:val="22"/>
          <w:rtl/>
        </w:rPr>
        <w:t xml:space="preserve">هذه أول نقطة مهمة.</w:t>
      </w:r>
    </w:p>
    <w:p>
      <w:pPr>
        <w:bidi/>
        <w:spacing w:after="140" w:line="300"/>
        <w:jc w:val="right"/>
      </w:pPr>
      <w:r>
        <w:rPr>
          <w:sz w:val="22"/>
          <w:szCs w:val="22"/>
          <w:rtl/>
        </w:rPr>
        <w:t xml:space="preserve">بعد مراجعة الفيديو والنص والبحث عن الشركة، اتضح أن المنتج الحقيقي ليس تطبيقًا للمستهلك.</w:t>
      </w:r>
    </w:p>
    <w:p>
      <w:pPr>
        <w:bidi/>
        <w:spacing w:after="140" w:line="300"/>
        <w:jc w:val="right"/>
      </w:pPr>
      <w:r>
        <w:rPr>
          <w:sz w:val="22"/>
          <w:szCs w:val="22"/>
          <w:rtl/>
        </w:rPr>
        <w:t xml:space="preserve">المنتج الحقيقي هو منصة Consumer Intelligence تعتمد على توزيع العينات (Smart Sampling Platform).</w:t>
      </w:r>
    </w:p>
    <w:p>
      <w:pPr>
        <w:bidi/>
        <w:spacing w:after="140" w:line="300"/>
        <w:jc w:val="right"/>
      </w:pPr>
      <w:r>
        <w:rPr>
          <w:sz w:val="22"/>
          <w:szCs w:val="22"/>
          <w:rtl/>
        </w:rPr>
        <w:t xml:space="preserve">العيّنة المجانية ليست المنتج.</w:t>
      </w:r>
    </w:p>
    <w:p>
      <w:pPr>
        <w:bidi/>
        <w:spacing w:after="140" w:line="300"/>
        <w:jc w:val="right"/>
      </w:pPr>
      <w:r>
        <w:rPr>
          <w:sz w:val="22"/>
          <w:szCs w:val="22"/>
          <w:rtl/>
        </w:rPr>
        <w:t xml:space="preserve">البيانات هي المنتج.</w:t>
      </w:r>
    </w:p>
    <w:p>
      <w:pPr>
        <w:bidi/>
        <w:spacing w:after="140" w:line="300"/>
        <w:jc w:val="right"/>
      </w:pPr>
      <w:r>
        <w:rPr>
          <w:sz w:val="22"/>
          <w:szCs w:val="22"/>
          <w:rtl/>
        </w:rPr>
        <w:t xml:space="preserve">العملاء الحقيقيون ليسوا المستهلكين.</w:t>
      </w:r>
    </w:p>
    <w:p>
      <w:pPr>
        <w:bidi/>
        <w:spacing w:after="140" w:line="300"/>
        <w:jc w:val="right"/>
      </w:pPr>
      <w:r>
        <w:rPr>
          <w:sz w:val="22"/>
          <w:szCs w:val="22"/>
          <w:rtl/>
        </w:rPr>
        <w:t xml:space="preserve">العملاء هم الشركات المصنعة (FMCG / Beauty / Pharma / Food &amp; Beverage وغيرها).</w:t>
      </w:r>
    </w:p>
    <w:p>
      <w:pPr>
        <w:bidi/>
        <w:spacing w:after="140" w:line="300"/>
        <w:jc w:val="right"/>
      </w:pPr>
      <w:r>
        <w:rPr>
          <w:i/>
          <w:iCs/>
          <w:sz w:val="22"/>
          <w:szCs w:val="22"/>
          <w:rtl/>
        </w:rPr>
        <w:t xml:space="preserve">وهذه نقطة جوهرية تغير تقييم المشروع بالكامل.</w:t>
      </w:r>
    </w:p>
    <w:p>
      <w:r>
        <w:br w:type="page"/>
      </w:r>
    </w:p>
    <w:p>
      <w:pPr>
        <w:pStyle w:val="Heading1"/>
        <w:pBdr>
          <w:bottom w:val="single" w:color="1F2A44" w:sz="8" w:space="4"/>
        </w:pBdr>
        <w:spacing w:after="200" w:before="400"/>
      </w:pPr>
      <w:r>
        <w:rPr>
          <w:b/>
          <w:bCs/>
          <w:color w:val="1F2A44"/>
          <w:sz w:val="30"/>
          <w:szCs w:val="30"/>
        </w:rPr>
        <w:t xml:space="preserve">Part 1 — Phases 1–4</w:t>
      </w:r>
    </w:p>
    <w:p>
      <w:pPr>
        <w:pStyle w:val="Heading2"/>
        <w:spacing w:after="140" w:before="280"/>
      </w:pPr>
      <w:r>
        <w:rPr>
          <w:b/>
          <w:bCs/>
          <w:color w:val="1F2A44"/>
          <w:sz w:val="24"/>
          <w:szCs w:val="24"/>
        </w:rPr>
        <w:t xml:space="preserve">PHASE 1 — Idea Reconstruction</w:t>
      </w:r>
    </w:p>
    <w:p>
      <w:pPr>
        <w:pStyle w:val="Heading3"/>
        <w:spacing w:after="100" w:before="200"/>
      </w:pPr>
      <w:r>
        <w:rPr>
          <w:b/>
          <w:bCs/>
          <w:color w:val="374151"/>
          <w:sz w:val="21"/>
          <w:szCs w:val="21"/>
        </w:rPr>
        <w:t xml:space="preserve">Facts from Video</w:t>
      </w:r>
    </w:p>
    <w:p>
      <w:pPr>
        <w:bidi/>
        <w:spacing w:after="140" w:line="300"/>
        <w:jc w:val="right"/>
      </w:pPr>
      <w:r>
        <w:rPr>
          <w:sz w:val="22"/>
          <w:szCs w:val="22"/>
          <w:rtl/>
        </w:rPr>
        <w:t xml:space="preserve">الفيديو يوضح الآتي:</w:t>
      </w:r>
    </w:p>
    <w:p>
      <w:pPr>
        <w:pStyle w:val="ListParagraph"/>
        <w:numPr>
          <w:ilvl w:val="0"/>
          <w:numId w:val="1"/>
        </w:numPr>
        <w:bidi/>
        <w:spacing w:after="70"/>
        <w:jc w:val="right"/>
      </w:pPr>
      <w:r>
        <w:rPr>
          <w:sz w:val="22"/>
          <w:szCs w:val="22"/>
          <w:rtl/>
        </w:rPr>
        <w:t xml:space="preserve">توجد أكشاك مؤقتة أو نقاط توزيع.</w:t>
      </w:r>
    </w:p>
    <w:p>
      <w:pPr>
        <w:pStyle w:val="ListParagraph"/>
        <w:numPr>
          <w:ilvl w:val="0"/>
          <w:numId w:val="1"/>
        </w:numPr>
        <w:bidi/>
        <w:spacing w:after="70"/>
        <w:jc w:val="right"/>
      </w:pPr>
      <w:r>
        <w:rPr>
          <w:sz w:val="22"/>
          <w:szCs w:val="22"/>
          <w:rtl/>
        </w:rPr>
        <w:t xml:space="preserve">المستهلك يحمل التطبيق.</w:t>
      </w:r>
    </w:p>
    <w:p>
      <w:pPr>
        <w:pStyle w:val="ListParagraph"/>
        <w:numPr>
          <w:ilvl w:val="0"/>
          <w:numId w:val="1"/>
        </w:numPr>
        <w:bidi/>
        <w:spacing w:after="70"/>
        <w:jc w:val="right"/>
      </w:pPr>
      <w:r>
        <w:rPr>
          <w:sz w:val="22"/>
          <w:szCs w:val="22"/>
          <w:rtl/>
        </w:rPr>
        <w:t xml:space="preserve">يصل إشعار بوجود حملة.</w:t>
      </w:r>
    </w:p>
    <w:p>
      <w:pPr>
        <w:pStyle w:val="ListParagraph"/>
        <w:numPr>
          <w:ilvl w:val="0"/>
          <w:numId w:val="1"/>
        </w:numPr>
        <w:bidi/>
        <w:spacing w:after="70"/>
        <w:jc w:val="right"/>
      </w:pPr>
      <w:r>
        <w:rPr>
          <w:sz w:val="22"/>
          <w:szCs w:val="22"/>
          <w:rtl/>
        </w:rPr>
        <w:t xml:space="preserve">يذهب للموقع.</w:t>
      </w:r>
    </w:p>
    <w:p>
      <w:pPr>
        <w:pStyle w:val="ListParagraph"/>
        <w:numPr>
          <w:ilvl w:val="0"/>
          <w:numId w:val="1"/>
        </w:numPr>
        <w:bidi/>
        <w:spacing w:after="70"/>
        <w:jc w:val="right"/>
      </w:pPr>
      <w:r>
        <w:rPr>
          <w:sz w:val="22"/>
          <w:szCs w:val="22"/>
          <w:rtl/>
        </w:rPr>
        <w:t xml:space="preserve">يستلم المنتج مجانا.</w:t>
      </w:r>
    </w:p>
    <w:p>
      <w:pPr>
        <w:pStyle w:val="ListParagraph"/>
        <w:numPr>
          <w:ilvl w:val="0"/>
          <w:numId w:val="1"/>
        </w:numPr>
        <w:bidi/>
        <w:spacing w:after="70"/>
        <w:jc w:val="right"/>
      </w:pPr>
      <w:r>
        <w:rPr>
          <w:sz w:val="22"/>
          <w:szCs w:val="22"/>
          <w:rtl/>
        </w:rPr>
        <w:t xml:space="preserve">يجربه.</w:t>
      </w:r>
    </w:p>
    <w:p>
      <w:pPr>
        <w:pStyle w:val="ListParagraph"/>
        <w:numPr>
          <w:ilvl w:val="0"/>
          <w:numId w:val="1"/>
        </w:numPr>
        <w:bidi/>
        <w:spacing w:after="70"/>
        <w:jc w:val="right"/>
      </w:pPr>
      <w:r>
        <w:rPr>
          <w:sz w:val="22"/>
          <w:szCs w:val="22"/>
          <w:rtl/>
        </w:rPr>
        <w:t xml:space="preserve">يجيب على استبيان.</w:t>
      </w:r>
    </w:p>
    <w:p>
      <w:pPr>
        <w:pStyle w:val="ListParagraph"/>
        <w:numPr>
          <w:ilvl w:val="0"/>
          <w:numId w:val="1"/>
        </w:numPr>
        <w:bidi/>
        <w:spacing w:after="70"/>
        <w:jc w:val="right"/>
      </w:pPr>
      <w:r>
        <w:rPr>
          <w:sz w:val="22"/>
          <w:szCs w:val="22"/>
          <w:rtl/>
        </w:rPr>
        <w:t xml:space="preserve">الشركة المالكة تحصل على أجر من العلامة التجارية.</w:t>
      </w:r>
    </w:p>
    <w:p>
      <w:pPr>
        <w:pStyle w:val="ListParagraph"/>
        <w:numPr>
          <w:ilvl w:val="0"/>
          <w:numId w:val="1"/>
        </w:numPr>
        <w:bidi/>
        <w:spacing w:after="70"/>
        <w:jc w:val="right"/>
      </w:pPr>
      <w:r>
        <w:rPr>
          <w:sz w:val="22"/>
          <w:szCs w:val="22"/>
          <w:rtl/>
        </w:rPr>
        <w:t xml:space="preserve">العلامة التجارية تحصل على Feedback حقيقي.</w:t>
      </w:r>
    </w:p>
    <w:p>
      <w:pPr>
        <w:bidi/>
        <w:spacing w:after="140" w:line="300"/>
        <w:jc w:val="right"/>
      </w:pPr>
      <w:r>
        <w:rPr>
          <w:i/>
          <w:iCs/>
          <w:sz w:val="22"/>
          <w:szCs w:val="22"/>
          <w:rtl/>
        </w:rPr>
        <w:t xml:space="preserve">هذه كلها حقائق وردت في الفيديو.</w:t>
      </w:r>
    </w:p>
    <w:p>
      <w:pPr>
        <w:pStyle w:val="Heading3"/>
        <w:spacing w:after="100" w:before="200"/>
      </w:pPr>
      <w:r>
        <w:rPr>
          <w:b/>
          <w:bCs/>
          <w:color w:val="374151"/>
          <w:sz w:val="21"/>
          <w:szCs w:val="21"/>
        </w:rPr>
        <w:t xml:space="preserve">المشكلة الحقيقية</w:t>
      </w:r>
    </w:p>
    <w:p>
      <w:pPr>
        <w:bidi/>
        <w:spacing w:after="140" w:line="300"/>
        <w:jc w:val="right"/>
      </w:pPr>
      <w:r>
        <w:rPr>
          <w:sz w:val="22"/>
          <w:szCs w:val="22"/>
          <w:rtl/>
        </w:rPr>
        <w:t xml:space="preserve">الشركات تنفق ملايين الدولارات على: إطلاق منتجات جديدة، Sampling، Activations، Market Research. ولكن توجد مشاكل كبيرة:</w:t>
      </w:r>
    </w:p>
    <w:p>
      <w:pPr>
        <w:pStyle w:val="Heading3"/>
        <w:spacing w:after="100" w:before="200"/>
      </w:pPr>
      <w:r>
        <w:rPr>
          <w:b/>
          <w:bCs/>
          <w:color w:val="374151"/>
          <w:sz w:val="21"/>
          <w:szCs w:val="21"/>
        </w:rPr>
        <w:t xml:space="preserve">المشكلة الأولى</w:t>
      </w:r>
    </w:p>
    <w:p>
      <w:pPr>
        <w:bidi/>
        <w:spacing w:after="140" w:line="300"/>
        <w:jc w:val="right"/>
      </w:pPr>
      <w:r>
        <w:rPr>
          <w:sz w:val="22"/>
          <w:szCs w:val="22"/>
          <w:rtl/>
        </w:rPr>
        <w:t xml:space="preserve">العينات يتم توزيعها عشوائياً. مثلاً: شركة تعطي 100 ألف عينة، لا تعرف: من أخذها، هل جربها، هل أعجبته، هل اشتراها مرة أخرى. العائد مجهول.</w:t>
      </w:r>
    </w:p>
    <w:p>
      <w:pPr>
        <w:pStyle w:val="Heading3"/>
        <w:spacing w:after="100" w:before="200"/>
      </w:pPr>
      <w:r>
        <w:rPr>
          <w:b/>
          <w:bCs/>
          <w:color w:val="374151"/>
          <w:sz w:val="21"/>
          <w:szCs w:val="21"/>
        </w:rPr>
        <w:t xml:space="preserve">المشكلة الثانية</w:t>
      </w:r>
    </w:p>
    <w:p>
      <w:pPr>
        <w:bidi/>
        <w:spacing w:after="140" w:line="300"/>
        <w:jc w:val="right"/>
      </w:pPr>
      <w:r>
        <w:rPr>
          <w:sz w:val="22"/>
          <w:szCs w:val="22"/>
          <w:rtl/>
        </w:rPr>
        <w:t xml:space="preserve">شركات أبحاث السوق التقليدية بطيئة. تحتاج: تصميم استبيان، تجنيد المشاركين، الاتصال، تحليل النتائج. قد يستغرق ذلك أسابيع.</w:t>
      </w:r>
    </w:p>
    <w:p>
      <w:pPr>
        <w:pStyle w:val="Heading3"/>
        <w:spacing w:after="100" w:before="200"/>
      </w:pPr>
      <w:r>
        <w:rPr>
          <w:b/>
          <w:bCs/>
          <w:color w:val="374151"/>
          <w:sz w:val="21"/>
          <w:szCs w:val="21"/>
        </w:rPr>
        <w:t xml:space="preserve">المشكلة الثالثة</w:t>
      </w:r>
    </w:p>
    <w:p>
      <w:pPr>
        <w:bidi/>
        <w:spacing w:after="140" w:line="300"/>
        <w:jc w:val="right"/>
      </w:pPr>
      <w:r>
        <w:rPr>
          <w:sz w:val="22"/>
          <w:szCs w:val="22"/>
          <w:rtl/>
        </w:rPr>
        <w:t xml:space="preserve">الشركات تحتاج Feedback بعد تجربة المنتج مباشرة — بعد ساعات، وليس بعد شهر.</w:t>
      </w:r>
    </w:p>
    <w:p>
      <w:pPr>
        <w:pStyle w:val="Heading3"/>
        <w:spacing w:after="100" w:before="200"/>
      </w:pPr>
      <w:r>
        <w:rPr>
          <w:b/>
          <w:bCs/>
          <w:color w:val="374151"/>
          <w:sz w:val="21"/>
          <w:szCs w:val="21"/>
        </w:rPr>
        <w:t xml:space="preserve">العميل الذي يعاني من المشكلة</w:t>
      </w:r>
    </w:p>
    <w:p>
      <w:pPr>
        <w:bidi/>
        <w:spacing w:after="140" w:line="300"/>
        <w:jc w:val="right"/>
      </w:pPr>
      <w:r>
        <w:rPr>
          <w:sz w:val="22"/>
          <w:szCs w:val="22"/>
          <w:rtl/>
        </w:rPr>
        <w:t xml:space="preserve">ليس المستهلك. بل:</w:t>
      </w:r>
    </w:p>
    <w:p>
      <w:pPr>
        <w:pStyle w:val="ListParagraph"/>
        <w:numPr>
          <w:ilvl w:val="0"/>
          <w:numId w:val="1"/>
        </w:numPr>
        <w:bidi/>
        <w:spacing w:after="70"/>
        <w:jc w:val="right"/>
      </w:pPr>
      <w:r>
        <w:rPr>
          <w:sz w:val="22"/>
          <w:szCs w:val="22"/>
          <w:rtl/>
        </w:rPr>
        <w:t xml:space="preserve">Nestlé</w:t>
      </w:r>
    </w:p>
    <w:p>
      <w:pPr>
        <w:pStyle w:val="ListParagraph"/>
        <w:numPr>
          <w:ilvl w:val="0"/>
          <w:numId w:val="1"/>
        </w:numPr>
        <w:bidi/>
        <w:spacing w:after="70"/>
        <w:jc w:val="right"/>
      </w:pPr>
      <w:r>
        <w:rPr>
          <w:sz w:val="22"/>
          <w:szCs w:val="22"/>
          <w:rtl/>
        </w:rPr>
        <w:t xml:space="preserve">Coca-Cola</w:t>
      </w:r>
    </w:p>
    <w:p>
      <w:pPr>
        <w:pStyle w:val="ListParagraph"/>
        <w:numPr>
          <w:ilvl w:val="0"/>
          <w:numId w:val="1"/>
        </w:numPr>
        <w:bidi/>
        <w:spacing w:after="70"/>
        <w:jc w:val="right"/>
      </w:pPr>
      <w:r>
        <w:rPr>
          <w:sz w:val="22"/>
          <w:szCs w:val="22"/>
          <w:rtl/>
        </w:rPr>
        <w:t xml:space="preserve">PepsiCo</w:t>
      </w:r>
    </w:p>
    <w:p>
      <w:pPr>
        <w:pStyle w:val="ListParagraph"/>
        <w:numPr>
          <w:ilvl w:val="0"/>
          <w:numId w:val="1"/>
        </w:numPr>
        <w:bidi/>
        <w:spacing w:after="70"/>
        <w:jc w:val="right"/>
      </w:pPr>
      <w:r>
        <w:rPr>
          <w:sz w:val="22"/>
          <w:szCs w:val="22"/>
          <w:rtl/>
        </w:rPr>
        <w:t xml:space="preserve">Unilever</w:t>
      </w:r>
    </w:p>
    <w:p>
      <w:pPr>
        <w:pStyle w:val="ListParagraph"/>
        <w:numPr>
          <w:ilvl w:val="0"/>
          <w:numId w:val="1"/>
        </w:numPr>
        <w:bidi/>
        <w:spacing w:after="70"/>
        <w:jc w:val="right"/>
      </w:pPr>
      <w:r>
        <w:rPr>
          <w:sz w:val="22"/>
          <w:szCs w:val="22"/>
          <w:rtl/>
        </w:rPr>
        <w:t xml:space="preserve">P&amp;G</w:t>
      </w:r>
    </w:p>
    <w:p>
      <w:pPr>
        <w:pStyle w:val="ListParagraph"/>
        <w:numPr>
          <w:ilvl w:val="0"/>
          <w:numId w:val="1"/>
        </w:numPr>
        <w:bidi/>
        <w:spacing w:after="70"/>
        <w:jc w:val="right"/>
      </w:pPr>
      <w:r>
        <w:rPr>
          <w:sz w:val="22"/>
          <w:szCs w:val="22"/>
          <w:rtl/>
        </w:rPr>
        <w:t xml:space="preserve">L'Oréal</w:t>
      </w:r>
    </w:p>
    <w:p>
      <w:pPr>
        <w:pStyle w:val="ListParagraph"/>
        <w:numPr>
          <w:ilvl w:val="0"/>
          <w:numId w:val="1"/>
        </w:numPr>
        <w:bidi/>
        <w:spacing w:after="70"/>
        <w:jc w:val="right"/>
      </w:pPr>
      <w:r>
        <w:rPr>
          <w:sz w:val="22"/>
          <w:szCs w:val="22"/>
          <w:rtl/>
        </w:rPr>
        <w:t xml:space="preserve">Mondelez</w:t>
      </w:r>
    </w:p>
    <w:p>
      <w:pPr>
        <w:pStyle w:val="ListParagraph"/>
        <w:numPr>
          <w:ilvl w:val="0"/>
          <w:numId w:val="1"/>
        </w:numPr>
        <w:bidi/>
        <w:spacing w:after="70"/>
        <w:jc w:val="right"/>
      </w:pPr>
      <w:r>
        <w:rPr>
          <w:sz w:val="22"/>
          <w:szCs w:val="22"/>
          <w:rtl/>
        </w:rPr>
        <w:t xml:space="preserve">وأي شركة تطلق منتجات جديدة</w:t>
      </w:r>
    </w:p>
    <w:p>
      <w:pPr>
        <w:pStyle w:val="Heading3"/>
        <w:spacing w:after="100" w:before="200"/>
      </w:pPr>
      <w:r>
        <w:rPr>
          <w:b/>
          <w:bCs/>
          <w:color w:val="374151"/>
          <w:sz w:val="21"/>
          <w:szCs w:val="21"/>
        </w:rPr>
        <w:t xml:space="preserve">الحل</w:t>
      </w:r>
    </w:p>
    <w:p>
      <w:pPr>
        <w:bidi/>
        <w:spacing w:after="140" w:line="300"/>
        <w:jc w:val="right"/>
      </w:pPr>
      <w:r>
        <w:rPr>
          <w:sz w:val="22"/>
          <w:szCs w:val="22"/>
          <w:rtl/>
        </w:rPr>
        <w:t xml:space="preserve">تبني الشركة منصة فيها: App، Consumer Community، Sampling Network، Consumer Data، Analytics Dashboard.</w:t>
      </w:r>
    </w:p>
    <w:p>
      <w:pPr>
        <w:bidi/>
        <w:spacing w:after="140" w:line="300"/>
        <w:jc w:val="right"/>
      </w:pPr>
      <w:r>
        <w:rPr>
          <w:sz w:val="22"/>
          <w:szCs w:val="22"/>
          <w:rtl/>
        </w:rPr>
        <w:t xml:space="preserve">ثم يحدث الآتي: Brand ← تطلب حملة Sampling ← الشركة تحدد الفئة المناسبة ← تختار المواقع ← المستخدم يستلم المنتج ← يجربه ← يملأ الاستبيان ← الشركة تحصل على Dashboard وتحليلات.</w:t>
      </w:r>
    </w:p>
    <w:p>
      <w:pPr>
        <w:pStyle w:val="Heading3"/>
        <w:spacing w:after="100" w:before="200"/>
      </w:pPr>
      <w:r>
        <w:rPr>
          <w:b/>
          <w:bCs/>
          <w:color w:val="374151"/>
          <w:sz w:val="21"/>
          <w:szCs w:val="21"/>
        </w:rPr>
        <w:t xml:space="preserve">القيمة المضافة</w:t>
      </w:r>
    </w:p>
    <w:p>
      <w:pPr>
        <w:bidi/>
        <w:spacing w:after="140" w:line="300"/>
        <w:jc w:val="right"/>
      </w:pPr>
      <w:r>
        <w:rPr>
          <w:sz w:val="22"/>
          <w:szCs w:val="22"/>
          <w:rtl/>
        </w:rPr>
        <w:t xml:space="preserve">بدلاً من: Sampling فقط — تصبح: Sampling + Consumer Intelligence + Real Data + Purchase Intent + Segmentation.</w:t>
      </w:r>
    </w:p>
    <w:p>
      <w:pPr>
        <w:pStyle w:val="Heading3"/>
        <w:spacing w:after="100" w:before="200"/>
      </w:pPr>
      <w:r>
        <w:rPr>
          <w:b/>
          <w:bCs/>
          <w:color w:val="374151"/>
          <w:sz w:val="21"/>
          <w:szCs w:val="21"/>
        </w:rPr>
        <w:t xml:space="preserve">لماذا يختلف؟</w:t>
      </w:r>
    </w:p>
    <w:p>
      <w:pPr>
        <w:bidi/>
        <w:spacing w:after="140" w:line="300"/>
        <w:jc w:val="right"/>
      </w:pPr>
      <w:r>
        <w:rPr>
          <w:sz w:val="22"/>
          <w:szCs w:val="22"/>
          <w:rtl/>
        </w:rPr>
        <w:t xml:space="preserve">لأن معظم Sampling التقليدي لا يقيس النتائج. أما هنا: كل Sample مرتبط بهوية المستخدم. يمكن قياس: العمر، الجنس، المدينة، الاهتمامات، معدل الشراء، رأيه، احتمالية إعادة الشراء.</w:t>
      </w:r>
    </w:p>
    <w:p>
      <w:pPr>
        <w:pStyle w:val="Heading3"/>
        <w:spacing w:after="100" w:before="200"/>
      </w:pPr>
      <w:r>
        <w:rPr>
          <w:b/>
          <w:bCs/>
          <w:color w:val="374151"/>
          <w:sz w:val="21"/>
          <w:szCs w:val="21"/>
        </w:rPr>
        <w:t xml:space="preserve">Customer Pain Points</w:t>
      </w:r>
    </w:p>
    <w:p>
      <w:pPr>
        <w:bidi/>
        <w:spacing w:after="140" w:line="300"/>
        <w:jc w:val="right"/>
      </w:pPr>
      <w:r>
        <w:rPr>
          <w:sz w:val="22"/>
          <w:szCs w:val="22"/>
          <w:rtl/>
        </w:rPr>
        <w:t xml:space="preserve">للشركات:</w:t>
      </w:r>
    </w:p>
    <w:p>
      <w:pPr>
        <w:pStyle w:val="ListParagraph"/>
        <w:numPr>
          <w:ilvl w:val="0"/>
          <w:numId w:val="1"/>
        </w:numPr>
        <w:bidi/>
        <w:spacing w:after="70"/>
        <w:jc w:val="right"/>
      </w:pPr>
      <w:r>
        <w:rPr>
          <w:sz w:val="22"/>
          <w:szCs w:val="22"/>
          <w:rtl/>
        </w:rPr>
        <w:t xml:space="preserve">Waste فى توزيع العينات</w:t>
      </w:r>
    </w:p>
    <w:p>
      <w:pPr>
        <w:pStyle w:val="ListParagraph"/>
        <w:numPr>
          <w:ilvl w:val="0"/>
          <w:numId w:val="1"/>
        </w:numPr>
        <w:bidi/>
        <w:spacing w:after="70"/>
        <w:jc w:val="right"/>
      </w:pPr>
      <w:r>
        <w:rPr>
          <w:sz w:val="22"/>
          <w:szCs w:val="22"/>
          <w:rtl/>
        </w:rPr>
        <w:t xml:space="preserve">لا توجد بيانات</w:t>
      </w:r>
    </w:p>
    <w:p>
      <w:pPr>
        <w:pStyle w:val="ListParagraph"/>
        <w:numPr>
          <w:ilvl w:val="0"/>
          <w:numId w:val="1"/>
        </w:numPr>
        <w:bidi/>
        <w:spacing w:after="70"/>
        <w:jc w:val="right"/>
      </w:pPr>
      <w:r>
        <w:rPr>
          <w:sz w:val="22"/>
          <w:szCs w:val="22"/>
          <w:rtl/>
        </w:rPr>
        <w:t xml:space="preserve">ROI ضعيف</w:t>
      </w:r>
    </w:p>
    <w:p>
      <w:pPr>
        <w:pStyle w:val="ListParagraph"/>
        <w:numPr>
          <w:ilvl w:val="0"/>
          <w:numId w:val="1"/>
        </w:numPr>
        <w:bidi/>
        <w:spacing w:after="70"/>
        <w:jc w:val="right"/>
      </w:pPr>
      <w:r>
        <w:rPr>
          <w:sz w:val="22"/>
          <w:szCs w:val="22"/>
          <w:rtl/>
        </w:rPr>
        <w:t xml:space="preserve">صعوبة الوصول للجمهور المناسب</w:t>
      </w:r>
    </w:p>
    <w:p>
      <w:pPr>
        <w:bidi/>
        <w:spacing w:after="140" w:line="300"/>
        <w:jc w:val="right"/>
      </w:pPr>
      <w:r>
        <w:rPr>
          <w:sz w:val="22"/>
          <w:szCs w:val="22"/>
          <w:rtl/>
        </w:rPr>
        <w:t xml:space="preserve">للمستهلك:</w:t>
      </w:r>
    </w:p>
    <w:p>
      <w:pPr>
        <w:pStyle w:val="ListParagraph"/>
        <w:numPr>
          <w:ilvl w:val="0"/>
          <w:numId w:val="1"/>
        </w:numPr>
        <w:bidi/>
        <w:spacing w:after="70"/>
        <w:jc w:val="right"/>
      </w:pPr>
      <w:r>
        <w:rPr>
          <w:sz w:val="22"/>
          <w:szCs w:val="22"/>
          <w:rtl/>
        </w:rPr>
        <w:t xml:space="preserve">يريد تجربة منتجات مجانية</w:t>
      </w:r>
    </w:p>
    <w:p>
      <w:pPr>
        <w:pStyle w:val="ListParagraph"/>
        <w:numPr>
          <w:ilvl w:val="0"/>
          <w:numId w:val="1"/>
        </w:numPr>
        <w:bidi/>
        <w:spacing w:after="70"/>
        <w:jc w:val="right"/>
      </w:pPr>
      <w:r>
        <w:rPr>
          <w:sz w:val="22"/>
          <w:szCs w:val="22"/>
          <w:rtl/>
        </w:rPr>
        <w:t xml:space="preserve">يريد عروض</w:t>
      </w:r>
    </w:p>
    <w:p>
      <w:pPr>
        <w:pStyle w:val="ListParagraph"/>
        <w:numPr>
          <w:ilvl w:val="0"/>
          <w:numId w:val="1"/>
        </w:numPr>
        <w:bidi/>
        <w:spacing w:after="70"/>
        <w:jc w:val="right"/>
      </w:pPr>
      <w:r>
        <w:rPr>
          <w:sz w:val="22"/>
          <w:szCs w:val="22"/>
          <w:rtl/>
        </w:rPr>
        <w:t xml:space="preserve">يريد اكتشاف منتجات</w:t>
      </w:r>
    </w:p>
    <w:p>
      <w:pPr>
        <w:pStyle w:val="Heading3"/>
        <w:spacing w:after="100" w:before="200"/>
      </w:pPr>
      <w:r>
        <w:rPr>
          <w:b/>
          <w:bCs/>
          <w:color w:val="374151"/>
          <w:sz w:val="21"/>
          <w:szCs w:val="21"/>
        </w:rPr>
        <w:t xml:space="preserve">الافتراضات الأساسية</w:t>
      </w:r>
    </w:p>
    <w:p>
      <w:pPr>
        <w:bidi/>
        <w:spacing w:after="140" w:line="300"/>
        <w:jc w:val="right"/>
      </w:pPr>
      <w:r>
        <w:rPr>
          <w:sz w:val="22"/>
          <w:szCs w:val="22"/>
          <w:rtl/>
        </w:rPr>
        <w:t xml:space="preserve">يعتمد المشروع على افتراضات مهمة:</w:t>
      </w:r>
    </w:p>
    <w:p>
      <w:pPr>
        <w:pStyle w:val="ListParagraph"/>
        <w:numPr>
          <w:ilvl w:val="0"/>
          <w:numId w:val="1"/>
        </w:numPr>
        <w:bidi/>
        <w:spacing w:after="70"/>
        <w:jc w:val="right"/>
      </w:pPr>
      <w:r>
        <w:rPr>
          <w:sz w:val="22"/>
          <w:szCs w:val="22"/>
          <w:rtl/>
        </w:rPr>
        <w:t xml:space="preserve">1. الناس تحب العينات المجانية.</w:t>
      </w:r>
    </w:p>
    <w:p>
      <w:pPr>
        <w:pStyle w:val="ListParagraph"/>
        <w:numPr>
          <w:ilvl w:val="0"/>
          <w:numId w:val="1"/>
        </w:numPr>
        <w:bidi/>
        <w:spacing w:after="70"/>
        <w:jc w:val="right"/>
      </w:pPr>
      <w:r>
        <w:rPr>
          <w:sz w:val="22"/>
          <w:szCs w:val="22"/>
          <w:rtl/>
        </w:rPr>
        <w:t xml:space="preserve">2. الناس ستجيب على الاستبيان.</w:t>
      </w:r>
    </w:p>
    <w:p>
      <w:pPr>
        <w:pStyle w:val="ListParagraph"/>
        <w:numPr>
          <w:ilvl w:val="0"/>
          <w:numId w:val="1"/>
        </w:numPr>
        <w:bidi/>
        <w:spacing w:after="70"/>
        <w:jc w:val="right"/>
      </w:pPr>
      <w:r>
        <w:rPr>
          <w:sz w:val="22"/>
          <w:szCs w:val="22"/>
          <w:rtl/>
        </w:rPr>
        <w:t xml:space="preserve">3. الشركات ستدفع مقابل البيانات.</w:t>
      </w:r>
    </w:p>
    <w:p>
      <w:pPr>
        <w:pStyle w:val="ListParagraph"/>
        <w:numPr>
          <w:ilvl w:val="0"/>
          <w:numId w:val="1"/>
        </w:numPr>
        <w:bidi/>
        <w:spacing w:after="70"/>
        <w:jc w:val="right"/>
      </w:pPr>
      <w:r>
        <w:rPr>
          <w:sz w:val="22"/>
          <w:szCs w:val="22"/>
          <w:rtl/>
        </w:rPr>
        <w:t xml:space="preserve">4. البيانات أفضل من أبحاث السوق التقليدية.</w:t>
      </w:r>
    </w:p>
    <w:p>
      <w:pPr>
        <w:pStyle w:val="ListParagraph"/>
        <w:numPr>
          <w:ilvl w:val="0"/>
          <w:numId w:val="1"/>
        </w:numPr>
        <w:bidi/>
        <w:spacing w:after="70"/>
        <w:jc w:val="right"/>
      </w:pPr>
      <w:r>
        <w:rPr>
          <w:sz w:val="22"/>
          <w:szCs w:val="22"/>
          <w:rtl/>
        </w:rPr>
        <w:t xml:space="preserve">5. تكلفة توزيع العينة أقل من قيمة البيانات الناتجة.</w:t>
      </w:r>
    </w:p>
    <w:p>
      <w:pPr>
        <w:bidi/>
        <w:spacing w:after="140" w:line="300"/>
        <w:jc w:val="right"/>
      </w:pPr>
      <w:r>
        <w:rPr>
          <w:i/>
          <w:iCs/>
          <w:sz w:val="22"/>
          <w:szCs w:val="22"/>
          <w:rtl/>
        </w:rPr>
        <w:t xml:space="preserve">إذا سقط أي افتراض منها، يتأثر النموذج بشكل كبير.</w:t>
      </w:r>
    </w:p>
    <w:p>
      <w:pPr>
        <w:pStyle w:val="Heading3"/>
        <w:spacing w:after="100" w:before="200"/>
      </w:pPr>
      <w:r>
        <w:rPr>
          <w:b/>
          <w:bCs/>
          <w:color w:val="374151"/>
          <w:sz w:val="21"/>
          <w:szCs w:val="21"/>
        </w:rPr>
        <w:t xml:space="preserve">Business Model Canvas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Block</w:t>
            </w:r>
          </w:p>
        </w:tc>
        <w:tc>
          <w:tcPr>
            <w:tcW w:type="dxa" w:w="6750"/>
            <w:shd w:fill="1F2A44" w:val="clear"/>
            <w:tcMar>
              <w:top w:type="dxa" w:w="100"/>
              <w:left w:type="dxa" w:w="120"/>
              <w:bottom w:type="dxa" w:w="100"/>
              <w:right w:type="dxa" w:w="120"/>
            </w:tcMar>
            <w:vAlign w:val="center"/>
          </w:tcPr>
          <w:p>
            <w:r>
              <w:rPr>
                <w:b/>
                <w:bCs/>
                <w:color w:val="FFFFFF"/>
                <w:sz w:val="19"/>
                <w:szCs w:val="19"/>
              </w:rPr>
              <w:t xml:space="preserve">Detail</w:t>
            </w:r>
          </w:p>
        </w:tc>
      </w:tr>
      <w:tr>
        <w:tc>
          <w:tcPr>
            <w:tcW w:type="dxa" w:w="2600"/>
            <w:shd w:fill="FFFFFF" w:val="clear"/>
            <w:tcMar>
              <w:top w:type="dxa" w:w="90"/>
              <w:left w:type="dxa" w:w="120"/>
              <w:bottom w:type="dxa" w:w="90"/>
              <w:right w:type="dxa" w:w="120"/>
            </w:tcMar>
            <w:vAlign w:val="center"/>
          </w:tcPr>
          <w:p>
            <w:r>
              <w:rPr>
                <w:sz w:val="19"/>
                <w:szCs w:val="19"/>
              </w:rPr>
              <w:t xml:space="preserve">Customers (B2B)</w:t>
            </w:r>
          </w:p>
        </w:tc>
        <w:tc>
          <w:tcPr>
            <w:tcW w:type="dxa" w:w="6750"/>
            <w:shd w:fill="FFFFFF" w:val="clear"/>
            <w:tcMar>
              <w:top w:type="dxa" w:w="90"/>
              <w:left w:type="dxa" w:w="120"/>
              <w:bottom w:type="dxa" w:w="90"/>
              <w:right w:type="dxa" w:w="120"/>
            </w:tcMar>
            <w:vAlign w:val="center"/>
          </w:tcPr>
          <w:p>
            <w:r>
              <w:rPr>
                <w:sz w:val="19"/>
                <w:szCs w:val="19"/>
              </w:rPr>
              <w:t xml:space="preserve">FMCG, Cosmetics, Pharma, Retail, Food, Beverage</w:t>
            </w:r>
          </w:p>
        </w:tc>
      </w:tr>
      <w:tr>
        <w:tc>
          <w:tcPr>
            <w:tcW w:type="dxa" w:w="2600"/>
            <w:shd w:fill="F2F2F2" w:val="clear"/>
            <w:tcMar>
              <w:top w:type="dxa" w:w="90"/>
              <w:left w:type="dxa" w:w="120"/>
              <w:bottom w:type="dxa" w:w="90"/>
              <w:right w:type="dxa" w:w="120"/>
            </w:tcMar>
            <w:vAlign w:val="center"/>
          </w:tcPr>
          <w:p>
            <w:r>
              <w:rPr>
                <w:sz w:val="19"/>
                <w:szCs w:val="19"/>
              </w:rPr>
              <w:t xml:space="preserve">Customers (B2C)</w:t>
            </w:r>
          </w:p>
        </w:tc>
        <w:tc>
          <w:tcPr>
            <w:tcW w:type="dxa" w:w="6750"/>
            <w:shd w:fill="F2F2F2" w:val="clear"/>
            <w:tcMar>
              <w:top w:type="dxa" w:w="90"/>
              <w:left w:type="dxa" w:w="120"/>
              <w:bottom w:type="dxa" w:w="90"/>
              <w:right w:type="dxa" w:w="120"/>
            </w:tcMar>
            <w:vAlign w:val="center"/>
          </w:tcPr>
          <w:p>
            <w:r>
              <w:rPr>
                <w:sz w:val="19"/>
                <w:szCs w:val="19"/>
              </w:rPr>
              <w:t xml:space="preserve">المستهلك (end consumer)</w:t>
            </w:r>
          </w:p>
        </w:tc>
      </w:tr>
      <w:tr>
        <w:tc>
          <w:tcPr>
            <w:tcW w:type="dxa" w:w="2600"/>
            <w:shd w:fill="FFFFFF" w:val="clear"/>
            <w:tcMar>
              <w:top w:type="dxa" w:w="90"/>
              <w:left w:type="dxa" w:w="120"/>
              <w:bottom w:type="dxa" w:w="90"/>
              <w:right w:type="dxa" w:w="120"/>
            </w:tcMar>
            <w:vAlign w:val="center"/>
          </w:tcPr>
          <w:p>
            <w:r>
              <w:rPr>
                <w:sz w:val="19"/>
                <w:szCs w:val="19"/>
              </w:rPr>
              <w:t xml:space="preserve">Value Prop — Brands</w:t>
            </w:r>
          </w:p>
        </w:tc>
        <w:tc>
          <w:tcPr>
            <w:tcW w:type="dxa" w:w="6750"/>
            <w:shd w:fill="FFFFFF" w:val="clear"/>
            <w:tcMar>
              <w:top w:type="dxa" w:w="90"/>
              <w:left w:type="dxa" w:w="120"/>
              <w:bottom w:type="dxa" w:w="90"/>
              <w:right w:type="dxa" w:w="120"/>
            </w:tcMar>
            <w:vAlign w:val="center"/>
          </w:tcPr>
          <w:p>
            <w:r>
              <w:rPr>
                <w:sz w:val="19"/>
                <w:szCs w:val="19"/>
              </w:rPr>
              <w:t xml:space="preserve">Sampling قابل للقياس، Feedback سريع، بيانات دقيقة، ROI واضح</w:t>
            </w:r>
          </w:p>
        </w:tc>
      </w:tr>
      <w:tr>
        <w:tc>
          <w:tcPr>
            <w:tcW w:type="dxa" w:w="2600"/>
            <w:shd w:fill="F2F2F2" w:val="clear"/>
            <w:tcMar>
              <w:top w:type="dxa" w:w="90"/>
              <w:left w:type="dxa" w:w="120"/>
              <w:bottom w:type="dxa" w:w="90"/>
              <w:right w:type="dxa" w:w="120"/>
            </w:tcMar>
            <w:vAlign w:val="center"/>
          </w:tcPr>
          <w:p>
            <w:r>
              <w:rPr>
                <w:sz w:val="19"/>
                <w:szCs w:val="19"/>
              </w:rPr>
              <w:t xml:space="preserve">Value Prop — Consumers</w:t>
            </w:r>
          </w:p>
        </w:tc>
        <w:tc>
          <w:tcPr>
            <w:tcW w:type="dxa" w:w="6750"/>
            <w:shd w:fill="F2F2F2" w:val="clear"/>
            <w:tcMar>
              <w:top w:type="dxa" w:w="90"/>
              <w:left w:type="dxa" w:w="120"/>
              <w:bottom w:type="dxa" w:w="90"/>
              <w:right w:type="dxa" w:w="120"/>
            </w:tcMar>
            <w:vAlign w:val="center"/>
          </w:tcPr>
          <w:p>
            <w:r>
              <w:rPr>
                <w:sz w:val="19"/>
                <w:szCs w:val="19"/>
              </w:rPr>
              <w:t xml:space="preserve">منتجات مجانية، تجارب جديدة، عروض</w:t>
            </w:r>
          </w:p>
        </w:tc>
      </w:tr>
      <w:tr>
        <w:tc>
          <w:tcPr>
            <w:tcW w:type="dxa" w:w="2600"/>
            <w:shd w:fill="FFFFFF" w:val="clear"/>
            <w:tcMar>
              <w:top w:type="dxa" w:w="90"/>
              <w:left w:type="dxa" w:w="120"/>
              <w:bottom w:type="dxa" w:w="90"/>
              <w:right w:type="dxa" w:w="120"/>
            </w:tcMar>
            <w:vAlign w:val="center"/>
          </w:tcPr>
          <w:p>
            <w:r>
              <w:rPr>
                <w:sz w:val="19"/>
                <w:szCs w:val="19"/>
              </w:rPr>
              <w:t xml:space="preserve">Revenue</w:t>
            </w:r>
          </w:p>
        </w:tc>
        <w:tc>
          <w:tcPr>
            <w:tcW w:type="dxa" w:w="6750"/>
            <w:shd w:fill="FFFFFF" w:val="clear"/>
            <w:tcMar>
              <w:top w:type="dxa" w:w="90"/>
              <w:left w:type="dxa" w:w="120"/>
              <w:bottom w:type="dxa" w:w="90"/>
              <w:right w:type="dxa" w:w="120"/>
            </w:tcMar>
            <w:vAlign w:val="center"/>
          </w:tcPr>
          <w:p>
            <w:r>
              <w:rPr>
                <w:sz w:val="19"/>
                <w:szCs w:val="19"/>
              </w:rPr>
              <w:t xml:space="preserve">Campaign Fee, Sampling Fee, Consumer Insights Reports, Dashboard Subscription, Premium Analytics, Retail Activation</w:t>
            </w:r>
          </w:p>
        </w:tc>
      </w:tr>
      <w:tr>
        <w:tc>
          <w:tcPr>
            <w:tcW w:type="dxa" w:w="2600"/>
            <w:shd w:fill="F2F2F2" w:val="clear"/>
            <w:tcMar>
              <w:top w:type="dxa" w:w="90"/>
              <w:left w:type="dxa" w:w="120"/>
              <w:bottom w:type="dxa" w:w="90"/>
              <w:right w:type="dxa" w:w="120"/>
            </w:tcMar>
            <w:vAlign w:val="center"/>
          </w:tcPr>
          <w:p>
            <w:r>
              <w:rPr>
                <w:sz w:val="19"/>
                <w:szCs w:val="19"/>
              </w:rPr>
              <w:t xml:space="preserve">Costs</w:t>
            </w:r>
          </w:p>
        </w:tc>
        <w:tc>
          <w:tcPr>
            <w:tcW w:type="dxa" w:w="6750"/>
            <w:shd w:fill="F2F2F2" w:val="clear"/>
            <w:tcMar>
              <w:top w:type="dxa" w:w="90"/>
              <w:left w:type="dxa" w:w="120"/>
              <w:bottom w:type="dxa" w:w="90"/>
              <w:right w:type="dxa" w:w="120"/>
            </w:tcMar>
            <w:vAlign w:val="center"/>
          </w:tcPr>
          <w:p>
            <w:r>
              <w:rPr>
                <w:sz w:val="19"/>
                <w:szCs w:val="19"/>
              </w:rPr>
              <w:t xml:space="preserve">Logistics, App, Warehouses, Sampling Staff, Marketing, Analytics</w:t>
            </w:r>
          </w:p>
        </w:tc>
      </w:tr>
    </w:tbl>
    <w:p>
      <w:r>
        <w:br w:type="page"/>
      </w:r>
    </w:p>
    <w:p>
      <w:pPr>
        <w:pStyle w:val="Heading2"/>
        <w:spacing w:after="140" w:before="280"/>
      </w:pPr>
      <w:r>
        <w:rPr>
          <w:b/>
          <w:bCs/>
          <w:color w:val="1F2A44"/>
          <w:sz w:val="24"/>
          <w:szCs w:val="24"/>
        </w:rPr>
        <w:t xml:space="preserve">PHASE 2 — Company Research</w:t>
      </w:r>
    </w:p>
    <w:p>
      <w:pPr>
        <w:bidi/>
        <w:spacing w:after="140" w:line="300"/>
        <w:jc w:val="right"/>
      </w:pPr>
      <w:r>
        <w:rPr>
          <w:sz w:val="22"/>
          <w:szCs w:val="22"/>
          <w:rtl/>
        </w:rPr>
        <w:t xml:space="preserve">بناءً على البحث، الشركة هي Samplia (إسبانيا).</w:t>
      </w:r>
    </w:p>
    <w:p>
      <w:pPr>
        <w:pStyle w:val="Heading3"/>
        <w:spacing w:after="100" w:before="200"/>
      </w:pPr>
      <w:r>
        <w:rPr>
          <w:b/>
          <w:bCs/>
          <w:color w:val="374151"/>
          <w:sz w:val="21"/>
          <w:szCs w:val="21"/>
        </w:rPr>
        <w:t xml:space="preserve">Facts</w:t>
      </w:r>
    </w:p>
    <w:p>
      <w:pPr>
        <w:bidi/>
        <w:spacing w:after="140" w:line="300"/>
        <w:jc w:val="right"/>
      </w:pPr>
      <w:r>
        <w:rPr>
          <w:sz w:val="22"/>
          <w:szCs w:val="22"/>
          <w:rtl/>
        </w:rPr>
        <w:t xml:space="preserve">تأسست عام 2018 وفق الموقع الحالي.</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bidi/>
              <w:spacing w:after="100"/>
              <w:jc w:val="right"/>
            </w:pPr>
            <w:r>
              <w:rPr>
                <w:b/>
                <w:bCs/>
                <w:color w:val="D68910"/>
                <w:sz w:val="23"/>
                <w:szCs w:val="23"/>
                <w:rtl/>
              </w:rPr>
              <w:t xml:space="preserve">ملاحظة</w:t>
            </w:r>
          </w:p>
          <w:p>
            <w:pPr>
              <w:bidi/>
              <w:spacing w:after="60"/>
              <w:jc w:val="right"/>
            </w:pPr>
            <w:r>
              <w:rPr>
                <w:sz w:val="21"/>
                <w:szCs w:val="21"/>
                <w:rtl/>
              </w:rPr>
              <w:t xml:space="preserve">• الفيديو يذكر أن الفكرة موجودة منذ نحو عشر سنوات، وهذا لا يتطابق بالكامل مع تاريخ التأسيس المنشور. قد يكون المقصود أن النموذج بدأ قبل إعادة إطلاق العلامة الحالية أو أن الراوي استخدم تقديرًا تقريبيًا. لا يمكن الجزم دون مصادر إضافية.</w:t>
            </w:r>
          </w:p>
        </w:tc>
      </w:tr>
    </w:tbl>
    <w:p>
      <w:pPr>
        <w:pStyle w:val="Heading3"/>
        <w:spacing w:after="100" w:before="200"/>
      </w:pPr>
      <w:r>
        <w:rPr>
          <w:b/>
          <w:bCs/>
          <w:color w:val="374151"/>
          <w:sz w:val="21"/>
          <w:szCs w:val="21"/>
        </w:rPr>
        <w:t xml:space="preserve">Scale (بحسب الشركة)</w:t>
      </w:r>
    </w:p>
    <w:p>
      <w:pPr>
        <w:pStyle w:val="ListParagraph"/>
        <w:numPr>
          <w:ilvl w:val="0"/>
          <w:numId w:val="1"/>
        </w:numPr>
        <w:bidi/>
        <w:spacing w:after="70"/>
        <w:jc w:val="right"/>
      </w:pPr>
      <w:r>
        <w:rPr>
          <w:sz w:val="22"/>
          <w:szCs w:val="22"/>
          <w:rtl/>
        </w:rPr>
        <w:t xml:space="preserve">أكثر من 50 مليون عينة تم توزيعها.</w:t>
      </w:r>
    </w:p>
    <w:p>
      <w:pPr>
        <w:pStyle w:val="ListParagraph"/>
        <w:numPr>
          <w:ilvl w:val="0"/>
          <w:numId w:val="1"/>
        </w:numPr>
        <w:bidi/>
        <w:spacing w:after="70"/>
        <w:jc w:val="right"/>
      </w:pPr>
      <w:r>
        <w:rPr>
          <w:sz w:val="22"/>
          <w:szCs w:val="22"/>
          <w:rtl/>
        </w:rPr>
        <w:t xml:space="preserve">أكثر من 400 علامة تجارية.</w:t>
      </w:r>
    </w:p>
    <w:p>
      <w:pPr>
        <w:pStyle w:val="ListParagraph"/>
        <w:numPr>
          <w:ilvl w:val="0"/>
          <w:numId w:val="1"/>
        </w:numPr>
        <w:bidi/>
        <w:spacing w:after="70"/>
        <w:jc w:val="right"/>
      </w:pPr>
      <w:r>
        <w:rPr>
          <w:sz w:val="22"/>
          <w:szCs w:val="22"/>
          <w:rtl/>
        </w:rPr>
        <w:t xml:space="preserve">أكثر من 3,000 حملة.</w:t>
      </w:r>
    </w:p>
    <w:p>
      <w:pPr>
        <w:pStyle w:val="ListParagraph"/>
        <w:numPr>
          <w:ilvl w:val="0"/>
          <w:numId w:val="1"/>
        </w:numPr>
        <w:bidi/>
        <w:spacing w:after="70"/>
        <w:jc w:val="right"/>
      </w:pPr>
      <w:r>
        <w:rPr>
          <w:sz w:val="22"/>
          <w:szCs w:val="22"/>
          <w:rtl/>
        </w:rPr>
        <w:t xml:space="preserve">أكثر من 2 مليون مستخدم للتطبيق.</w:t>
      </w:r>
    </w:p>
    <w:p>
      <w:pPr>
        <w:pStyle w:val="ListParagraph"/>
        <w:numPr>
          <w:ilvl w:val="0"/>
          <w:numId w:val="1"/>
        </w:numPr>
        <w:bidi/>
        <w:spacing w:after="70"/>
        <w:jc w:val="right"/>
      </w:pPr>
      <w:r>
        <w:rPr>
          <w:sz w:val="22"/>
          <w:szCs w:val="22"/>
          <w:rtl/>
        </w:rPr>
        <w:t xml:space="preserve">معدل استجابة للاستبيانات يقارب 87%.</w:t>
      </w:r>
    </w:p>
    <w:p>
      <w:pPr>
        <w:pStyle w:val="Heading3"/>
        <w:spacing w:after="100" w:before="200"/>
      </w:pPr>
      <w:r>
        <w:rPr>
          <w:b/>
          <w:bCs/>
          <w:color w:val="374151"/>
          <w:sz w:val="21"/>
          <w:szCs w:val="21"/>
        </w:rPr>
        <w:t xml:space="preserve">منتجات الشركة</w:t>
      </w:r>
    </w:p>
    <w:p>
      <w:pPr>
        <w:bidi/>
        <w:spacing w:after="140" w:line="300"/>
        <w:jc w:val="right"/>
      </w:pPr>
      <w:r>
        <w:rPr>
          <w:sz w:val="22"/>
          <w:szCs w:val="22"/>
          <w:rtl/>
        </w:rPr>
        <w:t xml:space="preserve">ليست مجرد App. تشمل:</w:t>
      </w:r>
    </w:p>
    <w:p>
      <w:pPr>
        <w:pStyle w:val="ListParagraph"/>
        <w:numPr>
          <w:ilvl w:val="0"/>
          <w:numId w:val="1"/>
        </w:numPr>
        <w:spacing w:after="70"/>
      </w:pPr>
      <w:r>
        <w:rPr>
          <w:sz w:val="21"/>
          <w:szCs w:val="21"/>
        </w:rPr>
        <w:t xml:space="preserve">Smart Sampling Machines</w:t>
      </w:r>
    </w:p>
    <w:p>
      <w:pPr>
        <w:pStyle w:val="ListParagraph"/>
        <w:numPr>
          <w:ilvl w:val="0"/>
          <w:numId w:val="1"/>
        </w:numPr>
        <w:spacing w:after="70"/>
      </w:pPr>
      <w:r>
        <w:rPr>
          <w:sz w:val="21"/>
          <w:szCs w:val="21"/>
        </w:rPr>
        <w:t xml:space="preserve">Pop-up Activations</w:t>
      </w:r>
    </w:p>
    <w:p>
      <w:pPr>
        <w:pStyle w:val="ListParagraph"/>
        <w:numPr>
          <w:ilvl w:val="0"/>
          <w:numId w:val="1"/>
        </w:numPr>
        <w:spacing w:after="70"/>
      </w:pPr>
      <w:r>
        <w:rPr>
          <w:sz w:val="21"/>
          <w:szCs w:val="21"/>
        </w:rPr>
        <w:t xml:space="preserve">Retail Sampling</w:t>
      </w:r>
    </w:p>
    <w:p>
      <w:pPr>
        <w:pStyle w:val="ListParagraph"/>
        <w:numPr>
          <w:ilvl w:val="0"/>
          <w:numId w:val="1"/>
        </w:numPr>
        <w:spacing w:after="70"/>
      </w:pPr>
      <w:r>
        <w:rPr>
          <w:sz w:val="21"/>
          <w:szCs w:val="21"/>
        </w:rPr>
        <w:t xml:space="preserve">Consumer Insights</w:t>
      </w:r>
    </w:p>
    <w:p>
      <w:pPr>
        <w:pStyle w:val="ListParagraph"/>
        <w:numPr>
          <w:ilvl w:val="0"/>
          <w:numId w:val="1"/>
        </w:numPr>
        <w:spacing w:after="70"/>
      </w:pPr>
      <w:r>
        <w:rPr>
          <w:sz w:val="21"/>
          <w:szCs w:val="21"/>
        </w:rPr>
        <w:t xml:space="preserve">Market Research</w:t>
      </w:r>
    </w:p>
    <w:p>
      <w:pPr>
        <w:pStyle w:val="ListParagraph"/>
        <w:numPr>
          <w:ilvl w:val="0"/>
          <w:numId w:val="1"/>
        </w:numPr>
        <w:spacing w:after="70"/>
      </w:pPr>
      <w:r>
        <w:rPr>
          <w:sz w:val="21"/>
          <w:szCs w:val="21"/>
        </w:rPr>
        <w:t xml:space="preserve">Brand Activations</w:t>
      </w:r>
    </w:p>
    <w:p>
      <w:pPr>
        <w:pStyle w:val="Heading3"/>
        <w:spacing w:after="100" w:before="200"/>
      </w:pPr>
      <w:r>
        <w:rPr>
          <w:b/>
          <w:bCs/>
          <w:color w:val="374151"/>
          <w:sz w:val="21"/>
          <w:szCs w:val="21"/>
        </w:rPr>
        <w:t xml:space="preserve">التكنولوجيا</w:t>
      </w:r>
    </w:p>
    <w:p>
      <w:pPr>
        <w:pStyle w:val="ListParagraph"/>
        <w:numPr>
          <w:ilvl w:val="0"/>
          <w:numId w:val="1"/>
        </w:numPr>
        <w:spacing w:after="70"/>
      </w:pPr>
      <w:r>
        <w:rPr>
          <w:sz w:val="21"/>
          <w:szCs w:val="21"/>
        </w:rPr>
        <w:t xml:space="preserve">Mobile App</w:t>
      </w:r>
    </w:p>
    <w:p>
      <w:pPr>
        <w:pStyle w:val="ListParagraph"/>
        <w:numPr>
          <w:ilvl w:val="0"/>
          <w:numId w:val="1"/>
        </w:numPr>
        <w:spacing w:after="70"/>
      </w:pPr>
      <w:r>
        <w:rPr>
          <w:sz w:val="21"/>
          <w:szCs w:val="21"/>
        </w:rPr>
        <w:t xml:space="preserve">Geo-location</w:t>
      </w:r>
    </w:p>
    <w:p>
      <w:pPr>
        <w:pStyle w:val="ListParagraph"/>
        <w:numPr>
          <w:ilvl w:val="0"/>
          <w:numId w:val="1"/>
        </w:numPr>
        <w:spacing w:after="70"/>
      </w:pPr>
      <w:r>
        <w:rPr>
          <w:sz w:val="21"/>
          <w:szCs w:val="21"/>
        </w:rPr>
        <w:t xml:space="preserve">QR</w:t>
      </w:r>
    </w:p>
    <w:p>
      <w:pPr>
        <w:pStyle w:val="ListParagraph"/>
        <w:numPr>
          <w:ilvl w:val="0"/>
          <w:numId w:val="1"/>
        </w:numPr>
        <w:spacing w:after="70"/>
      </w:pPr>
      <w:r>
        <w:rPr>
          <w:sz w:val="21"/>
          <w:szCs w:val="21"/>
        </w:rPr>
        <w:t xml:space="preserve">Smart Vending Machines</w:t>
      </w:r>
    </w:p>
    <w:p>
      <w:pPr>
        <w:pStyle w:val="ListParagraph"/>
        <w:numPr>
          <w:ilvl w:val="0"/>
          <w:numId w:val="1"/>
        </w:numPr>
        <w:spacing w:after="70"/>
      </w:pPr>
      <w:r>
        <w:rPr>
          <w:sz w:val="21"/>
          <w:szCs w:val="21"/>
        </w:rPr>
        <w:t xml:space="preserve">Consumer Database</w:t>
      </w:r>
    </w:p>
    <w:p>
      <w:pPr>
        <w:pStyle w:val="ListParagraph"/>
        <w:numPr>
          <w:ilvl w:val="0"/>
          <w:numId w:val="1"/>
        </w:numPr>
        <w:spacing w:after="70"/>
      </w:pPr>
      <w:r>
        <w:rPr>
          <w:sz w:val="21"/>
          <w:szCs w:val="21"/>
        </w:rPr>
        <w:t xml:space="preserve">Analytics</w:t>
      </w:r>
    </w:p>
    <w:p>
      <w:pPr>
        <w:pStyle w:val="ListParagraph"/>
        <w:numPr>
          <w:ilvl w:val="0"/>
          <w:numId w:val="1"/>
        </w:numPr>
        <w:spacing w:after="70"/>
      </w:pPr>
      <w:r>
        <w:rPr>
          <w:sz w:val="21"/>
          <w:szCs w:val="21"/>
        </w:rPr>
        <w:t xml:space="preserve">Surveys</w:t>
      </w:r>
    </w:p>
    <w:p>
      <w:pPr>
        <w:pStyle w:val="Heading3"/>
        <w:spacing w:after="100" w:before="200"/>
      </w:pPr>
      <w:r>
        <w:rPr>
          <w:b/>
          <w:bCs/>
          <w:color w:val="374151"/>
          <w:sz w:val="21"/>
          <w:szCs w:val="21"/>
        </w:rPr>
        <w:t xml:space="preserve">لماذا نجحت؟</w:t>
      </w:r>
    </w:p>
    <w:p>
      <w:pPr>
        <w:pStyle w:val="ListParagraph"/>
        <w:numPr>
          <w:ilvl w:val="0"/>
          <w:numId w:val="1"/>
        </w:numPr>
        <w:bidi/>
        <w:spacing w:after="70"/>
        <w:jc w:val="right"/>
      </w:pPr>
      <w:r>
        <w:rPr>
          <w:sz w:val="22"/>
          <w:szCs w:val="22"/>
          <w:rtl/>
        </w:rPr>
        <w:t xml:space="preserve">1. البيانات أهم من العينة.</w:t>
      </w:r>
    </w:p>
    <w:p>
      <w:pPr>
        <w:pStyle w:val="ListParagraph"/>
        <w:numPr>
          <w:ilvl w:val="0"/>
          <w:numId w:val="1"/>
        </w:numPr>
        <w:bidi/>
        <w:spacing w:after="70"/>
        <w:jc w:val="right"/>
      </w:pPr>
      <w:r>
        <w:rPr>
          <w:sz w:val="22"/>
          <w:szCs w:val="22"/>
          <w:rtl/>
        </w:rPr>
        <w:t xml:space="preserve">2. بنية تقنية خاصة.</w:t>
      </w:r>
    </w:p>
    <w:p>
      <w:pPr>
        <w:pStyle w:val="ListParagraph"/>
        <w:numPr>
          <w:ilvl w:val="0"/>
          <w:numId w:val="1"/>
        </w:numPr>
        <w:bidi/>
        <w:spacing w:after="70"/>
        <w:jc w:val="right"/>
      </w:pPr>
      <w:r>
        <w:rPr>
          <w:sz w:val="22"/>
          <w:szCs w:val="22"/>
          <w:rtl/>
        </w:rPr>
        <w:t xml:space="preserve">3. شبكة توزيع فعلية.</w:t>
      </w:r>
    </w:p>
    <w:p>
      <w:pPr>
        <w:pStyle w:val="ListParagraph"/>
        <w:numPr>
          <w:ilvl w:val="0"/>
          <w:numId w:val="1"/>
        </w:numPr>
        <w:bidi/>
        <w:spacing w:after="70"/>
        <w:jc w:val="right"/>
      </w:pPr>
      <w:r>
        <w:rPr>
          <w:sz w:val="22"/>
          <w:szCs w:val="22"/>
          <w:rtl/>
        </w:rPr>
        <w:t xml:space="preserve">4. مجتمع مستخدمين كبير.</w:t>
      </w:r>
    </w:p>
    <w:p>
      <w:pPr>
        <w:pStyle w:val="ListParagraph"/>
        <w:numPr>
          <w:ilvl w:val="0"/>
          <w:numId w:val="1"/>
        </w:numPr>
        <w:bidi/>
        <w:spacing w:after="70"/>
        <w:jc w:val="right"/>
      </w:pPr>
      <w:r>
        <w:rPr>
          <w:sz w:val="22"/>
          <w:szCs w:val="22"/>
          <w:rtl/>
        </w:rPr>
        <w:t xml:space="preserve">5. عملاء كبار ومتكررون.</w:t>
      </w:r>
    </w:p>
    <w:p>
      <w:pPr>
        <w:pStyle w:val="Heading3"/>
        <w:spacing w:after="100" w:before="200"/>
      </w:pPr>
      <w:r>
        <w:rPr>
          <w:b/>
          <w:bCs/>
          <w:color w:val="374151"/>
          <w:sz w:val="21"/>
          <w:szCs w:val="21"/>
        </w:rPr>
        <w:t xml:space="preserve">نقاط القوة</w:t>
      </w:r>
    </w:p>
    <w:p>
      <w:pPr>
        <w:pStyle w:val="ListParagraph"/>
        <w:numPr>
          <w:ilvl w:val="0"/>
          <w:numId w:val="1"/>
        </w:numPr>
        <w:bidi/>
        <w:spacing w:after="70"/>
        <w:jc w:val="right"/>
      </w:pPr>
      <w:r>
        <w:rPr>
          <w:sz w:val="22"/>
          <w:szCs w:val="22"/>
          <w:rtl/>
        </w:rPr>
        <w:t xml:space="preserve">تأثير الشبكة (Network Effect): كلما زاد عدد المستخدمين زادت قيمة المنصة للعلامات التجارية.</w:t>
      </w:r>
    </w:p>
    <w:p>
      <w:pPr>
        <w:pStyle w:val="ListParagraph"/>
        <w:numPr>
          <w:ilvl w:val="0"/>
          <w:numId w:val="1"/>
        </w:numPr>
        <w:bidi/>
        <w:spacing w:after="70"/>
        <w:jc w:val="right"/>
      </w:pPr>
      <w:r>
        <w:rPr>
          <w:sz w:val="22"/>
          <w:szCs w:val="22"/>
          <w:rtl/>
        </w:rPr>
        <w:t xml:space="preserve">بيانات استهلاكية يصعب تقليدها.</w:t>
      </w:r>
    </w:p>
    <w:p>
      <w:pPr>
        <w:pStyle w:val="ListParagraph"/>
        <w:numPr>
          <w:ilvl w:val="0"/>
          <w:numId w:val="1"/>
        </w:numPr>
        <w:bidi/>
        <w:spacing w:after="70"/>
        <w:jc w:val="right"/>
      </w:pPr>
      <w:r>
        <w:rPr>
          <w:sz w:val="22"/>
          <w:szCs w:val="22"/>
          <w:rtl/>
        </w:rPr>
        <w:t xml:space="preserve">تكلفة انتقال مرتفعة للعلامات بعد بناء الحملات والبيانات.</w:t>
      </w:r>
    </w:p>
    <w:p>
      <w:pPr>
        <w:pStyle w:val="ListParagraph"/>
        <w:numPr>
          <w:ilvl w:val="0"/>
          <w:numId w:val="1"/>
        </w:numPr>
        <w:bidi/>
        <w:spacing w:after="70"/>
        <w:jc w:val="right"/>
      </w:pPr>
      <w:r>
        <w:rPr>
          <w:sz w:val="22"/>
          <w:szCs w:val="22"/>
          <w:rtl/>
        </w:rPr>
        <w:t xml:space="preserve">خدمة تجمع بين التكنولوجيا والتشغيل الميداني.</w:t>
      </w:r>
    </w:p>
    <w:p>
      <w:pPr>
        <w:pStyle w:val="Heading3"/>
        <w:spacing w:after="100" w:before="200"/>
      </w:pPr>
      <w:r>
        <w:rPr>
          <w:b/>
          <w:bCs/>
          <w:color w:val="374151"/>
          <w:sz w:val="21"/>
          <w:szCs w:val="21"/>
        </w:rPr>
        <w:t xml:space="preserve">نقاط الضعف</w:t>
      </w:r>
    </w:p>
    <w:p>
      <w:pPr>
        <w:pStyle w:val="ListParagraph"/>
        <w:numPr>
          <w:ilvl w:val="0"/>
          <w:numId w:val="1"/>
        </w:numPr>
        <w:bidi/>
        <w:spacing w:after="70"/>
        <w:jc w:val="right"/>
      </w:pPr>
      <w:r>
        <w:rPr>
          <w:sz w:val="22"/>
          <w:szCs w:val="22"/>
          <w:rtl/>
        </w:rPr>
        <w:t xml:space="preserve">تشغيل لوجستي مكلف.</w:t>
      </w:r>
    </w:p>
    <w:p>
      <w:pPr>
        <w:pStyle w:val="ListParagraph"/>
        <w:numPr>
          <w:ilvl w:val="0"/>
          <w:numId w:val="1"/>
        </w:numPr>
        <w:bidi/>
        <w:spacing w:after="70"/>
        <w:jc w:val="right"/>
      </w:pPr>
      <w:r>
        <w:rPr>
          <w:sz w:val="22"/>
          <w:szCs w:val="22"/>
          <w:rtl/>
        </w:rPr>
        <w:t xml:space="preserve">الحاجة إلى كثافة مستخدمين عالية.</w:t>
      </w:r>
    </w:p>
    <w:p>
      <w:pPr>
        <w:pStyle w:val="ListParagraph"/>
        <w:numPr>
          <w:ilvl w:val="0"/>
          <w:numId w:val="1"/>
        </w:numPr>
        <w:bidi/>
        <w:spacing w:after="70"/>
        <w:jc w:val="right"/>
      </w:pPr>
      <w:r>
        <w:rPr>
          <w:sz w:val="22"/>
          <w:szCs w:val="22"/>
          <w:rtl/>
        </w:rPr>
        <w:t xml:space="preserve">الاعتماد على استمرار إنفاق العلامات التجارية على التسويق.</w:t>
      </w:r>
    </w:p>
    <w:p>
      <w:pPr>
        <w:pStyle w:val="Heading3"/>
        <w:spacing w:after="100" w:before="200"/>
      </w:pPr>
      <w:r>
        <w:rPr>
          <w:b/>
          <w:bCs/>
          <w:color w:val="374151"/>
          <w:sz w:val="21"/>
          <w:szCs w:val="21"/>
        </w:rPr>
        <w:t xml:space="preserve">معلومات غير متاحة علنًا</w:t>
      </w:r>
    </w:p>
    <w:p>
      <w:pPr>
        <w:bidi/>
        <w:spacing w:after="140" w:line="300"/>
        <w:jc w:val="right"/>
      </w:pPr>
      <w:r>
        <w:rPr>
          <w:i/>
          <w:iCs/>
          <w:sz w:val="22"/>
          <w:szCs w:val="22"/>
          <w:rtl/>
        </w:rPr>
        <w:t xml:space="preserve">لم أجد معلومات موثقة عن: التمويل، المستثمرين، الإيرادات، التقييم، أسماء المؤسسين. ولذلك لن أفترضها.</w:t>
      </w:r>
    </w:p>
    <w:p>
      <w:r>
        <w:br w:type="page"/>
      </w:r>
    </w:p>
    <w:p>
      <w:pPr>
        <w:pStyle w:val="Heading2"/>
        <w:spacing w:after="140" w:before="280"/>
      </w:pPr>
      <w:r>
        <w:rPr>
          <w:b/>
          <w:bCs/>
          <w:color w:val="1F2A44"/>
          <w:sz w:val="24"/>
          <w:szCs w:val="24"/>
        </w:rPr>
        <w:t xml:space="preserve">PHASE 3 — Egypt Market Research</w:t>
      </w:r>
    </w:p>
    <w:p>
      <w:pPr>
        <w:bidi/>
        <w:spacing w:after="140" w:line="300"/>
        <w:jc w:val="right"/>
      </w:pPr>
      <w:r>
        <w:rPr>
          <w:sz w:val="22"/>
          <w:szCs w:val="22"/>
          <w:rtl/>
        </w:rPr>
        <w:t xml:space="preserve">السؤال: هل مصر مناسبة؟</w:t>
      </w:r>
    </w:p>
    <w:p>
      <w:pPr>
        <w:bidi/>
        <w:spacing w:after="140" w:line="300"/>
        <w:jc w:val="right"/>
      </w:pPr>
      <w:r>
        <w:rPr>
          <w:b/>
          <w:bCs/>
          <w:sz w:val="22"/>
          <w:szCs w:val="22"/>
          <w:rtl/>
        </w:rPr>
        <w:t xml:space="preserve">الإجابة الأولية: نعم، ولكن ليس بنفس النموذج الإسباني.</w:t>
      </w:r>
    </w:p>
    <w:p>
      <w:pPr>
        <w:pStyle w:val="Heading3"/>
        <w:spacing w:after="100" w:before="200"/>
      </w:pPr>
      <w:r>
        <w:rPr>
          <w:b/>
          <w:bCs/>
          <w:color w:val="374151"/>
          <w:sz w:val="21"/>
          <w:szCs w:val="21"/>
        </w:rPr>
        <w:t xml:space="preserve">السوق المستهدف</w:t>
      </w:r>
    </w:p>
    <w:p>
      <w:pPr>
        <w:bidi/>
        <w:spacing w:after="140" w:line="300"/>
        <w:jc w:val="right"/>
      </w:pPr>
      <w:r>
        <w:rPr>
          <w:sz w:val="22"/>
          <w:szCs w:val="22"/>
          <w:rtl/>
        </w:rPr>
        <w:t xml:space="preserve">بدلاً من كل الشركات — ابدأ بـ:</w:t>
      </w:r>
    </w:p>
    <w:p>
      <w:pPr>
        <w:pStyle w:val="ListParagraph"/>
        <w:numPr>
          <w:ilvl w:val="0"/>
          <w:numId w:val="1"/>
        </w:numPr>
        <w:spacing w:after="70"/>
      </w:pPr>
      <w:r>
        <w:rPr>
          <w:sz w:val="21"/>
          <w:szCs w:val="21"/>
        </w:rPr>
        <w:t xml:space="preserve">FMCG</w:t>
      </w:r>
    </w:p>
    <w:p>
      <w:pPr>
        <w:pStyle w:val="ListParagraph"/>
        <w:numPr>
          <w:ilvl w:val="0"/>
          <w:numId w:val="1"/>
        </w:numPr>
        <w:spacing w:after="70"/>
      </w:pPr>
      <w:r>
        <w:rPr>
          <w:sz w:val="21"/>
          <w:szCs w:val="21"/>
        </w:rPr>
        <w:t xml:space="preserve">Food</w:t>
      </w:r>
    </w:p>
    <w:p>
      <w:pPr>
        <w:pStyle w:val="ListParagraph"/>
        <w:numPr>
          <w:ilvl w:val="0"/>
          <w:numId w:val="1"/>
        </w:numPr>
        <w:spacing w:after="70"/>
      </w:pPr>
      <w:r>
        <w:rPr>
          <w:sz w:val="21"/>
          <w:szCs w:val="21"/>
        </w:rPr>
        <w:t xml:space="preserve">Cosmetics</w:t>
      </w:r>
    </w:p>
    <w:p>
      <w:pPr>
        <w:pStyle w:val="ListParagraph"/>
        <w:numPr>
          <w:ilvl w:val="0"/>
          <w:numId w:val="1"/>
        </w:numPr>
        <w:spacing w:after="70"/>
      </w:pPr>
      <w:r>
        <w:rPr>
          <w:sz w:val="21"/>
          <w:szCs w:val="21"/>
        </w:rPr>
        <w:t xml:space="preserve">Personal Care</w:t>
      </w:r>
    </w:p>
    <w:p>
      <w:pPr>
        <w:pStyle w:val="ListParagraph"/>
        <w:numPr>
          <w:ilvl w:val="0"/>
          <w:numId w:val="1"/>
        </w:numPr>
        <w:spacing w:after="70"/>
      </w:pPr>
      <w:r>
        <w:rPr>
          <w:sz w:val="21"/>
          <w:szCs w:val="21"/>
        </w:rPr>
        <w:t xml:space="preserve">Pharma OTC</w:t>
      </w:r>
    </w:p>
    <w:p>
      <w:pPr>
        <w:pStyle w:val="ListParagraph"/>
        <w:numPr>
          <w:ilvl w:val="0"/>
          <w:numId w:val="1"/>
        </w:numPr>
        <w:spacing w:after="70"/>
      </w:pPr>
      <w:r>
        <w:rPr>
          <w:sz w:val="21"/>
          <w:szCs w:val="21"/>
        </w:rPr>
        <w:t xml:space="preserve">Beverage</w:t>
      </w:r>
    </w:p>
    <w:p>
      <w:pPr>
        <w:pStyle w:val="Heading3"/>
        <w:spacing w:after="100" w:before="200"/>
      </w:pPr>
      <w:r>
        <w:rPr>
          <w:b/>
          <w:bCs/>
          <w:color w:val="374151"/>
          <w:sz w:val="21"/>
          <w:szCs w:val="21"/>
        </w:rPr>
        <w:t xml:space="preserve">العملاء المحتملون (أمثلة)</w:t>
      </w:r>
    </w:p>
    <w:p>
      <w:pPr>
        <w:pStyle w:val="ListParagraph"/>
        <w:numPr>
          <w:ilvl w:val="0"/>
          <w:numId w:val="1"/>
        </w:numPr>
        <w:spacing w:after="70"/>
      </w:pPr>
      <w:r>
        <w:rPr>
          <w:sz w:val="21"/>
          <w:szCs w:val="21"/>
        </w:rPr>
        <w:t xml:space="preserve">Unilever Egypt</w:t>
      </w:r>
    </w:p>
    <w:p>
      <w:pPr>
        <w:pStyle w:val="ListParagraph"/>
        <w:numPr>
          <w:ilvl w:val="0"/>
          <w:numId w:val="1"/>
        </w:numPr>
        <w:spacing w:after="70"/>
      </w:pPr>
      <w:r>
        <w:rPr>
          <w:sz w:val="21"/>
          <w:szCs w:val="21"/>
        </w:rPr>
        <w:t xml:space="preserve">P&amp;G Egypt</w:t>
      </w:r>
    </w:p>
    <w:p>
      <w:pPr>
        <w:pStyle w:val="ListParagraph"/>
        <w:numPr>
          <w:ilvl w:val="0"/>
          <w:numId w:val="1"/>
        </w:numPr>
        <w:spacing w:after="70"/>
      </w:pPr>
      <w:r>
        <w:rPr>
          <w:sz w:val="21"/>
          <w:szCs w:val="21"/>
        </w:rPr>
        <w:t xml:space="preserve">Nestlé Egypt</w:t>
      </w:r>
    </w:p>
    <w:p>
      <w:pPr>
        <w:pStyle w:val="ListParagraph"/>
        <w:numPr>
          <w:ilvl w:val="0"/>
          <w:numId w:val="1"/>
        </w:numPr>
        <w:spacing w:after="70"/>
      </w:pPr>
      <w:r>
        <w:rPr>
          <w:sz w:val="21"/>
          <w:szCs w:val="21"/>
        </w:rPr>
        <w:t xml:space="preserve">Coca-Cola Egypt</w:t>
      </w:r>
    </w:p>
    <w:p>
      <w:pPr>
        <w:pStyle w:val="ListParagraph"/>
        <w:numPr>
          <w:ilvl w:val="0"/>
          <w:numId w:val="1"/>
        </w:numPr>
        <w:spacing w:after="70"/>
      </w:pPr>
      <w:r>
        <w:rPr>
          <w:sz w:val="21"/>
          <w:szCs w:val="21"/>
        </w:rPr>
        <w:t xml:space="preserve">PepsiCo Egypt</w:t>
      </w:r>
    </w:p>
    <w:p>
      <w:pPr>
        <w:pStyle w:val="ListParagraph"/>
        <w:numPr>
          <w:ilvl w:val="0"/>
          <w:numId w:val="1"/>
        </w:numPr>
        <w:spacing w:after="70"/>
      </w:pPr>
      <w:r>
        <w:rPr>
          <w:sz w:val="21"/>
          <w:szCs w:val="21"/>
        </w:rPr>
        <w:t xml:space="preserve">Edita</w:t>
      </w:r>
    </w:p>
    <w:p>
      <w:pPr>
        <w:pStyle w:val="ListParagraph"/>
        <w:numPr>
          <w:ilvl w:val="0"/>
          <w:numId w:val="1"/>
        </w:numPr>
        <w:spacing w:after="70"/>
      </w:pPr>
      <w:r>
        <w:rPr>
          <w:sz w:val="21"/>
          <w:szCs w:val="21"/>
        </w:rPr>
        <w:t xml:space="preserve">Juhayna</w:t>
      </w:r>
    </w:p>
    <w:p>
      <w:pPr>
        <w:pStyle w:val="ListParagraph"/>
        <w:numPr>
          <w:ilvl w:val="0"/>
          <w:numId w:val="1"/>
        </w:numPr>
        <w:spacing w:after="70"/>
      </w:pPr>
      <w:r>
        <w:rPr>
          <w:sz w:val="21"/>
          <w:szCs w:val="21"/>
        </w:rPr>
        <w:t xml:space="preserve">EVA Pharma</w:t>
      </w:r>
    </w:p>
    <w:p>
      <w:pPr>
        <w:pStyle w:val="ListParagraph"/>
        <w:numPr>
          <w:ilvl w:val="0"/>
          <w:numId w:val="1"/>
        </w:numPr>
        <w:spacing w:after="70"/>
      </w:pPr>
      <w:r>
        <w:rPr>
          <w:sz w:val="21"/>
          <w:szCs w:val="21"/>
        </w:rPr>
        <w:t xml:space="preserve">Dabur</w:t>
      </w:r>
    </w:p>
    <w:p>
      <w:pPr>
        <w:pStyle w:val="ListParagraph"/>
        <w:numPr>
          <w:ilvl w:val="0"/>
          <w:numId w:val="1"/>
        </w:numPr>
        <w:spacing w:after="70"/>
      </w:pPr>
      <w:r>
        <w:rPr>
          <w:sz w:val="21"/>
          <w:szCs w:val="21"/>
        </w:rPr>
        <w:t xml:space="preserve">Henkel</w:t>
      </w:r>
    </w:p>
    <w:p>
      <w:pPr>
        <w:pStyle w:val="Heading3"/>
        <w:spacing w:after="100" w:before="200"/>
      </w:pPr>
      <w:r>
        <w:rPr>
          <w:b/>
          <w:bCs/>
          <w:color w:val="374151"/>
          <w:sz w:val="21"/>
          <w:szCs w:val="21"/>
        </w:rPr>
        <w:t xml:space="preserve">المستهلك — الفئة المثالية</w:t>
      </w:r>
    </w:p>
    <w:p>
      <w:pPr>
        <w:bidi/>
        <w:spacing w:after="140" w:line="300"/>
        <w:jc w:val="right"/>
      </w:pPr>
      <w:r>
        <w:rPr>
          <w:sz w:val="22"/>
          <w:szCs w:val="22"/>
          <w:rtl/>
        </w:rPr>
        <w:t xml:space="preserve">18–40 سنة، في: القاهرة، الجيزة، الإسكندرية.</w:t>
      </w:r>
    </w:p>
    <w:p>
      <w:pPr>
        <w:bidi/>
        <w:spacing w:after="140" w:line="300"/>
        <w:jc w:val="right"/>
      </w:pPr>
      <w:r>
        <w:rPr>
          <w:sz w:val="22"/>
          <w:szCs w:val="22"/>
          <w:rtl/>
        </w:rPr>
        <w:t xml:space="preserve">لماذا؟ لأن لديهم: استخدام مرتفع للهواتف الذكية، استخدام كبير للتطبيقات، نشاط على وسائل التواصل، كثافة مراكز تجارية.</w:t>
      </w:r>
    </w:p>
    <w:p>
      <w:pPr>
        <w:pStyle w:val="Heading3"/>
        <w:spacing w:after="100" w:before="200"/>
      </w:pPr>
      <w:r>
        <w:rPr>
          <w:b/>
          <w:bCs/>
          <w:color w:val="374151"/>
          <w:sz w:val="21"/>
          <w:szCs w:val="21"/>
        </w:rPr>
        <w:t xml:space="preserve">تقييم أولي</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العامل</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التقييم</w:t>
            </w:r>
          </w:p>
        </w:tc>
      </w:tr>
      <w:tr>
        <w:tc>
          <w:tcPr>
            <w:tcW w:type="dxa" w:w="4675"/>
            <w:shd w:fill="FFFFFF" w:val="clear"/>
            <w:tcMar>
              <w:top w:type="dxa" w:w="90"/>
              <w:left w:type="dxa" w:w="120"/>
              <w:bottom w:type="dxa" w:w="90"/>
              <w:right w:type="dxa" w:w="120"/>
            </w:tcMar>
            <w:vAlign w:val="center"/>
          </w:tcPr>
          <w:p>
            <w:r>
              <w:rPr>
                <w:sz w:val="19"/>
                <w:szCs w:val="19"/>
              </w:rPr>
              <w:t xml:space="preserve">الطلب المتوقع</w:t>
            </w:r>
          </w:p>
        </w:tc>
        <w:tc>
          <w:tcPr>
            <w:tcW w:type="dxa" w:w="4675"/>
            <w:shd w:fill="FFFFFF" w:val="clear"/>
            <w:tcMar>
              <w:top w:type="dxa" w:w="90"/>
              <w:left w:type="dxa" w:w="120"/>
              <w:bottom w:type="dxa" w:w="90"/>
              <w:right w:type="dxa" w:w="120"/>
            </w:tcMar>
            <w:vAlign w:val="center"/>
          </w:tcPr>
          <w:p>
            <w:r>
              <w:rPr>
                <w:sz w:val="19"/>
                <w:szCs w:val="19"/>
              </w:rPr>
              <w:t xml:space="preserve">مرتفع</w:t>
            </w:r>
          </w:p>
        </w:tc>
      </w:tr>
      <w:tr>
        <w:tc>
          <w:tcPr>
            <w:tcW w:type="dxa" w:w="4675"/>
            <w:shd w:fill="F2F2F2" w:val="clear"/>
            <w:tcMar>
              <w:top w:type="dxa" w:w="90"/>
              <w:left w:type="dxa" w:w="120"/>
              <w:bottom w:type="dxa" w:w="90"/>
              <w:right w:type="dxa" w:w="120"/>
            </w:tcMar>
            <w:vAlign w:val="center"/>
          </w:tcPr>
          <w:p>
            <w:r>
              <w:rPr>
                <w:sz w:val="19"/>
                <w:szCs w:val="19"/>
              </w:rPr>
              <w:t xml:space="preserve">جاهزية الشركات</w:t>
            </w:r>
          </w:p>
        </w:tc>
        <w:tc>
          <w:tcPr>
            <w:tcW w:type="dxa" w:w="4675"/>
            <w:shd w:fill="F2F2F2" w:val="clear"/>
            <w:tcMar>
              <w:top w:type="dxa" w:w="90"/>
              <w:left w:type="dxa" w:w="120"/>
              <w:bottom w:type="dxa" w:w="90"/>
              <w:right w:type="dxa" w:w="120"/>
            </w:tcMar>
            <w:vAlign w:val="center"/>
          </w:tcPr>
          <w:p>
            <w:r>
              <w:rPr>
                <w:sz w:val="19"/>
                <w:szCs w:val="19"/>
              </w:rPr>
              <w:t xml:space="preserve">مرتفعة</w:t>
            </w:r>
          </w:p>
        </w:tc>
      </w:tr>
      <w:tr>
        <w:tc>
          <w:tcPr>
            <w:tcW w:type="dxa" w:w="4675"/>
            <w:shd w:fill="FFFFFF" w:val="clear"/>
            <w:tcMar>
              <w:top w:type="dxa" w:w="90"/>
              <w:left w:type="dxa" w:w="120"/>
              <w:bottom w:type="dxa" w:w="90"/>
              <w:right w:type="dxa" w:w="120"/>
            </w:tcMar>
            <w:vAlign w:val="center"/>
          </w:tcPr>
          <w:p>
            <w:r>
              <w:rPr>
                <w:sz w:val="19"/>
                <w:szCs w:val="19"/>
              </w:rPr>
              <w:t xml:space="preserve">جاهزية المستهلك</w:t>
            </w:r>
          </w:p>
        </w:tc>
        <w:tc>
          <w:tcPr>
            <w:tcW w:type="dxa" w:w="4675"/>
            <w:shd w:fill="FFFFFF" w:val="clear"/>
            <w:tcMar>
              <w:top w:type="dxa" w:w="90"/>
              <w:left w:type="dxa" w:w="120"/>
              <w:bottom w:type="dxa" w:w="90"/>
              <w:right w:type="dxa" w:w="120"/>
            </w:tcMar>
            <w:vAlign w:val="center"/>
          </w:tcPr>
          <w:p>
            <w:r>
              <w:rPr>
                <w:sz w:val="19"/>
                <w:szCs w:val="19"/>
              </w:rPr>
              <w:t xml:space="preserve">مرتفعة</w:t>
            </w:r>
          </w:p>
        </w:tc>
      </w:tr>
      <w:tr>
        <w:tc>
          <w:tcPr>
            <w:tcW w:type="dxa" w:w="4675"/>
            <w:shd w:fill="F2F2F2" w:val="clear"/>
            <w:tcMar>
              <w:top w:type="dxa" w:w="90"/>
              <w:left w:type="dxa" w:w="120"/>
              <w:bottom w:type="dxa" w:w="90"/>
              <w:right w:type="dxa" w:w="120"/>
            </w:tcMar>
            <w:vAlign w:val="center"/>
          </w:tcPr>
          <w:p>
            <w:r>
              <w:rPr>
                <w:sz w:val="19"/>
                <w:szCs w:val="19"/>
              </w:rPr>
              <w:t xml:space="preserve">الحاجة للتوعية</w:t>
            </w:r>
          </w:p>
        </w:tc>
        <w:tc>
          <w:tcPr>
            <w:tcW w:type="dxa" w:w="4675"/>
            <w:shd w:fill="F2F2F2" w:val="clear"/>
            <w:tcMar>
              <w:top w:type="dxa" w:w="90"/>
              <w:left w:type="dxa" w:w="120"/>
              <w:bottom w:type="dxa" w:w="90"/>
              <w:right w:type="dxa" w:w="120"/>
            </w:tcMar>
            <w:vAlign w:val="center"/>
          </w:tcPr>
          <w:p>
            <w:r>
              <w:rPr>
                <w:sz w:val="19"/>
                <w:szCs w:val="19"/>
              </w:rPr>
              <w:t xml:space="preserve">متوسطة</w:t>
            </w:r>
          </w:p>
        </w:tc>
      </w:tr>
      <w:tr>
        <w:tc>
          <w:tcPr>
            <w:tcW w:type="dxa" w:w="4675"/>
            <w:shd w:fill="FFFFFF" w:val="clear"/>
            <w:tcMar>
              <w:top w:type="dxa" w:w="90"/>
              <w:left w:type="dxa" w:w="120"/>
              <w:bottom w:type="dxa" w:w="90"/>
              <w:right w:type="dxa" w:w="120"/>
            </w:tcMar>
            <w:vAlign w:val="center"/>
          </w:tcPr>
          <w:p>
            <w:r>
              <w:rPr>
                <w:sz w:val="19"/>
                <w:szCs w:val="19"/>
              </w:rPr>
              <w:t xml:space="preserve">المنافسة المباشرة</w:t>
            </w:r>
          </w:p>
        </w:tc>
        <w:tc>
          <w:tcPr>
            <w:tcW w:type="dxa" w:w="4675"/>
            <w:shd w:fill="FFFFFF" w:val="clear"/>
            <w:tcMar>
              <w:top w:type="dxa" w:w="90"/>
              <w:left w:type="dxa" w:w="120"/>
              <w:bottom w:type="dxa" w:w="90"/>
              <w:right w:type="dxa" w:w="120"/>
            </w:tcMar>
            <w:vAlign w:val="center"/>
          </w:tcPr>
          <w:p>
            <w:r>
              <w:rPr>
                <w:sz w:val="19"/>
                <w:szCs w:val="19"/>
              </w:rPr>
              <w:t xml:space="preserve">منخفضة إلى متوسطة</w:t>
            </w:r>
          </w:p>
        </w:tc>
      </w:tr>
    </w:tbl>
    <w:p>
      <w:r>
        <w:br w:type="page"/>
      </w:r>
    </w:p>
    <w:p>
      <w:pPr>
        <w:pStyle w:val="Heading2"/>
        <w:spacing w:after="140" w:before="280"/>
      </w:pPr>
      <w:r>
        <w:rPr>
          <w:b/>
          <w:bCs/>
          <w:color w:val="1F2A44"/>
          <w:sz w:val="24"/>
          <w:szCs w:val="24"/>
        </w:rPr>
        <w:t xml:space="preserve">PHASE 4 — Competitor Analysis</w:t>
      </w:r>
    </w:p>
    <w:p>
      <w:pPr>
        <w:pStyle w:val="Heading3"/>
        <w:spacing w:after="100" w:before="200"/>
      </w:pPr>
      <w:r>
        <w:rPr>
          <w:b/>
          <w:bCs/>
          <w:color w:val="374151"/>
          <w:sz w:val="21"/>
          <w:szCs w:val="21"/>
        </w:rPr>
        <w:t xml:space="preserve">Direct</w:t>
      </w:r>
    </w:p>
    <w:p>
      <w:pPr>
        <w:bidi/>
        <w:spacing w:after="140" w:line="300"/>
        <w:jc w:val="right"/>
      </w:pPr>
      <w:r>
        <w:rPr>
          <w:sz w:val="22"/>
          <w:szCs w:val="22"/>
          <w:rtl/>
        </w:rPr>
        <w:t xml:space="preserve">حتى الآن لا يوجد لاعب بنفس تكامل Samplia في مصر وفق المعلومات المتاحة.</w:t>
      </w:r>
    </w:p>
    <w:p>
      <w:pPr>
        <w:pStyle w:val="Heading3"/>
        <w:spacing w:after="100" w:before="200"/>
      </w:pPr>
      <w:r>
        <w:rPr>
          <w:b/>
          <w:bCs/>
          <w:color w:val="374151"/>
          <w:sz w:val="21"/>
          <w:szCs w:val="21"/>
        </w:rPr>
        <w:t xml:space="preserve">Indirect</w:t>
      </w:r>
    </w:p>
    <w:p>
      <w:pPr>
        <w:pStyle w:val="ListParagraph"/>
        <w:numPr>
          <w:ilvl w:val="0"/>
          <w:numId w:val="1"/>
        </w:numPr>
        <w:bidi/>
        <w:spacing w:after="70"/>
        <w:jc w:val="right"/>
      </w:pPr>
      <w:r>
        <w:rPr>
          <w:sz w:val="22"/>
          <w:szCs w:val="22"/>
          <w:rtl/>
        </w:rPr>
        <w:t xml:space="preserve">شركات أبحاث السوق التقليدية.</w:t>
      </w:r>
    </w:p>
    <w:p>
      <w:pPr>
        <w:pStyle w:val="ListParagraph"/>
        <w:numPr>
          <w:ilvl w:val="0"/>
          <w:numId w:val="1"/>
        </w:numPr>
        <w:bidi/>
        <w:spacing w:after="70"/>
        <w:jc w:val="right"/>
      </w:pPr>
      <w:r>
        <w:rPr>
          <w:sz w:val="22"/>
          <w:szCs w:val="22"/>
          <w:rtl/>
        </w:rPr>
        <w:t xml:space="preserve">شركات تنظيم الـ Activations.</w:t>
      </w:r>
    </w:p>
    <w:p>
      <w:pPr>
        <w:pStyle w:val="ListParagraph"/>
        <w:numPr>
          <w:ilvl w:val="0"/>
          <w:numId w:val="1"/>
        </w:numPr>
        <w:bidi/>
        <w:spacing w:after="70"/>
        <w:jc w:val="right"/>
      </w:pPr>
      <w:r>
        <w:rPr>
          <w:sz w:val="22"/>
          <w:szCs w:val="22"/>
          <w:rtl/>
        </w:rPr>
        <w:t xml:space="preserve">وكالات BTL.</w:t>
      </w:r>
    </w:p>
    <w:p>
      <w:pPr>
        <w:pStyle w:val="ListParagraph"/>
        <w:numPr>
          <w:ilvl w:val="0"/>
          <w:numId w:val="1"/>
        </w:numPr>
        <w:bidi/>
        <w:spacing w:after="70"/>
        <w:jc w:val="right"/>
      </w:pPr>
      <w:r>
        <w:rPr>
          <w:sz w:val="22"/>
          <w:szCs w:val="22"/>
          <w:rtl/>
        </w:rPr>
        <w:t xml:space="preserve">شركات Mystery Shopping.</w:t>
      </w:r>
    </w:p>
    <w:p>
      <w:pPr>
        <w:pStyle w:val="ListParagraph"/>
        <w:numPr>
          <w:ilvl w:val="0"/>
          <w:numId w:val="1"/>
        </w:numPr>
        <w:bidi/>
        <w:spacing w:after="70"/>
        <w:jc w:val="right"/>
      </w:pPr>
      <w:r>
        <w:rPr>
          <w:sz w:val="22"/>
          <w:szCs w:val="22"/>
          <w:rtl/>
        </w:rPr>
        <w:t xml:space="preserve">منصات الاستبيانات المدفوعة.</w:t>
      </w:r>
    </w:p>
    <w:p>
      <w:pPr>
        <w:pStyle w:val="ListParagraph"/>
        <w:numPr>
          <w:ilvl w:val="0"/>
          <w:numId w:val="1"/>
        </w:numPr>
        <w:bidi/>
        <w:spacing w:after="70"/>
        <w:jc w:val="right"/>
      </w:pPr>
      <w:r>
        <w:rPr>
          <w:sz w:val="22"/>
          <w:szCs w:val="22"/>
          <w:rtl/>
        </w:rPr>
        <w:t xml:space="preserve">توزيع العينات داخل الهايبر ماركت.</w:t>
      </w:r>
    </w:p>
    <w:p>
      <w:pPr>
        <w:pStyle w:val="Heading3"/>
        <w:spacing w:after="100" w:before="200"/>
      </w:pPr>
      <w:r>
        <w:rPr>
          <w:b/>
          <w:bCs/>
          <w:color w:val="374151"/>
          <w:sz w:val="21"/>
          <w:szCs w:val="21"/>
        </w:rPr>
        <w:t xml:space="preserve">البدائل</w:t>
      </w:r>
    </w:p>
    <w:p>
      <w:pPr>
        <w:bidi/>
        <w:spacing w:after="140" w:line="300"/>
        <w:jc w:val="right"/>
      </w:pPr>
      <w:r>
        <w:rPr>
          <w:sz w:val="22"/>
          <w:szCs w:val="22"/>
          <w:rtl/>
        </w:rPr>
        <w:t xml:space="preserve">الشركات اليوم تعتمد على: توزيع يدوي، عينات في المتاجر، حملات مؤثرين، استطلاعات رأي بعد الشراء.</w:t>
      </w:r>
    </w:p>
    <w:p>
      <w:pPr>
        <w:pStyle w:val="Heading2"/>
        <w:spacing w:after="140" w:before="280"/>
      </w:pPr>
      <w:r>
        <w:rPr>
          <w:b/>
          <w:bCs/>
          <w:color w:val="1F2A44"/>
          <w:sz w:val="24"/>
          <w:szCs w:val="24"/>
        </w:rPr>
        <w:t xml:space="preserve">أول استنتاج استثماري</w:t>
      </w:r>
    </w:p>
    <w:p>
      <w:pPr>
        <w:bidi/>
        <w:spacing w:after="140" w:line="300"/>
        <w:jc w:val="right"/>
      </w:pPr>
      <w:r>
        <w:rPr>
          <w:sz w:val="22"/>
          <w:szCs w:val="22"/>
          <w:rtl/>
        </w:rPr>
        <w:t xml:space="preserve">إذا نُفذ المشروع في مصر كنسخة مطابقة لـ Samplia فهناك احتمال مرتفع للفشل بسبب اختلاف البنية اللوجستية وسلوك السوق.</w:t>
      </w:r>
    </w:p>
    <w:p>
      <w:pPr>
        <w:bidi/>
        <w:spacing w:after="140" w:line="300"/>
        <w:jc w:val="right"/>
      </w:pPr>
      <w:r>
        <w:rPr>
          <w:b/>
          <w:bCs/>
          <w:sz w:val="22"/>
          <w:szCs w:val="22"/>
          <w:rtl/>
        </w:rPr>
        <w:t xml:space="preserve">أما إذا أُعيد تصميمه كمنصة Consumer Intelligence + Sampling + Brand Activation + Retail Media تناسب البيئة المصرية، فقد يصبح مشروعًا ذا فرصة قوية.</w:t>
      </w:r>
    </w:p>
    <w:p>
      <w:pPr>
        <w:pStyle w:val="Heading3"/>
        <w:spacing w:after="100" w:before="200"/>
      </w:pPr>
      <w:r>
        <w:rPr>
          <w:b/>
          <w:bCs/>
          <w:color w:val="374151"/>
          <w:sz w:val="21"/>
          <w:szCs w:val="21"/>
        </w:rPr>
        <w:t xml:space="preserve">التقييم المرحلي (بعد أول أربع مراحل)</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المعيار</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التقييم الأولي</w:t>
            </w:r>
          </w:p>
        </w:tc>
      </w:tr>
      <w:tr>
        <w:tc>
          <w:tcPr>
            <w:tcW w:type="dxa" w:w="4675"/>
            <w:shd w:fill="FFFFFF" w:val="clear"/>
            <w:tcMar>
              <w:top w:type="dxa" w:w="90"/>
              <w:left w:type="dxa" w:w="120"/>
              <w:bottom w:type="dxa" w:w="90"/>
              <w:right w:type="dxa" w:w="120"/>
            </w:tcMar>
            <w:vAlign w:val="center"/>
          </w:tcPr>
          <w:p>
            <w:r>
              <w:rPr>
                <w:sz w:val="19"/>
                <w:szCs w:val="19"/>
              </w:rPr>
              <w:t xml:space="preserve">جاذبية الفكرة</w:t>
            </w:r>
          </w:p>
        </w:tc>
        <w:tc>
          <w:tcPr>
            <w:tcW w:type="dxa" w:w="4675"/>
            <w:shd w:fill="FFFFFF" w:val="clear"/>
            <w:tcMar>
              <w:top w:type="dxa" w:w="90"/>
              <w:left w:type="dxa" w:w="120"/>
              <w:bottom w:type="dxa" w:w="90"/>
              <w:right w:type="dxa" w:w="120"/>
            </w:tcMar>
            <w:vAlign w:val="center"/>
          </w:tcPr>
          <w:p>
            <w:r>
              <w:rPr>
                <w:sz w:val="19"/>
                <w:szCs w:val="19"/>
              </w:rPr>
              <w:t xml:space="preserve">9/10</w:t>
            </w:r>
          </w:p>
        </w:tc>
      </w:tr>
      <w:tr>
        <w:tc>
          <w:tcPr>
            <w:tcW w:type="dxa" w:w="4675"/>
            <w:shd w:fill="F2F2F2" w:val="clear"/>
            <w:tcMar>
              <w:top w:type="dxa" w:w="90"/>
              <w:left w:type="dxa" w:w="120"/>
              <w:bottom w:type="dxa" w:w="90"/>
              <w:right w:type="dxa" w:w="120"/>
            </w:tcMar>
            <w:vAlign w:val="center"/>
          </w:tcPr>
          <w:p>
            <w:r>
              <w:rPr>
                <w:sz w:val="19"/>
                <w:szCs w:val="19"/>
              </w:rPr>
              <w:t xml:space="preserve">ملاءمة السوق المصري</w:t>
            </w:r>
          </w:p>
        </w:tc>
        <w:tc>
          <w:tcPr>
            <w:tcW w:type="dxa" w:w="4675"/>
            <w:shd w:fill="F2F2F2" w:val="clear"/>
            <w:tcMar>
              <w:top w:type="dxa" w:w="90"/>
              <w:left w:type="dxa" w:w="120"/>
              <w:bottom w:type="dxa" w:w="90"/>
              <w:right w:type="dxa" w:w="120"/>
            </w:tcMar>
            <w:vAlign w:val="center"/>
          </w:tcPr>
          <w:p>
            <w:r>
              <w:rPr>
                <w:sz w:val="19"/>
                <w:szCs w:val="19"/>
              </w:rPr>
              <w:t xml:space="preserve">8/10</w:t>
            </w:r>
          </w:p>
        </w:tc>
      </w:tr>
      <w:tr>
        <w:tc>
          <w:tcPr>
            <w:tcW w:type="dxa" w:w="4675"/>
            <w:shd w:fill="FFFFFF" w:val="clear"/>
            <w:tcMar>
              <w:top w:type="dxa" w:w="90"/>
              <w:left w:type="dxa" w:w="120"/>
              <w:bottom w:type="dxa" w:w="90"/>
              <w:right w:type="dxa" w:w="120"/>
            </w:tcMar>
            <w:vAlign w:val="center"/>
          </w:tcPr>
          <w:p>
            <w:r>
              <w:rPr>
                <w:sz w:val="19"/>
                <w:szCs w:val="19"/>
              </w:rPr>
              <w:t xml:space="preserve">سهولة التنفيذ</w:t>
            </w:r>
          </w:p>
        </w:tc>
        <w:tc>
          <w:tcPr>
            <w:tcW w:type="dxa" w:w="4675"/>
            <w:shd w:fill="FFFFFF" w:val="clear"/>
            <w:tcMar>
              <w:top w:type="dxa" w:w="90"/>
              <w:left w:type="dxa" w:w="120"/>
              <w:bottom w:type="dxa" w:w="90"/>
              <w:right w:type="dxa" w:w="120"/>
            </w:tcMar>
            <w:vAlign w:val="center"/>
          </w:tcPr>
          <w:p>
            <w:r>
              <w:rPr>
                <w:sz w:val="19"/>
                <w:szCs w:val="19"/>
              </w:rPr>
              <w:t xml:space="preserve">5/10</w:t>
            </w:r>
          </w:p>
        </w:tc>
      </w:tr>
      <w:tr>
        <w:tc>
          <w:tcPr>
            <w:tcW w:type="dxa" w:w="4675"/>
            <w:shd w:fill="F2F2F2" w:val="clear"/>
            <w:tcMar>
              <w:top w:type="dxa" w:w="90"/>
              <w:left w:type="dxa" w:w="120"/>
              <w:bottom w:type="dxa" w:w="90"/>
              <w:right w:type="dxa" w:w="120"/>
            </w:tcMar>
            <w:vAlign w:val="center"/>
          </w:tcPr>
          <w:p>
            <w:r>
              <w:rPr>
                <w:sz w:val="19"/>
                <w:szCs w:val="19"/>
              </w:rPr>
              <w:t xml:space="preserve">قابلية التوسع</w:t>
            </w:r>
          </w:p>
        </w:tc>
        <w:tc>
          <w:tcPr>
            <w:tcW w:type="dxa" w:w="4675"/>
            <w:shd w:fill="F2F2F2" w:val="clear"/>
            <w:tcMar>
              <w:top w:type="dxa" w:w="90"/>
              <w:left w:type="dxa" w:w="120"/>
              <w:bottom w:type="dxa" w:w="90"/>
              <w:right w:type="dxa" w:w="120"/>
            </w:tcMar>
            <w:vAlign w:val="center"/>
          </w:tcPr>
          <w:p>
            <w:r>
              <w:rPr>
                <w:sz w:val="19"/>
                <w:szCs w:val="19"/>
              </w:rPr>
              <w:t xml:space="preserve">9/10</w:t>
            </w:r>
          </w:p>
        </w:tc>
      </w:tr>
      <w:tr>
        <w:tc>
          <w:tcPr>
            <w:tcW w:type="dxa" w:w="4675"/>
            <w:shd w:fill="FFFFFF" w:val="clear"/>
            <w:tcMar>
              <w:top w:type="dxa" w:w="90"/>
              <w:left w:type="dxa" w:w="120"/>
              <w:bottom w:type="dxa" w:w="90"/>
              <w:right w:type="dxa" w:w="120"/>
            </w:tcMar>
            <w:vAlign w:val="center"/>
          </w:tcPr>
          <w:p>
            <w:r>
              <w:rPr>
                <w:sz w:val="19"/>
                <w:szCs w:val="19"/>
              </w:rPr>
              <w:t xml:space="preserve">قابلية جذب المستثمرين</w:t>
            </w:r>
          </w:p>
        </w:tc>
        <w:tc>
          <w:tcPr>
            <w:tcW w:type="dxa" w:w="4675"/>
            <w:shd w:fill="FFFFFF" w:val="clear"/>
            <w:tcMar>
              <w:top w:type="dxa" w:w="90"/>
              <w:left w:type="dxa" w:w="120"/>
              <w:bottom w:type="dxa" w:w="90"/>
              <w:right w:type="dxa" w:w="120"/>
            </w:tcMar>
            <w:vAlign w:val="center"/>
          </w:tcPr>
          <w:p>
            <w:r>
              <w:rPr>
                <w:sz w:val="19"/>
                <w:szCs w:val="19"/>
              </w:rPr>
              <w:t xml:space="preserve">8.5/10</w:t>
            </w:r>
          </w:p>
        </w:tc>
      </w:tr>
      <w:tr>
        <w:tc>
          <w:tcPr>
            <w:tcW w:type="dxa" w:w="4675"/>
            <w:shd w:fill="F2F2F2" w:val="clear"/>
            <w:tcMar>
              <w:top w:type="dxa" w:w="90"/>
              <w:left w:type="dxa" w:w="120"/>
              <w:bottom w:type="dxa" w:w="90"/>
              <w:right w:type="dxa" w:w="120"/>
            </w:tcMar>
            <w:vAlign w:val="center"/>
          </w:tcPr>
          <w:p>
            <w:r>
              <w:rPr>
                <w:sz w:val="19"/>
                <w:szCs w:val="19"/>
              </w:rPr>
              <w:t xml:space="preserve">المخاطر التشغيلية</w:t>
            </w:r>
          </w:p>
        </w:tc>
        <w:tc>
          <w:tcPr>
            <w:tcW w:type="dxa" w:w="4675"/>
            <w:shd w:fill="F2F2F2" w:val="clear"/>
            <w:tcMar>
              <w:top w:type="dxa" w:w="90"/>
              <w:left w:type="dxa" w:w="120"/>
              <w:bottom w:type="dxa" w:w="90"/>
              <w:right w:type="dxa" w:w="120"/>
            </w:tcMar>
            <w:vAlign w:val="center"/>
          </w:tcPr>
          <w:p>
            <w:r>
              <w:rPr>
                <w:sz w:val="19"/>
                <w:szCs w:val="19"/>
              </w:rPr>
              <w:t xml:space="preserve">مرتفعة</w:t>
            </w:r>
          </w:p>
        </w:tc>
      </w:tr>
    </w:tbl>
    <w:p>
      <w:r>
        <w:br w:type="page"/>
      </w:r>
    </w:p>
    <w:p>
      <w:pPr>
        <w:pStyle w:val="Heading1"/>
        <w:pBdr>
          <w:bottom w:val="single" w:color="1F2A44" w:sz="8" w:space="4"/>
        </w:pBdr>
        <w:spacing w:after="200" w:before="400"/>
      </w:pPr>
      <w:r>
        <w:rPr>
          <w:b/>
          <w:bCs/>
          <w:color w:val="1F2A44"/>
          <w:sz w:val="30"/>
          <w:szCs w:val="30"/>
        </w:rPr>
        <w:t xml:space="preserve">Part 2 — Phases 5–8</w:t>
      </w:r>
    </w:p>
    <w:p>
      <w:pPr>
        <w:pStyle w:val="Heading2"/>
        <w:spacing w:after="140" w:before="280"/>
      </w:pPr>
      <w:r>
        <w:rPr>
          <w:b/>
          <w:bCs/>
          <w:color w:val="1F2A44"/>
          <w:sz w:val="24"/>
          <w:szCs w:val="24"/>
        </w:rPr>
        <w:t xml:space="preserve">Localization • Egyptian Business Model • Financial Feasibility • Legal &amp; Regulatory</w:t>
      </w:r>
    </w:p>
    <w:tbl>
      <w:tblPr>
        <w:tblW w:type="pct" w:w="100%"/>
        <w:tblBorders>
          <w:top w:val="single" w:color="1F2A44" w:sz="6"/>
          <w:left w:val="single" w:color="1F2A44" w:sz="6"/>
          <w:bottom w:val="single" w:color="1F2A44" w:sz="6"/>
          <w:right w:val="single" w:color="1F2A44"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1F2A44"/>
                <w:sz w:val="22"/>
                <w:szCs w:val="22"/>
              </w:rPr>
              <w:t xml:space="preserve">Basis of this report</w:t>
            </w:r>
          </w:p>
          <w:p>
            <w:pPr>
              <w:spacing w:after="60"/>
            </w:pPr>
            <w:r>
              <w:rPr>
                <w:sz w:val="20"/>
                <w:szCs w:val="20"/>
              </w:rPr>
              <w:t xml:space="preserve">• Facts from the video/transcript: The platform distributes free product samples through an app, notifies users about nearby activations, collects feedback after product trials, and charges brands for campaigns.</w:t>
            </w:r>
          </w:p>
          <w:p>
            <w:pPr>
              <w:spacing w:after="60"/>
            </w:pPr>
            <w:r>
              <w:rPr>
                <w:sz w:val="20"/>
                <w:szCs w:val="20"/>
              </w:rPr>
              <w:t xml:space="preserve">• Externally verified facts: Public information about Samplia and its business model.</w:t>
            </w:r>
          </w:p>
          <w:p>
            <w:pPr>
              <w:spacing w:after="60"/>
            </w:pPr>
            <w:r>
              <w:rPr>
                <w:sz w:val="20"/>
                <w:szCs w:val="20"/>
              </w:rPr>
              <w:t xml:space="preserve">• Estimates: Clearly labeled and based on Egyptian market assumptions.</w:t>
            </w:r>
          </w:p>
        </w:tc>
      </w:tr>
    </w:tbl>
    <w:p>
      <w:pPr>
        <w:pStyle w:val="Heading2"/>
        <w:spacing w:after="140" w:before="280"/>
      </w:pPr>
      <w:r>
        <w:rPr>
          <w:b/>
          <w:bCs/>
          <w:color w:val="1F2A44"/>
          <w:sz w:val="24"/>
          <w:szCs w:val="24"/>
        </w:rPr>
        <w:t xml:space="preserve">PHASE 5 — Localization for Egypt</w:t>
      </w:r>
    </w:p>
    <w:p>
      <w:pPr>
        <w:pStyle w:val="Heading3"/>
        <w:spacing w:after="100" w:before="200"/>
      </w:pPr>
      <w:r>
        <w:rPr>
          <w:b/>
          <w:bCs/>
          <w:color w:val="374151"/>
          <w:sz w:val="21"/>
          <w:szCs w:val="21"/>
        </w:rPr>
        <w:t xml:space="preserve">Critical Observation</w:t>
      </w:r>
    </w:p>
    <w:p>
      <w:pPr>
        <w:spacing w:after="140" w:line="276"/>
      </w:pPr>
      <w:r>
        <w:rPr>
          <w:sz w:val="21"/>
          <w:szCs w:val="21"/>
        </w:rPr>
        <w:t xml:space="preserve">The biggest mistake would be copying Samplia exactly. Spain and Egypt are fundamentally different in: consumer behavior, retail infrastructure, logistics, smartphone usage patterns, payment culture, brand marketing budgets. Therefore, this should not become "Samplia Egypt." It should become an Egyptian-first platform.</w:t>
      </w:r>
    </w:p>
    <w:p>
      <w:pPr>
        <w:pStyle w:val="Heading3"/>
        <w:spacing w:after="100" w:before="200"/>
      </w:pPr>
      <w:r>
        <w:rPr>
          <w:b/>
          <w:bCs/>
          <w:color w:val="374151"/>
          <w:sz w:val="21"/>
          <w:szCs w:val="21"/>
        </w:rPr>
        <w:t xml:space="preserve">1. Distribution Model</w:t>
      </w:r>
    </w:p>
    <w:p>
      <w:pPr>
        <w:spacing w:after="140" w:line="276"/>
      </w:pPr>
      <w:r>
        <w:rPr>
          <w:sz w:val="21"/>
          <w:szCs w:val="21"/>
        </w:rPr>
        <w:t xml:space="preserve">Spain: Permanent branded kiosks. Egypt: That would be expensive. Instead, portable kiosks partnering with:</w:t>
      </w:r>
    </w:p>
    <w:p>
      <w:pPr>
        <w:pStyle w:val="ListParagraph"/>
        <w:numPr>
          <w:ilvl w:val="0"/>
          <w:numId w:val="1"/>
        </w:numPr>
        <w:spacing w:after="70"/>
      </w:pPr>
      <w:r>
        <w:rPr>
          <w:sz w:val="21"/>
          <w:szCs w:val="21"/>
        </w:rPr>
        <w:t xml:space="preserve">Carrefour</w:t>
      </w:r>
    </w:p>
    <w:p>
      <w:pPr>
        <w:pStyle w:val="ListParagraph"/>
        <w:numPr>
          <w:ilvl w:val="0"/>
          <w:numId w:val="1"/>
        </w:numPr>
        <w:spacing w:after="70"/>
      </w:pPr>
      <w:r>
        <w:rPr>
          <w:sz w:val="21"/>
          <w:szCs w:val="21"/>
        </w:rPr>
        <w:t xml:space="preserve">Hyper One</w:t>
      </w:r>
    </w:p>
    <w:p>
      <w:pPr>
        <w:pStyle w:val="ListParagraph"/>
        <w:numPr>
          <w:ilvl w:val="0"/>
          <w:numId w:val="1"/>
        </w:numPr>
        <w:spacing w:after="70"/>
      </w:pPr>
      <w:r>
        <w:rPr>
          <w:sz w:val="21"/>
          <w:szCs w:val="21"/>
        </w:rPr>
        <w:t xml:space="preserve">Spinneys</w:t>
      </w:r>
    </w:p>
    <w:p>
      <w:pPr>
        <w:pStyle w:val="ListParagraph"/>
        <w:numPr>
          <w:ilvl w:val="0"/>
          <w:numId w:val="1"/>
        </w:numPr>
        <w:spacing w:after="70"/>
      </w:pPr>
      <w:r>
        <w:rPr>
          <w:sz w:val="21"/>
          <w:szCs w:val="21"/>
        </w:rPr>
        <w:t xml:space="preserve">Seoudi</w:t>
      </w:r>
    </w:p>
    <w:p>
      <w:pPr>
        <w:pStyle w:val="ListParagraph"/>
        <w:numPr>
          <w:ilvl w:val="0"/>
          <w:numId w:val="1"/>
        </w:numPr>
        <w:spacing w:after="70"/>
      </w:pPr>
      <w:r>
        <w:rPr>
          <w:sz w:val="21"/>
          <w:szCs w:val="21"/>
        </w:rPr>
        <w:t xml:space="preserve">Kazyon (selected campaigns)</w:t>
      </w:r>
    </w:p>
    <w:p>
      <w:pPr>
        <w:pStyle w:val="ListParagraph"/>
        <w:numPr>
          <w:ilvl w:val="0"/>
          <w:numId w:val="1"/>
        </w:numPr>
        <w:spacing w:after="70"/>
      </w:pPr>
      <w:r>
        <w:rPr>
          <w:sz w:val="21"/>
          <w:szCs w:val="21"/>
        </w:rPr>
        <w:t xml:space="preserve">Universities</w:t>
      </w:r>
    </w:p>
    <w:p>
      <w:pPr>
        <w:pStyle w:val="ListParagraph"/>
        <w:numPr>
          <w:ilvl w:val="0"/>
          <w:numId w:val="1"/>
        </w:numPr>
        <w:spacing w:after="70"/>
      </w:pPr>
      <w:r>
        <w:rPr>
          <w:sz w:val="21"/>
          <w:szCs w:val="21"/>
        </w:rPr>
        <w:t xml:space="preserve">Business parks</w:t>
      </w:r>
    </w:p>
    <w:p>
      <w:pPr>
        <w:pStyle w:val="ListParagraph"/>
        <w:numPr>
          <w:ilvl w:val="0"/>
          <w:numId w:val="1"/>
        </w:numPr>
        <w:spacing w:after="70"/>
      </w:pPr>
      <w:r>
        <w:rPr>
          <w:sz w:val="21"/>
          <w:szCs w:val="21"/>
        </w:rPr>
        <w:t xml:space="preserve">Sporting clubs</w:t>
      </w:r>
    </w:p>
    <w:p>
      <w:pPr>
        <w:pStyle w:val="ListParagraph"/>
        <w:numPr>
          <w:ilvl w:val="0"/>
          <w:numId w:val="1"/>
        </w:numPr>
        <w:spacing w:after="70"/>
      </w:pPr>
      <w:r>
        <w:rPr>
          <w:sz w:val="21"/>
          <w:szCs w:val="21"/>
        </w:rPr>
        <w:t xml:space="preserve">Festivals</w:t>
      </w:r>
    </w:p>
    <w:p>
      <w:pPr>
        <w:pStyle w:val="ListParagraph"/>
        <w:numPr>
          <w:ilvl w:val="0"/>
          <w:numId w:val="1"/>
        </w:numPr>
        <w:spacing w:after="70"/>
      </w:pPr>
      <w:r>
        <w:rPr>
          <w:sz w:val="21"/>
          <w:szCs w:val="21"/>
        </w:rPr>
        <w:t xml:space="preserve">Malls</w:t>
      </w:r>
    </w:p>
    <w:p>
      <w:pPr>
        <w:pStyle w:val="Heading3"/>
        <w:spacing w:after="100" w:before="200"/>
      </w:pPr>
      <w:r>
        <w:rPr>
          <w:b/>
          <w:bCs/>
          <w:color w:val="374151"/>
          <w:sz w:val="21"/>
          <w:szCs w:val="21"/>
        </w:rPr>
        <w:t xml:space="preserve">2. Mobile App — Consumer Rewards Platform</w:t>
      </w:r>
    </w:p>
    <w:p>
      <w:pPr>
        <w:spacing w:after="140" w:line="276"/>
      </w:pPr>
      <w:r>
        <w:rPr>
          <w:sz w:val="21"/>
          <w:szCs w:val="21"/>
        </w:rPr>
        <w:t xml:space="preserve">The app should become much more than "come get free samples." Users should earn:</w:t>
      </w:r>
    </w:p>
    <w:p>
      <w:pPr>
        <w:pStyle w:val="ListParagraph"/>
        <w:numPr>
          <w:ilvl w:val="0"/>
          <w:numId w:val="1"/>
        </w:numPr>
        <w:spacing w:after="70"/>
      </w:pPr>
      <w:r>
        <w:rPr>
          <w:sz w:val="21"/>
          <w:szCs w:val="21"/>
        </w:rPr>
        <w:t xml:space="preserve">Free products</w:t>
      </w:r>
    </w:p>
    <w:p>
      <w:pPr>
        <w:pStyle w:val="ListParagraph"/>
        <w:numPr>
          <w:ilvl w:val="0"/>
          <w:numId w:val="1"/>
        </w:numPr>
        <w:spacing w:after="70"/>
      </w:pPr>
      <w:r>
        <w:rPr>
          <w:sz w:val="21"/>
          <w:szCs w:val="21"/>
        </w:rPr>
        <w:t xml:space="preserve">Points</w:t>
      </w:r>
    </w:p>
    <w:p>
      <w:pPr>
        <w:pStyle w:val="ListParagraph"/>
        <w:numPr>
          <w:ilvl w:val="0"/>
          <w:numId w:val="1"/>
        </w:numPr>
        <w:spacing w:after="70"/>
      </w:pPr>
      <w:r>
        <w:rPr>
          <w:sz w:val="21"/>
          <w:szCs w:val="21"/>
        </w:rPr>
        <w:t xml:space="preserve">Cashback</w:t>
      </w:r>
    </w:p>
    <w:p>
      <w:pPr>
        <w:pStyle w:val="ListParagraph"/>
        <w:numPr>
          <w:ilvl w:val="0"/>
          <w:numId w:val="1"/>
        </w:numPr>
        <w:spacing w:after="70"/>
      </w:pPr>
      <w:r>
        <w:rPr>
          <w:sz w:val="21"/>
          <w:szCs w:val="21"/>
        </w:rPr>
        <w:t xml:space="preserve">Coupons</w:t>
      </w:r>
    </w:p>
    <w:p>
      <w:pPr>
        <w:pStyle w:val="ListParagraph"/>
        <w:numPr>
          <w:ilvl w:val="0"/>
          <w:numId w:val="1"/>
        </w:numPr>
        <w:spacing w:after="70"/>
      </w:pPr>
      <w:r>
        <w:rPr>
          <w:sz w:val="21"/>
          <w:szCs w:val="21"/>
        </w:rPr>
        <w:t xml:space="preserve">Exclusive launches</w:t>
      </w:r>
    </w:p>
    <w:p>
      <w:pPr>
        <w:pStyle w:val="ListParagraph"/>
        <w:numPr>
          <w:ilvl w:val="0"/>
          <w:numId w:val="1"/>
        </w:numPr>
        <w:spacing w:after="70"/>
      </w:pPr>
      <w:r>
        <w:rPr>
          <w:sz w:val="21"/>
          <w:szCs w:val="21"/>
        </w:rPr>
        <w:t xml:space="preserve">Brand challenges</w:t>
      </w:r>
    </w:p>
    <w:p>
      <w:pPr>
        <w:pStyle w:val="ListParagraph"/>
        <w:numPr>
          <w:ilvl w:val="0"/>
          <w:numId w:val="1"/>
        </w:numPr>
        <w:spacing w:after="70"/>
      </w:pPr>
      <w:r>
        <w:rPr>
          <w:sz w:val="21"/>
          <w:szCs w:val="21"/>
        </w:rPr>
        <w:t xml:space="preserve">Gamification rewards</w:t>
      </w:r>
    </w:p>
    <w:p>
      <w:pPr>
        <w:spacing w:after="140" w:line="276"/>
      </w:pPr>
      <w:r>
        <w:rPr>
          <w:sz w:val="21"/>
          <w:szCs w:val="21"/>
        </w:rPr>
        <w:t xml:space="preserve">Otherwise retention will collapse.</w:t>
      </w:r>
    </w:p>
    <w:p>
      <w:pPr>
        <w:pStyle w:val="Heading3"/>
        <w:spacing w:after="100" w:before="200"/>
      </w:pPr>
      <w:r>
        <w:rPr>
          <w:b/>
          <w:bCs/>
          <w:color w:val="374151"/>
          <w:sz w:val="21"/>
          <w:szCs w:val="21"/>
        </w:rPr>
        <w:t xml:space="preserve">3. Consumer Psychology</w:t>
      </w:r>
    </w:p>
    <w:p>
      <w:pPr>
        <w:spacing w:after="140" w:line="276"/>
      </w:pPr>
      <w:r>
        <w:rPr>
          <w:sz w:val="21"/>
          <w:szCs w:val="21"/>
        </w:rPr>
        <w:t xml:space="preserve">Egyptian consumers often ask: "Where is the catch?" Trust must be built. Recommendations:</w:t>
      </w:r>
    </w:p>
    <w:p>
      <w:pPr>
        <w:pStyle w:val="ListParagraph"/>
        <w:numPr>
          <w:ilvl w:val="0"/>
          <w:numId w:val="1"/>
        </w:numPr>
        <w:spacing w:after="70"/>
      </w:pPr>
      <w:r>
        <w:rPr>
          <w:sz w:val="21"/>
          <w:szCs w:val="21"/>
        </w:rPr>
        <w:t xml:space="preserve">Verified brands only</w:t>
      </w:r>
    </w:p>
    <w:p>
      <w:pPr>
        <w:pStyle w:val="ListParagraph"/>
        <w:numPr>
          <w:ilvl w:val="0"/>
          <w:numId w:val="1"/>
        </w:numPr>
        <w:spacing w:after="70"/>
      </w:pPr>
      <w:r>
        <w:rPr>
          <w:sz w:val="21"/>
          <w:szCs w:val="21"/>
        </w:rPr>
        <w:t xml:space="preserve">Clear privacy policy</w:t>
      </w:r>
    </w:p>
    <w:p>
      <w:pPr>
        <w:pStyle w:val="ListParagraph"/>
        <w:numPr>
          <w:ilvl w:val="0"/>
          <w:numId w:val="1"/>
        </w:numPr>
        <w:spacing w:after="70"/>
      </w:pPr>
      <w:r>
        <w:rPr>
          <w:sz w:val="21"/>
          <w:szCs w:val="21"/>
        </w:rPr>
        <w:t xml:space="preserve">No hidden subscriptions</w:t>
      </w:r>
    </w:p>
    <w:p>
      <w:pPr>
        <w:pStyle w:val="ListParagraph"/>
        <w:numPr>
          <w:ilvl w:val="0"/>
          <w:numId w:val="1"/>
        </w:numPr>
        <w:spacing w:after="70"/>
      </w:pPr>
      <w:r>
        <w:rPr>
          <w:sz w:val="21"/>
          <w:szCs w:val="21"/>
        </w:rPr>
        <w:t xml:space="preserve">Instant rewards</w:t>
      </w:r>
    </w:p>
    <w:p>
      <w:pPr>
        <w:pStyle w:val="ListParagraph"/>
        <w:numPr>
          <w:ilvl w:val="0"/>
          <w:numId w:val="1"/>
        </w:numPr>
        <w:spacing w:after="70"/>
      </w:pPr>
      <w:r>
        <w:rPr>
          <w:sz w:val="21"/>
          <w:szCs w:val="21"/>
        </w:rPr>
        <w:t xml:space="preserve">QR verification</w:t>
      </w:r>
    </w:p>
    <w:p>
      <w:pPr>
        <w:pStyle w:val="ListParagraph"/>
        <w:numPr>
          <w:ilvl w:val="0"/>
          <w:numId w:val="1"/>
        </w:numPr>
        <w:spacing w:after="70"/>
      </w:pPr>
      <w:r>
        <w:rPr>
          <w:sz w:val="21"/>
          <w:szCs w:val="21"/>
        </w:rPr>
        <w:t xml:space="preserve">Brand logos</w:t>
      </w:r>
    </w:p>
    <w:p>
      <w:pPr>
        <w:pStyle w:val="Heading3"/>
        <w:spacing w:after="100" w:before="200"/>
      </w:pPr>
      <w:r>
        <w:rPr>
          <w:b/>
          <w:bCs/>
          <w:color w:val="374151"/>
          <w:sz w:val="21"/>
          <w:szCs w:val="21"/>
        </w:rPr>
        <w:t xml:space="preserve">4. Arabic First</w:t>
      </w:r>
    </w:p>
    <w:p>
      <w:pPr>
        <w:spacing w:after="140" w:line="276"/>
      </w:pPr>
      <w:r>
        <w:rPr>
          <w:sz w:val="21"/>
          <w:szCs w:val="21"/>
        </w:rPr>
        <w:t xml:space="preserve">Everything: Arabic, Egyptian dialect, RTL, Arabic notifications. English becomes secondary.</w:t>
      </w:r>
    </w:p>
    <w:p>
      <w:pPr>
        <w:pStyle w:val="Heading3"/>
        <w:spacing w:after="100" w:before="200"/>
      </w:pPr>
      <w:r>
        <w:rPr>
          <w:b/>
          <w:bCs/>
          <w:color w:val="374151"/>
          <w:sz w:val="21"/>
          <w:szCs w:val="21"/>
        </w:rPr>
        <w:t xml:space="preserve">5. Payment</w:t>
      </w:r>
    </w:p>
    <w:p>
      <w:pPr>
        <w:spacing w:after="140" w:line="276"/>
      </w:pPr>
      <w:r>
        <w:rPr>
          <w:sz w:val="21"/>
          <w:szCs w:val="21"/>
        </w:rPr>
        <w:t xml:space="preserve">Consumers should never pay. Brands pay. However the platform should support Vodafone Cash, InstaPay, bank cards, digital vouchers — for rewards and incentives.</w:t>
      </w:r>
    </w:p>
    <w:p>
      <w:pPr>
        <w:pStyle w:val="Heading3"/>
        <w:spacing w:after="100" w:before="200"/>
      </w:pPr>
      <w:r>
        <w:rPr>
          <w:b/>
          <w:bCs/>
          <w:color w:val="374151"/>
          <w:sz w:val="21"/>
          <w:szCs w:val="21"/>
        </w:rPr>
        <w:t xml:space="preserve">6. Data Collection</w:t>
      </w:r>
    </w:p>
    <w:p>
      <w:pPr>
        <w:spacing w:after="140" w:line="276"/>
      </w:pPr>
      <w:r>
        <w:rPr>
          <w:sz w:val="21"/>
          <w:szCs w:val="21"/>
        </w:rPr>
        <w:t xml:space="preserve">Avoid surveys longer than 3–5 questions. Instead: micro-feedback. Example: ⭐ Rate taste / Would you buy? / Price expectation? / Recommend? That's enough.</w:t>
      </w:r>
    </w:p>
    <w:p>
      <w:pPr>
        <w:pStyle w:val="Heading3"/>
        <w:spacing w:after="100" w:before="200"/>
      </w:pPr>
      <w:r>
        <w:rPr>
          <w:b/>
          <w:bCs/>
          <w:color w:val="374151"/>
          <w:sz w:val="21"/>
          <w:szCs w:val="21"/>
        </w:rPr>
        <w:t xml:space="preserve">7. AI Layer</w:t>
      </w:r>
    </w:p>
    <w:p>
      <w:pPr>
        <w:spacing w:after="140" w:line="276"/>
      </w:pPr>
      <w:r>
        <w:rPr>
          <w:sz w:val="21"/>
          <w:szCs w:val="21"/>
        </w:rPr>
        <w:t xml:space="preserve">Instead of delivering Excel reports, deliver AI Consumer Intelligence. Example: "Women aged 22–30 in New Cairo showed 41% higher purchase intent than males." This is where pricing power increases.</w:t>
      </w:r>
    </w:p>
    <w:p>
      <w:pPr>
        <w:pStyle w:val="Heading3"/>
        <w:spacing w:after="100" w:before="200"/>
      </w:pPr>
      <w:r>
        <w:rPr>
          <w:b/>
          <w:bCs/>
          <w:color w:val="374151"/>
          <w:sz w:val="21"/>
          <w:szCs w:val="21"/>
        </w:rPr>
        <w:t xml:space="preserve">Localization Score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Area</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Priority</w:t>
            </w:r>
          </w:p>
        </w:tc>
      </w:tr>
      <w:tr>
        <w:tc>
          <w:tcPr>
            <w:tcW w:type="dxa" w:w="4675"/>
            <w:shd w:fill="FFFFFF" w:val="clear"/>
            <w:tcMar>
              <w:top w:type="dxa" w:w="90"/>
              <w:left w:type="dxa" w:w="120"/>
              <w:bottom w:type="dxa" w:w="90"/>
              <w:right w:type="dxa" w:w="120"/>
            </w:tcMar>
            <w:vAlign w:val="center"/>
          </w:tcPr>
          <w:p>
            <w:r>
              <w:rPr>
                <w:sz w:val="19"/>
                <w:szCs w:val="19"/>
              </w:rPr>
              <w:t xml:space="preserve">Arabic UX</w:t>
            </w:r>
          </w:p>
        </w:tc>
        <w:tc>
          <w:tcPr>
            <w:tcW w:type="dxa" w:w="4675"/>
            <w:shd w:fill="FFFFFF" w:val="clear"/>
            <w:tcMar>
              <w:top w:type="dxa" w:w="90"/>
              <w:left w:type="dxa" w:w="120"/>
              <w:bottom w:type="dxa" w:w="90"/>
              <w:right w:type="dxa" w:w="120"/>
            </w:tcMar>
            <w:vAlign w:val="center"/>
          </w:tcPr>
          <w:p>
            <w:r>
              <w:rPr>
                <w:sz w:val="19"/>
                <w:szCs w:val="19"/>
              </w:rPr>
              <w:t xml:space="preserve">Critical</w:t>
            </w:r>
          </w:p>
        </w:tc>
      </w:tr>
      <w:tr>
        <w:tc>
          <w:tcPr>
            <w:tcW w:type="dxa" w:w="4675"/>
            <w:shd w:fill="F2F2F2" w:val="clear"/>
            <w:tcMar>
              <w:top w:type="dxa" w:w="90"/>
              <w:left w:type="dxa" w:w="120"/>
              <w:bottom w:type="dxa" w:w="90"/>
              <w:right w:type="dxa" w:w="120"/>
            </w:tcMar>
            <w:vAlign w:val="center"/>
          </w:tcPr>
          <w:p>
            <w:r>
              <w:rPr>
                <w:sz w:val="19"/>
                <w:szCs w:val="19"/>
              </w:rPr>
              <w:t xml:space="preserve">Rewards</w:t>
            </w:r>
          </w:p>
        </w:tc>
        <w:tc>
          <w:tcPr>
            <w:tcW w:type="dxa" w:w="4675"/>
            <w:shd w:fill="F2F2F2" w:val="clear"/>
            <w:tcMar>
              <w:top w:type="dxa" w:w="90"/>
              <w:left w:type="dxa" w:w="120"/>
              <w:bottom w:type="dxa" w:w="90"/>
              <w:right w:type="dxa" w:w="120"/>
            </w:tcMar>
            <w:vAlign w:val="center"/>
          </w:tcPr>
          <w:p>
            <w:r>
              <w:rPr>
                <w:sz w:val="19"/>
                <w:szCs w:val="19"/>
              </w:rPr>
              <w:t xml:space="preserve">Critical</w:t>
            </w:r>
          </w:p>
        </w:tc>
      </w:tr>
      <w:tr>
        <w:tc>
          <w:tcPr>
            <w:tcW w:type="dxa" w:w="4675"/>
            <w:shd w:fill="FFFFFF" w:val="clear"/>
            <w:tcMar>
              <w:top w:type="dxa" w:w="90"/>
              <w:left w:type="dxa" w:w="120"/>
              <w:bottom w:type="dxa" w:w="90"/>
              <w:right w:type="dxa" w:w="120"/>
            </w:tcMar>
            <w:vAlign w:val="center"/>
          </w:tcPr>
          <w:p>
            <w:r>
              <w:rPr>
                <w:sz w:val="19"/>
                <w:szCs w:val="19"/>
              </w:rPr>
              <w:t xml:space="preserve">AI Analytics</w:t>
            </w:r>
          </w:p>
        </w:tc>
        <w:tc>
          <w:tcPr>
            <w:tcW w:type="dxa" w:w="4675"/>
            <w:shd w:fill="FFFFFF" w:val="clear"/>
            <w:tcMar>
              <w:top w:type="dxa" w:w="90"/>
              <w:left w:type="dxa" w:w="120"/>
              <w:bottom w:type="dxa" w:w="90"/>
              <w:right w:type="dxa" w:w="120"/>
            </w:tcMar>
            <w:vAlign w:val="center"/>
          </w:tcPr>
          <w:p>
            <w:r>
              <w:rPr>
                <w:sz w:val="19"/>
                <w:szCs w:val="19"/>
              </w:rPr>
              <w:t xml:space="preserve">Critical</w:t>
            </w:r>
          </w:p>
        </w:tc>
      </w:tr>
      <w:tr>
        <w:tc>
          <w:tcPr>
            <w:tcW w:type="dxa" w:w="4675"/>
            <w:shd w:fill="F2F2F2" w:val="clear"/>
            <w:tcMar>
              <w:top w:type="dxa" w:w="90"/>
              <w:left w:type="dxa" w:w="120"/>
              <w:bottom w:type="dxa" w:w="90"/>
              <w:right w:type="dxa" w:w="120"/>
            </w:tcMar>
            <w:vAlign w:val="center"/>
          </w:tcPr>
          <w:p>
            <w:r>
              <w:rPr>
                <w:sz w:val="19"/>
                <w:szCs w:val="19"/>
              </w:rPr>
              <w:t xml:space="preserve">Partnerships</w:t>
            </w:r>
          </w:p>
        </w:tc>
        <w:tc>
          <w:tcPr>
            <w:tcW w:type="dxa" w:w="4675"/>
            <w:shd w:fill="F2F2F2" w:val="clear"/>
            <w:tcMar>
              <w:top w:type="dxa" w:w="90"/>
              <w:left w:type="dxa" w:w="120"/>
              <w:bottom w:type="dxa" w:w="90"/>
              <w:right w:type="dxa" w:w="120"/>
            </w:tcMar>
            <w:vAlign w:val="center"/>
          </w:tcPr>
          <w:p>
            <w:r>
              <w:rPr>
                <w:sz w:val="19"/>
                <w:szCs w:val="19"/>
              </w:rPr>
              <w:t xml:space="preserve">Critical</w:t>
            </w:r>
          </w:p>
        </w:tc>
      </w:tr>
      <w:tr>
        <w:tc>
          <w:tcPr>
            <w:tcW w:type="dxa" w:w="4675"/>
            <w:shd w:fill="FFFFFF" w:val="clear"/>
            <w:tcMar>
              <w:top w:type="dxa" w:w="90"/>
              <w:left w:type="dxa" w:w="120"/>
              <w:bottom w:type="dxa" w:w="90"/>
              <w:right w:type="dxa" w:w="120"/>
            </w:tcMar>
            <w:vAlign w:val="center"/>
          </w:tcPr>
          <w:p>
            <w:r>
              <w:rPr>
                <w:sz w:val="19"/>
                <w:szCs w:val="19"/>
              </w:rPr>
              <w:t xml:space="preserve">Logistics</w:t>
            </w:r>
          </w:p>
        </w:tc>
        <w:tc>
          <w:tcPr>
            <w:tcW w:type="dxa" w:w="4675"/>
            <w:shd w:fill="FFFFFF" w:val="clear"/>
            <w:tcMar>
              <w:top w:type="dxa" w:w="90"/>
              <w:left w:type="dxa" w:w="120"/>
              <w:bottom w:type="dxa" w:w="90"/>
              <w:right w:type="dxa" w:w="120"/>
            </w:tcMar>
            <w:vAlign w:val="center"/>
          </w:tcPr>
          <w:p>
            <w:r>
              <w:rPr>
                <w:sz w:val="19"/>
                <w:szCs w:val="19"/>
              </w:rPr>
              <w:t xml:space="preserve">Critical</w:t>
            </w:r>
          </w:p>
        </w:tc>
      </w:tr>
      <w:tr>
        <w:tc>
          <w:tcPr>
            <w:tcW w:type="dxa" w:w="4675"/>
            <w:shd w:fill="F2F2F2" w:val="clear"/>
            <w:tcMar>
              <w:top w:type="dxa" w:w="90"/>
              <w:left w:type="dxa" w:w="120"/>
              <w:bottom w:type="dxa" w:w="90"/>
              <w:right w:type="dxa" w:w="120"/>
            </w:tcMar>
            <w:vAlign w:val="center"/>
          </w:tcPr>
          <w:p>
            <w:r>
              <w:rPr>
                <w:sz w:val="19"/>
                <w:szCs w:val="19"/>
              </w:rPr>
              <w:t xml:space="preserve">QR Validation</w:t>
            </w:r>
          </w:p>
        </w:tc>
        <w:tc>
          <w:tcPr>
            <w:tcW w:type="dxa" w:w="4675"/>
            <w:shd w:fill="F2F2F2" w:val="clear"/>
            <w:tcMar>
              <w:top w:type="dxa" w:w="90"/>
              <w:left w:type="dxa" w:w="120"/>
              <w:bottom w:type="dxa" w:w="90"/>
              <w:right w:type="dxa" w:w="120"/>
            </w:tcMar>
            <w:vAlign w:val="center"/>
          </w:tcPr>
          <w:p>
            <w:r>
              <w:rPr>
                <w:sz w:val="19"/>
                <w:szCs w:val="19"/>
              </w:rPr>
              <w:t xml:space="preserve">High</w:t>
            </w:r>
          </w:p>
        </w:tc>
      </w:tr>
      <w:tr>
        <w:tc>
          <w:tcPr>
            <w:tcW w:type="dxa" w:w="4675"/>
            <w:shd w:fill="FFFFFF" w:val="clear"/>
            <w:tcMar>
              <w:top w:type="dxa" w:w="90"/>
              <w:left w:type="dxa" w:w="120"/>
              <w:bottom w:type="dxa" w:w="90"/>
              <w:right w:type="dxa" w:w="120"/>
            </w:tcMar>
            <w:vAlign w:val="center"/>
          </w:tcPr>
          <w:p>
            <w:r>
              <w:rPr>
                <w:sz w:val="19"/>
                <w:szCs w:val="19"/>
              </w:rPr>
              <w:t xml:space="preserve">Mobile App</w:t>
            </w:r>
          </w:p>
        </w:tc>
        <w:tc>
          <w:tcPr>
            <w:tcW w:type="dxa" w:w="4675"/>
            <w:shd w:fill="FFFFFF" w:val="clear"/>
            <w:tcMar>
              <w:top w:type="dxa" w:w="90"/>
              <w:left w:type="dxa" w:w="120"/>
              <w:bottom w:type="dxa" w:w="90"/>
              <w:right w:type="dxa" w:w="120"/>
            </w:tcMar>
            <w:vAlign w:val="center"/>
          </w:tcPr>
          <w:p>
            <w:r>
              <w:rPr>
                <w:sz w:val="19"/>
                <w:szCs w:val="19"/>
              </w:rPr>
              <w:t xml:space="preserve">High</w:t>
            </w:r>
          </w:p>
        </w:tc>
      </w:tr>
    </w:tbl>
    <w:p>
      <w:r>
        <w:br w:type="page"/>
      </w:r>
    </w:p>
    <w:p>
      <w:pPr>
        <w:pStyle w:val="Heading2"/>
        <w:spacing w:after="140" w:before="280"/>
      </w:pPr>
      <w:r>
        <w:rPr>
          <w:b/>
          <w:bCs/>
          <w:color w:val="1F2A44"/>
          <w:sz w:val="24"/>
          <w:szCs w:val="24"/>
        </w:rPr>
        <w:t xml:space="preserve">PHASE 6 — Egyptian Business Model</w:t>
      </w:r>
    </w:p>
    <w:p>
      <w:pPr>
        <w:pStyle w:val="Heading3"/>
        <w:spacing w:after="100" w:before="200"/>
      </w:pPr>
      <w:r>
        <w:rPr>
          <w:b/>
          <w:bCs/>
          <w:color w:val="374151"/>
          <w:sz w:val="21"/>
          <w:szCs w:val="21"/>
        </w:rPr>
        <w:t xml:space="preserve">Biggest Insight</w:t>
      </w:r>
    </w:p>
    <w:p>
      <w:pPr>
        <w:spacing w:after="140" w:line="276"/>
      </w:pPr>
      <w:r>
        <w:rPr>
          <w:sz w:val="21"/>
          <w:szCs w:val="21"/>
        </w:rPr>
        <w:t xml:space="preserve">Do NOT build a sampling company. Build a Consumer Intelligence Platform. Sampling is only customer acquisition.</w:t>
      </w:r>
    </w:p>
    <w:p>
      <w:pPr>
        <w:pStyle w:val="Heading3"/>
        <w:spacing w:after="100" w:before="200"/>
      </w:pPr>
      <w:r>
        <w:rPr>
          <w:b/>
          <w:bCs/>
          <w:color w:val="374151"/>
          <w:sz w:val="21"/>
          <w:szCs w:val="21"/>
        </w:rPr>
        <w:t xml:space="preserve">Revenue Streams</w:t>
      </w:r>
    </w:p>
    <w:p>
      <w:pPr>
        <w:pStyle w:val="ListParagraph"/>
        <w:numPr>
          <w:ilvl w:val="0"/>
          <w:numId w:val="1"/>
        </w:numPr>
        <w:spacing w:after="70"/>
      </w:pPr>
      <w:r>
        <w:rPr>
          <w:sz w:val="21"/>
          <w:szCs w:val="21"/>
        </w:rPr>
        <w:t xml:space="preserve">1. Brand Campaign Fee ⭐⭐⭐⭐⭐ — Every campaign has: Planning, Distribution, Analytics. Example: $4,000–20,000 equivalent depending on scale.</w:t>
      </w:r>
    </w:p>
    <w:p>
      <w:pPr>
        <w:pStyle w:val="ListParagraph"/>
        <w:numPr>
          <w:ilvl w:val="0"/>
          <w:numId w:val="1"/>
        </w:numPr>
        <w:spacing w:after="70"/>
      </w:pPr>
      <w:r>
        <w:rPr>
          <w:sz w:val="21"/>
          <w:szCs w:val="21"/>
        </w:rPr>
        <w:t xml:space="preserve">2. Per Sample Fee — Brand buys 20,000 samples; platform charges distribution fee per sample.</w:t>
      </w:r>
    </w:p>
    <w:p>
      <w:pPr>
        <w:pStyle w:val="ListParagraph"/>
        <w:numPr>
          <w:ilvl w:val="0"/>
          <w:numId w:val="1"/>
        </w:numPr>
        <w:spacing w:after="70"/>
      </w:pPr>
      <w:r>
        <w:rPr>
          <w:sz w:val="21"/>
          <w:szCs w:val="21"/>
        </w:rPr>
        <w:t xml:space="preserve">3. AI Insights Dashboard — Monthly subscription. Example: marketing teams, brand managers, innovation teams.</w:t>
      </w:r>
    </w:p>
    <w:p>
      <w:pPr>
        <w:pStyle w:val="ListParagraph"/>
        <w:numPr>
          <w:ilvl w:val="0"/>
          <w:numId w:val="1"/>
        </w:numPr>
        <w:spacing w:after="70"/>
      </w:pPr>
      <w:r>
        <w:rPr>
          <w:sz w:val="21"/>
          <w:szCs w:val="21"/>
        </w:rPr>
        <w:t xml:space="preserve">4. Consumer Panel — Need 500 mothers? 1,000 athletes? 500 students? Sell access.</w:t>
      </w:r>
    </w:p>
    <w:p>
      <w:pPr>
        <w:pStyle w:val="ListParagraph"/>
        <w:numPr>
          <w:ilvl w:val="0"/>
          <w:numId w:val="1"/>
        </w:numPr>
        <w:spacing w:after="70"/>
      </w:pPr>
      <w:r>
        <w:rPr>
          <w:sz w:val="21"/>
          <w:szCs w:val="21"/>
        </w:rPr>
        <w:t xml:space="preserve">5. Product Launch Validation — Before launching nationwide, brands test products. Premium pricing.</w:t>
      </w:r>
    </w:p>
    <w:p>
      <w:pPr>
        <w:pStyle w:val="ListParagraph"/>
        <w:numPr>
          <w:ilvl w:val="0"/>
          <w:numId w:val="1"/>
        </w:numPr>
        <w:spacing w:after="70"/>
      </w:pPr>
      <w:r>
        <w:rPr>
          <w:sz w:val="21"/>
          <w:szCs w:val="21"/>
        </w:rPr>
        <w:t xml:space="preserve">6. Retail Media — Shops pay, brands pay. Featured campaigns, sponsored activations.</w:t>
      </w:r>
    </w:p>
    <w:p>
      <w:pPr>
        <w:pStyle w:val="ListParagraph"/>
        <w:numPr>
          <w:ilvl w:val="0"/>
          <w:numId w:val="1"/>
        </w:numPr>
        <w:spacing w:after="70"/>
      </w:pPr>
      <w:r>
        <w:rPr>
          <w:sz w:val="21"/>
          <w:szCs w:val="21"/>
        </w:rPr>
        <w:t xml:space="preserve">7. API — Large enterprises connect their CRM. Premium.</w:t>
      </w:r>
    </w:p>
    <w:p>
      <w:pPr>
        <w:pStyle w:val="Heading3"/>
        <w:spacing w:after="100" w:before="200"/>
      </w:pPr>
      <w:r>
        <w:rPr>
          <w:b/>
          <w:bCs/>
          <w:color w:val="374151"/>
          <w:sz w:val="21"/>
          <w:szCs w:val="21"/>
        </w:rPr>
        <w:t xml:space="preserve">Recommended Revenue Mix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Revenue</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Share</w:t>
            </w:r>
          </w:p>
        </w:tc>
      </w:tr>
      <w:tr>
        <w:tc>
          <w:tcPr>
            <w:tcW w:type="dxa" w:w="4675"/>
            <w:shd w:fill="FFFFFF" w:val="clear"/>
            <w:tcMar>
              <w:top w:type="dxa" w:w="90"/>
              <w:left w:type="dxa" w:w="120"/>
              <w:bottom w:type="dxa" w:w="90"/>
              <w:right w:type="dxa" w:w="120"/>
            </w:tcMar>
            <w:vAlign w:val="center"/>
          </w:tcPr>
          <w:p>
            <w:r>
              <w:rPr>
                <w:sz w:val="19"/>
                <w:szCs w:val="19"/>
              </w:rPr>
              <w:t xml:space="preserve">Campaigns</w:t>
            </w:r>
          </w:p>
        </w:tc>
        <w:tc>
          <w:tcPr>
            <w:tcW w:type="dxa" w:w="4675"/>
            <w:shd w:fill="FFFFFF" w:val="clear"/>
            <w:tcMar>
              <w:top w:type="dxa" w:w="90"/>
              <w:left w:type="dxa" w:w="120"/>
              <w:bottom w:type="dxa" w:w="90"/>
              <w:right w:type="dxa" w:w="120"/>
            </w:tcMar>
            <w:vAlign w:val="center"/>
          </w:tcPr>
          <w:p>
            <w:r>
              <w:rPr>
                <w:sz w:val="19"/>
                <w:szCs w:val="19"/>
              </w:rPr>
              <w:t xml:space="preserve">45%</w:t>
            </w:r>
          </w:p>
        </w:tc>
      </w:tr>
      <w:tr>
        <w:tc>
          <w:tcPr>
            <w:tcW w:type="dxa" w:w="4675"/>
            <w:shd w:fill="F2F2F2" w:val="clear"/>
            <w:tcMar>
              <w:top w:type="dxa" w:w="90"/>
              <w:left w:type="dxa" w:w="120"/>
              <w:bottom w:type="dxa" w:w="90"/>
              <w:right w:type="dxa" w:w="120"/>
            </w:tcMar>
            <w:vAlign w:val="center"/>
          </w:tcPr>
          <w:p>
            <w:r>
              <w:rPr>
                <w:sz w:val="19"/>
                <w:szCs w:val="19"/>
              </w:rPr>
              <w:t xml:space="preserve">Sampling</w:t>
            </w:r>
          </w:p>
        </w:tc>
        <w:tc>
          <w:tcPr>
            <w:tcW w:type="dxa" w:w="4675"/>
            <w:shd w:fill="F2F2F2" w:val="clear"/>
            <w:tcMar>
              <w:top w:type="dxa" w:w="90"/>
              <w:left w:type="dxa" w:w="120"/>
              <w:bottom w:type="dxa" w:w="90"/>
              <w:right w:type="dxa" w:w="120"/>
            </w:tcMar>
            <w:vAlign w:val="center"/>
          </w:tcPr>
          <w:p>
            <w:r>
              <w:rPr>
                <w:sz w:val="19"/>
                <w:szCs w:val="19"/>
              </w:rPr>
              <w:t xml:space="preserve">20%</w:t>
            </w:r>
          </w:p>
        </w:tc>
      </w:tr>
      <w:tr>
        <w:tc>
          <w:tcPr>
            <w:tcW w:type="dxa" w:w="4675"/>
            <w:shd w:fill="FFFFFF" w:val="clear"/>
            <w:tcMar>
              <w:top w:type="dxa" w:w="90"/>
              <w:left w:type="dxa" w:w="120"/>
              <w:bottom w:type="dxa" w:w="90"/>
              <w:right w:type="dxa" w:w="120"/>
            </w:tcMar>
            <w:vAlign w:val="center"/>
          </w:tcPr>
          <w:p>
            <w:r>
              <w:rPr>
                <w:sz w:val="19"/>
                <w:szCs w:val="19"/>
              </w:rPr>
              <w:t xml:space="preserve">Analytics</w:t>
            </w:r>
          </w:p>
        </w:tc>
        <w:tc>
          <w:tcPr>
            <w:tcW w:type="dxa" w:w="4675"/>
            <w:shd w:fill="FFFFFF" w:val="clear"/>
            <w:tcMar>
              <w:top w:type="dxa" w:w="90"/>
              <w:left w:type="dxa" w:w="120"/>
              <w:bottom w:type="dxa" w:w="90"/>
              <w:right w:type="dxa" w:w="120"/>
            </w:tcMar>
            <w:vAlign w:val="center"/>
          </w:tcPr>
          <w:p>
            <w:r>
              <w:rPr>
                <w:sz w:val="19"/>
                <w:szCs w:val="19"/>
              </w:rPr>
              <w:t xml:space="preserve">15%</w:t>
            </w:r>
          </w:p>
        </w:tc>
      </w:tr>
      <w:tr>
        <w:tc>
          <w:tcPr>
            <w:tcW w:type="dxa" w:w="4675"/>
            <w:shd w:fill="F2F2F2" w:val="clear"/>
            <w:tcMar>
              <w:top w:type="dxa" w:w="90"/>
              <w:left w:type="dxa" w:w="120"/>
              <w:bottom w:type="dxa" w:w="90"/>
              <w:right w:type="dxa" w:w="120"/>
            </w:tcMar>
            <w:vAlign w:val="center"/>
          </w:tcPr>
          <w:p>
            <w:r>
              <w:rPr>
                <w:sz w:val="19"/>
                <w:szCs w:val="19"/>
              </w:rPr>
              <w:t xml:space="preserve">Enterprise</w:t>
            </w:r>
          </w:p>
        </w:tc>
        <w:tc>
          <w:tcPr>
            <w:tcW w:type="dxa" w:w="4675"/>
            <w:shd w:fill="F2F2F2" w:val="clear"/>
            <w:tcMar>
              <w:top w:type="dxa" w:w="90"/>
              <w:left w:type="dxa" w:w="120"/>
              <w:bottom w:type="dxa" w:w="90"/>
              <w:right w:type="dxa" w:w="120"/>
            </w:tcMar>
            <w:vAlign w:val="center"/>
          </w:tcPr>
          <w:p>
            <w:r>
              <w:rPr>
                <w:sz w:val="19"/>
                <w:szCs w:val="19"/>
              </w:rPr>
              <w:t xml:space="preserve">10%</w:t>
            </w:r>
          </w:p>
        </w:tc>
      </w:tr>
      <w:tr>
        <w:tc>
          <w:tcPr>
            <w:tcW w:type="dxa" w:w="4675"/>
            <w:shd w:fill="FFFFFF" w:val="clear"/>
            <w:tcMar>
              <w:top w:type="dxa" w:w="90"/>
              <w:left w:type="dxa" w:w="120"/>
              <w:bottom w:type="dxa" w:w="90"/>
              <w:right w:type="dxa" w:w="120"/>
            </w:tcMar>
            <w:vAlign w:val="center"/>
          </w:tcPr>
          <w:p>
            <w:r>
              <w:rPr>
                <w:sz w:val="19"/>
                <w:szCs w:val="19"/>
              </w:rPr>
              <w:t xml:space="preserve">Research</w:t>
            </w:r>
          </w:p>
        </w:tc>
        <w:tc>
          <w:tcPr>
            <w:tcW w:type="dxa" w:w="4675"/>
            <w:shd w:fill="FFFFFF" w:val="clear"/>
            <w:tcMar>
              <w:top w:type="dxa" w:w="90"/>
              <w:left w:type="dxa" w:w="120"/>
              <w:bottom w:type="dxa" w:w="90"/>
              <w:right w:type="dxa" w:w="120"/>
            </w:tcMar>
            <w:vAlign w:val="center"/>
          </w:tcPr>
          <w:p>
            <w:r>
              <w:rPr>
                <w:sz w:val="19"/>
                <w:szCs w:val="19"/>
              </w:rPr>
              <w:t xml:space="preserve">10%</w:t>
            </w:r>
          </w:p>
        </w:tc>
      </w:tr>
    </w:tbl>
    <w:p>
      <w:pPr>
        <w:pStyle w:val="Heading3"/>
        <w:spacing w:after="100" w:before="200"/>
      </w:pPr>
      <w:r>
        <w:rPr>
          <w:b/>
          <w:bCs/>
          <w:color w:val="374151"/>
          <w:sz w:val="21"/>
          <w:szCs w:val="21"/>
        </w:rPr>
        <w:t xml:space="preserve">Pricing Strategy — Three Packages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2800"/>
        <w:gridCol w:w="4550"/>
      </w:tblGrid>
      <w:tr>
        <w:trPr>
          <w:tblHeader/>
        </w:trPr>
        <w:tc>
          <w:tcPr>
            <w:tcW w:type="dxa" w:w="2000"/>
            <w:shd w:fill="1F2A44" w:val="clear"/>
            <w:tcMar>
              <w:top w:type="dxa" w:w="100"/>
              <w:left w:type="dxa" w:w="120"/>
              <w:bottom w:type="dxa" w:w="100"/>
              <w:right w:type="dxa" w:w="120"/>
            </w:tcMar>
            <w:vAlign w:val="center"/>
          </w:tcPr>
          <w:p>
            <w:r>
              <w:rPr>
                <w:b/>
                <w:bCs/>
                <w:color w:val="FFFFFF"/>
                <w:sz w:val="19"/>
                <w:szCs w:val="19"/>
              </w:rPr>
              <w:t xml:space="preserve">Package</w:t>
            </w:r>
          </w:p>
        </w:tc>
        <w:tc>
          <w:tcPr>
            <w:tcW w:type="dxa" w:w="2800"/>
            <w:shd w:fill="1F2A44" w:val="clear"/>
            <w:tcMar>
              <w:top w:type="dxa" w:w="100"/>
              <w:left w:type="dxa" w:w="120"/>
              <w:bottom w:type="dxa" w:w="100"/>
              <w:right w:type="dxa" w:w="120"/>
            </w:tcMar>
            <w:vAlign w:val="center"/>
          </w:tcPr>
          <w:p>
            <w:r>
              <w:rPr>
                <w:b/>
                <w:bCs/>
                <w:color w:val="FFFFFF"/>
                <w:sz w:val="19"/>
                <w:szCs w:val="19"/>
              </w:rPr>
              <w:t xml:space="preserve">Target</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Includes</w:t>
            </w:r>
          </w:p>
        </w:tc>
      </w:tr>
      <w:tr>
        <w:tc>
          <w:tcPr>
            <w:tcW w:type="dxa" w:w="2000"/>
            <w:shd w:fill="FFFFFF" w:val="clear"/>
            <w:tcMar>
              <w:top w:type="dxa" w:w="90"/>
              <w:left w:type="dxa" w:w="120"/>
              <w:bottom w:type="dxa" w:w="90"/>
              <w:right w:type="dxa" w:w="120"/>
            </w:tcMar>
            <w:vAlign w:val="center"/>
          </w:tcPr>
          <w:p>
            <w:r>
              <w:rPr>
                <w:sz w:val="19"/>
                <w:szCs w:val="19"/>
              </w:rPr>
              <w:t xml:space="preserve">Starter</w:t>
            </w:r>
          </w:p>
        </w:tc>
        <w:tc>
          <w:tcPr>
            <w:tcW w:type="dxa" w:w="2800"/>
            <w:shd w:fill="FFFFFF" w:val="clear"/>
            <w:tcMar>
              <w:top w:type="dxa" w:w="90"/>
              <w:left w:type="dxa" w:w="120"/>
              <w:bottom w:type="dxa" w:w="90"/>
              <w:right w:type="dxa" w:w="120"/>
            </w:tcMar>
            <w:vAlign w:val="center"/>
          </w:tcPr>
          <w:p>
            <w:r>
              <w:rPr>
                <w:sz w:val="19"/>
                <w:szCs w:val="19"/>
              </w:rPr>
              <w:t xml:space="preserve">Small brands</w:t>
            </w:r>
          </w:p>
        </w:tc>
        <w:tc>
          <w:tcPr>
            <w:tcW w:type="dxa" w:w="4550"/>
            <w:shd w:fill="FFFFFF" w:val="clear"/>
            <w:tcMar>
              <w:top w:type="dxa" w:w="90"/>
              <w:left w:type="dxa" w:w="120"/>
              <w:bottom w:type="dxa" w:w="90"/>
              <w:right w:type="dxa" w:w="120"/>
            </w:tcMar>
            <w:vAlign w:val="center"/>
          </w:tcPr>
          <w:p>
            <w:r>
              <w:rPr>
                <w:sz w:val="19"/>
                <w:szCs w:val="19"/>
              </w:rPr>
              <w:t xml:space="preserve">One campaign, basic dashboard</w:t>
            </w:r>
          </w:p>
        </w:tc>
      </w:tr>
      <w:tr>
        <w:tc>
          <w:tcPr>
            <w:tcW w:type="dxa" w:w="2000"/>
            <w:shd w:fill="F2F2F2" w:val="clear"/>
            <w:tcMar>
              <w:top w:type="dxa" w:w="90"/>
              <w:left w:type="dxa" w:w="120"/>
              <w:bottom w:type="dxa" w:w="90"/>
              <w:right w:type="dxa" w:w="120"/>
            </w:tcMar>
            <w:vAlign w:val="center"/>
          </w:tcPr>
          <w:p>
            <w:r>
              <w:rPr>
                <w:sz w:val="19"/>
                <w:szCs w:val="19"/>
              </w:rPr>
              <w:t xml:space="preserve">Growth</w:t>
            </w:r>
          </w:p>
        </w:tc>
        <w:tc>
          <w:tcPr>
            <w:tcW w:type="dxa" w:w="2800"/>
            <w:shd w:fill="F2F2F2" w:val="clear"/>
            <w:tcMar>
              <w:top w:type="dxa" w:w="90"/>
              <w:left w:type="dxa" w:w="120"/>
              <w:bottom w:type="dxa" w:w="90"/>
              <w:right w:type="dxa" w:w="120"/>
            </w:tcMar>
            <w:vAlign w:val="center"/>
          </w:tcPr>
          <w:p>
            <w:r>
              <w:rPr>
                <w:sz w:val="19"/>
                <w:szCs w:val="19"/>
              </w:rPr>
              <w:t xml:space="preserve">Medium FMCG</w:t>
            </w:r>
          </w:p>
        </w:tc>
        <w:tc>
          <w:tcPr>
            <w:tcW w:type="dxa" w:w="4550"/>
            <w:shd w:fill="F2F2F2" w:val="clear"/>
            <w:tcMar>
              <w:top w:type="dxa" w:w="90"/>
              <w:left w:type="dxa" w:w="120"/>
              <w:bottom w:type="dxa" w:w="90"/>
              <w:right w:type="dxa" w:w="120"/>
            </w:tcMar>
            <w:vAlign w:val="center"/>
          </w:tcPr>
          <w:p>
            <w:r>
              <w:rPr>
                <w:sz w:val="19"/>
                <w:szCs w:val="19"/>
              </w:rPr>
              <w:t xml:space="preserve">Multiple campaigns, segmentation</w:t>
            </w:r>
          </w:p>
        </w:tc>
      </w:tr>
      <w:tr>
        <w:tc>
          <w:tcPr>
            <w:tcW w:type="dxa" w:w="2000"/>
            <w:shd w:fill="FFFFFF" w:val="clear"/>
            <w:tcMar>
              <w:top w:type="dxa" w:w="90"/>
              <w:left w:type="dxa" w:w="120"/>
              <w:bottom w:type="dxa" w:w="90"/>
              <w:right w:type="dxa" w:w="120"/>
            </w:tcMar>
            <w:vAlign w:val="center"/>
          </w:tcPr>
          <w:p>
            <w:r>
              <w:rPr>
                <w:sz w:val="19"/>
                <w:szCs w:val="19"/>
              </w:rPr>
              <w:t xml:space="preserve">Enterprise</w:t>
            </w:r>
          </w:p>
        </w:tc>
        <w:tc>
          <w:tcPr>
            <w:tcW w:type="dxa" w:w="2800"/>
            <w:shd w:fill="FFFFFF" w:val="clear"/>
            <w:tcMar>
              <w:top w:type="dxa" w:w="90"/>
              <w:left w:type="dxa" w:w="120"/>
              <w:bottom w:type="dxa" w:w="90"/>
              <w:right w:type="dxa" w:w="120"/>
            </w:tcMar>
            <w:vAlign w:val="center"/>
          </w:tcPr>
          <w:p>
            <w:r>
              <w:rPr>
                <w:sz w:val="19"/>
                <w:szCs w:val="19"/>
              </w:rPr>
              <w:t xml:space="preserve">Large accounts</w:t>
            </w:r>
          </w:p>
        </w:tc>
        <w:tc>
          <w:tcPr>
            <w:tcW w:type="dxa" w:w="4550"/>
            <w:shd w:fill="FFFFFF" w:val="clear"/>
            <w:tcMar>
              <w:top w:type="dxa" w:w="90"/>
              <w:left w:type="dxa" w:w="120"/>
              <w:bottom w:type="dxa" w:w="90"/>
              <w:right w:type="dxa" w:w="120"/>
            </w:tcMar>
            <w:vAlign w:val="center"/>
          </w:tcPr>
          <w:p>
            <w:r>
              <w:rPr>
                <w:sz w:val="19"/>
                <w:szCs w:val="19"/>
              </w:rPr>
              <w:t xml:space="preserve">Unlimited, custom analytics, dedicated account, AI forecasting</w:t>
            </w:r>
          </w:p>
        </w:tc>
      </w:tr>
    </w:tbl>
    <w:p>
      <w:r>
        <w:br w:type="page"/>
      </w:r>
    </w:p>
    <w:p>
      <w:pPr>
        <w:pStyle w:val="Heading2"/>
        <w:spacing w:after="140" w:before="280"/>
      </w:pPr>
      <w:r>
        <w:rPr>
          <w:b/>
          <w:bCs/>
          <w:color w:val="1F2A44"/>
          <w:sz w:val="24"/>
          <w:szCs w:val="24"/>
        </w:rPr>
        <w:t xml:space="preserve">PHASE 7 — Financial Feasibility</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D68910"/>
                <w:sz w:val="22"/>
                <w:szCs w:val="22"/>
              </w:rPr>
              <w:t xml:space="preserve">Assumptions</w:t>
            </w:r>
          </w:p>
          <w:p>
            <w:pPr>
              <w:spacing w:after="60"/>
            </w:pPr>
            <w:r>
              <w:rPr>
                <w:sz w:val="20"/>
                <w:szCs w:val="20"/>
              </w:rPr>
              <w:t xml:space="preserve">• These are estimates — not verified costs.</w:t>
            </w:r>
          </w:p>
          <w:p>
            <w:pPr>
              <w:spacing w:after="60"/>
            </w:pPr>
            <w:r>
              <w:rPr>
                <w:sz w:val="20"/>
                <w:szCs w:val="20"/>
              </w:rPr>
              <w:t xml:space="preserve">• Launch: Cairo only, Year 1, 8 employees, mobile app, cloud infrastructure, partner logistics, no owned warehouses.</w:t>
            </w:r>
          </w:p>
        </w:tc>
      </w:tr>
    </w:tbl>
    <w:p>
      <w:pPr>
        <w:pStyle w:val="Heading3"/>
        <w:spacing w:after="100" w:before="200"/>
      </w:pPr>
      <w:r>
        <w:rPr>
          <w:b/>
          <w:bCs/>
          <w:color w:val="374151"/>
          <w:sz w:val="21"/>
          <w:szCs w:val="21"/>
        </w:rPr>
        <w:t xml:space="preserve">Initial Investment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000"/>
        <w:gridCol w:w="3350"/>
      </w:tblGrid>
      <w:tr>
        <w:trPr>
          <w:tblHeader/>
        </w:trPr>
        <w:tc>
          <w:tcPr>
            <w:tcW w:type="dxa" w:w="6000"/>
            <w:shd w:fill="1F2A44" w:val="clear"/>
            <w:tcMar>
              <w:top w:type="dxa" w:w="100"/>
              <w:left w:type="dxa" w:w="120"/>
              <w:bottom w:type="dxa" w:w="100"/>
              <w:right w:type="dxa" w:w="120"/>
            </w:tcMar>
            <w:vAlign w:val="center"/>
          </w:tcPr>
          <w:p>
            <w:r>
              <w:rPr>
                <w:b/>
                <w:bCs/>
                <w:color w:val="FFFFFF"/>
                <w:sz w:val="19"/>
                <w:szCs w:val="19"/>
              </w:rPr>
              <w:t xml:space="preserve">Item</w:t>
            </w:r>
          </w:p>
        </w:tc>
        <w:tc>
          <w:tcPr>
            <w:tcW w:type="dxa" w:w="3350"/>
            <w:shd w:fill="1F2A44" w:val="clear"/>
            <w:tcMar>
              <w:top w:type="dxa" w:w="100"/>
              <w:left w:type="dxa" w:w="120"/>
              <w:bottom w:type="dxa" w:w="100"/>
              <w:right w:type="dxa" w:w="120"/>
            </w:tcMar>
            <w:vAlign w:val="center"/>
          </w:tcPr>
          <w:p>
            <w:r>
              <w:rPr>
                <w:b/>
                <w:bCs/>
                <w:color w:val="FFFFFF"/>
                <w:sz w:val="19"/>
                <w:szCs w:val="19"/>
              </w:rPr>
              <w:t xml:space="preserve">Estimate (USD)</w:t>
            </w:r>
          </w:p>
        </w:tc>
      </w:tr>
      <w:tr>
        <w:tc>
          <w:tcPr>
            <w:tcW w:type="dxa" w:w="6000"/>
            <w:shd w:fill="FFFFFF" w:val="clear"/>
            <w:tcMar>
              <w:top w:type="dxa" w:w="90"/>
              <w:left w:type="dxa" w:w="120"/>
              <w:bottom w:type="dxa" w:w="90"/>
              <w:right w:type="dxa" w:w="120"/>
            </w:tcMar>
            <w:vAlign w:val="center"/>
          </w:tcPr>
          <w:p>
            <w:r>
              <w:rPr>
                <w:sz w:val="19"/>
                <w:szCs w:val="19"/>
              </w:rPr>
              <w:t xml:space="preserve">Mobile app</w:t>
            </w:r>
          </w:p>
        </w:tc>
        <w:tc>
          <w:tcPr>
            <w:tcW w:type="dxa" w:w="3350"/>
            <w:shd w:fill="FFFFFF" w:val="clear"/>
            <w:tcMar>
              <w:top w:type="dxa" w:w="90"/>
              <w:left w:type="dxa" w:w="120"/>
              <w:bottom w:type="dxa" w:w="90"/>
              <w:right w:type="dxa" w:w="120"/>
            </w:tcMar>
            <w:vAlign w:val="center"/>
          </w:tcPr>
          <w:p>
            <w:r>
              <w:rPr>
                <w:sz w:val="19"/>
                <w:szCs w:val="19"/>
              </w:rPr>
              <w:t xml:space="preserve">40,000</w:t>
            </w:r>
          </w:p>
        </w:tc>
      </w:tr>
      <w:tr>
        <w:tc>
          <w:tcPr>
            <w:tcW w:type="dxa" w:w="6000"/>
            <w:shd w:fill="F2F2F2" w:val="clear"/>
            <w:tcMar>
              <w:top w:type="dxa" w:w="90"/>
              <w:left w:type="dxa" w:w="120"/>
              <w:bottom w:type="dxa" w:w="90"/>
              <w:right w:type="dxa" w:w="120"/>
            </w:tcMar>
            <w:vAlign w:val="center"/>
          </w:tcPr>
          <w:p>
            <w:r>
              <w:rPr>
                <w:sz w:val="19"/>
                <w:szCs w:val="19"/>
              </w:rPr>
              <w:t xml:space="preserve">Backend platform</w:t>
            </w:r>
          </w:p>
        </w:tc>
        <w:tc>
          <w:tcPr>
            <w:tcW w:type="dxa" w:w="3350"/>
            <w:shd w:fill="F2F2F2" w:val="clear"/>
            <w:tcMar>
              <w:top w:type="dxa" w:w="90"/>
              <w:left w:type="dxa" w:w="120"/>
              <w:bottom w:type="dxa" w:w="90"/>
              <w:right w:type="dxa" w:w="120"/>
            </w:tcMar>
            <w:vAlign w:val="center"/>
          </w:tcPr>
          <w:p>
            <w:r>
              <w:rPr>
                <w:sz w:val="19"/>
                <w:szCs w:val="19"/>
              </w:rPr>
              <w:t xml:space="preserve">35,000</w:t>
            </w:r>
          </w:p>
        </w:tc>
      </w:tr>
      <w:tr>
        <w:tc>
          <w:tcPr>
            <w:tcW w:type="dxa" w:w="6000"/>
            <w:shd w:fill="FFFFFF" w:val="clear"/>
            <w:tcMar>
              <w:top w:type="dxa" w:w="90"/>
              <w:left w:type="dxa" w:w="120"/>
              <w:bottom w:type="dxa" w:w="90"/>
              <w:right w:type="dxa" w:w="120"/>
            </w:tcMar>
            <w:vAlign w:val="center"/>
          </w:tcPr>
          <w:p>
            <w:r>
              <w:rPr>
                <w:sz w:val="19"/>
                <w:szCs w:val="19"/>
              </w:rPr>
              <w:t xml:space="preserve">AI dashboards</w:t>
            </w:r>
          </w:p>
        </w:tc>
        <w:tc>
          <w:tcPr>
            <w:tcW w:type="dxa" w:w="3350"/>
            <w:shd w:fill="FFFFFF" w:val="clear"/>
            <w:tcMar>
              <w:top w:type="dxa" w:w="90"/>
              <w:left w:type="dxa" w:w="120"/>
              <w:bottom w:type="dxa" w:w="90"/>
              <w:right w:type="dxa" w:w="120"/>
            </w:tcMar>
            <w:vAlign w:val="center"/>
          </w:tcPr>
          <w:p>
            <w:r>
              <w:rPr>
                <w:sz w:val="19"/>
                <w:szCs w:val="19"/>
              </w:rPr>
              <w:t xml:space="preserve">20,000</w:t>
            </w:r>
          </w:p>
        </w:tc>
      </w:tr>
      <w:tr>
        <w:tc>
          <w:tcPr>
            <w:tcW w:type="dxa" w:w="6000"/>
            <w:shd w:fill="F2F2F2" w:val="clear"/>
            <w:tcMar>
              <w:top w:type="dxa" w:w="90"/>
              <w:left w:type="dxa" w:w="120"/>
              <w:bottom w:type="dxa" w:w="90"/>
              <w:right w:type="dxa" w:w="120"/>
            </w:tcMar>
            <w:vAlign w:val="center"/>
          </w:tcPr>
          <w:p>
            <w:r>
              <w:rPr>
                <w:sz w:val="19"/>
                <w:szCs w:val="19"/>
              </w:rPr>
              <w:t xml:space="preserve">Website</w:t>
            </w:r>
          </w:p>
        </w:tc>
        <w:tc>
          <w:tcPr>
            <w:tcW w:type="dxa" w:w="3350"/>
            <w:shd w:fill="F2F2F2" w:val="clear"/>
            <w:tcMar>
              <w:top w:type="dxa" w:w="90"/>
              <w:left w:type="dxa" w:w="120"/>
              <w:bottom w:type="dxa" w:w="90"/>
              <w:right w:type="dxa" w:w="120"/>
            </w:tcMar>
            <w:vAlign w:val="center"/>
          </w:tcPr>
          <w:p>
            <w:r>
              <w:rPr>
                <w:sz w:val="19"/>
                <w:szCs w:val="19"/>
              </w:rPr>
              <w:t xml:space="preserve">8,000</w:t>
            </w:r>
          </w:p>
        </w:tc>
      </w:tr>
      <w:tr>
        <w:tc>
          <w:tcPr>
            <w:tcW w:type="dxa" w:w="6000"/>
            <w:shd w:fill="FFFFFF" w:val="clear"/>
            <w:tcMar>
              <w:top w:type="dxa" w:w="90"/>
              <w:left w:type="dxa" w:w="120"/>
              <w:bottom w:type="dxa" w:w="90"/>
              <w:right w:type="dxa" w:w="120"/>
            </w:tcMar>
            <w:vAlign w:val="center"/>
          </w:tcPr>
          <w:p>
            <w:r>
              <w:rPr>
                <w:sz w:val="19"/>
                <w:szCs w:val="19"/>
              </w:rPr>
              <w:t xml:space="preserve">Admin portal</w:t>
            </w:r>
          </w:p>
        </w:tc>
        <w:tc>
          <w:tcPr>
            <w:tcW w:type="dxa" w:w="3350"/>
            <w:shd w:fill="FFFFFF" w:val="clear"/>
            <w:tcMar>
              <w:top w:type="dxa" w:w="90"/>
              <w:left w:type="dxa" w:w="120"/>
              <w:bottom w:type="dxa" w:w="90"/>
              <w:right w:type="dxa" w:w="120"/>
            </w:tcMar>
            <w:vAlign w:val="center"/>
          </w:tcPr>
          <w:p>
            <w:r>
              <w:rPr>
                <w:sz w:val="19"/>
                <w:szCs w:val="19"/>
              </w:rPr>
              <w:t xml:space="preserve">15,000</w:t>
            </w:r>
          </w:p>
        </w:tc>
      </w:tr>
      <w:tr>
        <w:tc>
          <w:tcPr>
            <w:tcW w:type="dxa" w:w="6000"/>
            <w:shd w:fill="F2F2F2" w:val="clear"/>
            <w:tcMar>
              <w:top w:type="dxa" w:w="90"/>
              <w:left w:type="dxa" w:w="120"/>
              <w:bottom w:type="dxa" w:w="90"/>
              <w:right w:type="dxa" w:w="120"/>
            </w:tcMar>
            <w:vAlign w:val="center"/>
          </w:tcPr>
          <w:p>
            <w:r>
              <w:rPr>
                <w:sz w:val="19"/>
                <w:szCs w:val="19"/>
              </w:rPr>
              <w:t xml:space="preserve">Legal</w:t>
            </w:r>
          </w:p>
        </w:tc>
        <w:tc>
          <w:tcPr>
            <w:tcW w:type="dxa" w:w="3350"/>
            <w:shd w:fill="F2F2F2" w:val="clear"/>
            <w:tcMar>
              <w:top w:type="dxa" w:w="90"/>
              <w:left w:type="dxa" w:w="120"/>
              <w:bottom w:type="dxa" w:w="90"/>
              <w:right w:type="dxa" w:w="120"/>
            </w:tcMar>
            <w:vAlign w:val="center"/>
          </w:tcPr>
          <w:p>
            <w:r>
              <w:rPr>
                <w:sz w:val="19"/>
                <w:szCs w:val="19"/>
              </w:rPr>
              <w:t xml:space="preserve">10,000</w:t>
            </w:r>
          </w:p>
        </w:tc>
      </w:tr>
      <w:tr>
        <w:tc>
          <w:tcPr>
            <w:tcW w:type="dxa" w:w="6000"/>
            <w:shd w:fill="FFFFFF" w:val="clear"/>
            <w:tcMar>
              <w:top w:type="dxa" w:w="90"/>
              <w:left w:type="dxa" w:w="120"/>
              <w:bottom w:type="dxa" w:w="90"/>
              <w:right w:type="dxa" w:w="120"/>
            </w:tcMar>
            <w:vAlign w:val="center"/>
          </w:tcPr>
          <w:p>
            <w:r>
              <w:rPr>
                <w:sz w:val="19"/>
                <w:szCs w:val="19"/>
              </w:rPr>
              <w:t xml:space="preserve">Branding</w:t>
            </w:r>
          </w:p>
        </w:tc>
        <w:tc>
          <w:tcPr>
            <w:tcW w:type="dxa" w:w="3350"/>
            <w:shd w:fill="FFFFFF" w:val="clear"/>
            <w:tcMar>
              <w:top w:type="dxa" w:w="90"/>
              <w:left w:type="dxa" w:w="120"/>
              <w:bottom w:type="dxa" w:w="90"/>
              <w:right w:type="dxa" w:w="120"/>
            </w:tcMar>
            <w:vAlign w:val="center"/>
          </w:tcPr>
          <w:p>
            <w:r>
              <w:rPr>
                <w:sz w:val="19"/>
                <w:szCs w:val="19"/>
              </w:rPr>
              <w:t xml:space="preserve">10,000</w:t>
            </w:r>
          </w:p>
        </w:tc>
      </w:tr>
      <w:tr>
        <w:tc>
          <w:tcPr>
            <w:tcW w:type="dxa" w:w="6000"/>
            <w:shd w:fill="F2F2F2" w:val="clear"/>
            <w:tcMar>
              <w:top w:type="dxa" w:w="90"/>
              <w:left w:type="dxa" w:w="120"/>
              <w:bottom w:type="dxa" w:w="90"/>
              <w:right w:type="dxa" w:w="120"/>
            </w:tcMar>
            <w:vAlign w:val="center"/>
          </w:tcPr>
          <w:p>
            <w:r>
              <w:rPr>
                <w:sz w:val="19"/>
                <w:szCs w:val="19"/>
              </w:rPr>
              <w:t xml:space="preserve">Launch marketing</w:t>
            </w:r>
          </w:p>
        </w:tc>
        <w:tc>
          <w:tcPr>
            <w:tcW w:type="dxa" w:w="3350"/>
            <w:shd w:fill="F2F2F2" w:val="clear"/>
            <w:tcMar>
              <w:top w:type="dxa" w:w="90"/>
              <w:left w:type="dxa" w:w="120"/>
              <w:bottom w:type="dxa" w:w="90"/>
              <w:right w:type="dxa" w:w="120"/>
            </w:tcMar>
            <w:vAlign w:val="center"/>
          </w:tcPr>
          <w:p>
            <w:r>
              <w:rPr>
                <w:sz w:val="19"/>
                <w:szCs w:val="19"/>
              </w:rPr>
              <w:t xml:space="preserve">40,000</w:t>
            </w:r>
          </w:p>
        </w:tc>
      </w:tr>
      <w:tr>
        <w:tc>
          <w:tcPr>
            <w:tcW w:type="dxa" w:w="6000"/>
            <w:shd w:fill="FFFFFF" w:val="clear"/>
            <w:tcMar>
              <w:top w:type="dxa" w:w="90"/>
              <w:left w:type="dxa" w:w="120"/>
              <w:bottom w:type="dxa" w:w="90"/>
              <w:right w:type="dxa" w:w="120"/>
            </w:tcMar>
            <w:vAlign w:val="center"/>
          </w:tcPr>
          <w:p>
            <w:r>
              <w:rPr>
                <w:sz w:val="19"/>
                <w:szCs w:val="19"/>
              </w:rPr>
              <w:t xml:space="preserve">Office &amp; equipment</w:t>
            </w:r>
          </w:p>
        </w:tc>
        <w:tc>
          <w:tcPr>
            <w:tcW w:type="dxa" w:w="3350"/>
            <w:shd w:fill="FFFFFF" w:val="clear"/>
            <w:tcMar>
              <w:top w:type="dxa" w:w="90"/>
              <w:left w:type="dxa" w:w="120"/>
              <w:bottom w:type="dxa" w:w="90"/>
              <w:right w:type="dxa" w:w="120"/>
            </w:tcMar>
            <w:vAlign w:val="center"/>
          </w:tcPr>
          <w:p>
            <w:r>
              <w:rPr>
                <w:sz w:val="19"/>
                <w:szCs w:val="19"/>
              </w:rPr>
              <w:t xml:space="preserve">25,000</w:t>
            </w:r>
          </w:p>
        </w:tc>
      </w:tr>
      <w:tr>
        <w:tc>
          <w:tcPr>
            <w:tcW w:type="dxa" w:w="6000"/>
            <w:shd w:fill="F2F2F2" w:val="clear"/>
            <w:tcMar>
              <w:top w:type="dxa" w:w="90"/>
              <w:left w:type="dxa" w:w="120"/>
              <w:bottom w:type="dxa" w:w="90"/>
              <w:right w:type="dxa" w:w="120"/>
            </w:tcMar>
            <w:vAlign w:val="center"/>
          </w:tcPr>
          <w:p>
            <w:r>
              <w:rPr>
                <w:sz w:val="19"/>
                <w:szCs w:val="19"/>
              </w:rPr>
              <w:t xml:space="preserve">Working capital</w:t>
            </w:r>
          </w:p>
        </w:tc>
        <w:tc>
          <w:tcPr>
            <w:tcW w:type="dxa" w:w="3350"/>
            <w:shd w:fill="F2F2F2" w:val="clear"/>
            <w:tcMar>
              <w:top w:type="dxa" w:w="90"/>
              <w:left w:type="dxa" w:w="120"/>
              <w:bottom w:type="dxa" w:w="90"/>
              <w:right w:type="dxa" w:w="120"/>
            </w:tcMar>
            <w:vAlign w:val="center"/>
          </w:tcPr>
          <w:p>
            <w:r>
              <w:rPr>
                <w:sz w:val="19"/>
                <w:szCs w:val="19"/>
              </w:rPr>
              <w:t xml:space="preserve">100,000</w:t>
            </w:r>
          </w:p>
        </w:tc>
      </w:tr>
      <w:tr>
        <w:tc>
          <w:tcPr>
            <w:tcW w:type="dxa" w:w="6000"/>
            <w:shd w:fill="FFFFFF" w:val="clear"/>
            <w:tcMar>
              <w:top w:type="dxa" w:w="90"/>
              <w:left w:type="dxa" w:w="120"/>
              <w:bottom w:type="dxa" w:w="90"/>
              <w:right w:type="dxa" w:w="120"/>
            </w:tcMar>
            <w:vAlign w:val="center"/>
          </w:tcPr>
          <w:p>
            <w:r>
              <w:rPr>
                <w:sz w:val="19"/>
                <w:szCs w:val="19"/>
              </w:rPr>
              <w:t xml:space="preserve">TOTAL</w:t>
            </w:r>
          </w:p>
        </w:tc>
        <w:tc>
          <w:tcPr>
            <w:tcW w:type="dxa" w:w="3350"/>
            <w:shd w:fill="FFFFFF" w:val="clear"/>
            <w:tcMar>
              <w:top w:type="dxa" w:w="90"/>
              <w:left w:type="dxa" w:w="120"/>
              <w:bottom w:type="dxa" w:w="90"/>
              <w:right w:type="dxa" w:w="120"/>
            </w:tcMar>
            <w:vAlign w:val="center"/>
          </w:tcPr>
          <w:p>
            <w:r>
              <w:rPr>
                <w:sz w:val="19"/>
                <w:szCs w:val="19"/>
              </w:rPr>
              <w:t xml:space="preserve">≈ $303,000</w:t>
            </w:r>
          </w:p>
        </w:tc>
      </w:tr>
    </w:tbl>
    <w:p>
      <w:pPr>
        <w:pStyle w:val="Heading3"/>
        <w:spacing w:after="100" w:before="200"/>
      </w:pPr>
      <w:r>
        <w:rPr>
          <w:b/>
          <w:bCs/>
          <w:color w:val="374151"/>
          <w:sz w:val="21"/>
          <w:szCs w:val="21"/>
        </w:rPr>
        <w:t xml:space="preserve">Lean MVP</w:t>
      </w:r>
    </w:p>
    <w:p>
      <w:pPr>
        <w:spacing w:after="140" w:line="276"/>
      </w:pPr>
      <w:r>
        <w:rPr>
          <w:sz w:val="21"/>
          <w:szCs w:val="21"/>
        </w:rPr>
        <w:t xml:space="preserve">Could launch around $90,000–120,000 if: no permanent kiosks, outsourced logistics, small team, Cairo only.</w:t>
      </w:r>
    </w:p>
    <w:p>
      <w:pPr>
        <w:pStyle w:val="Heading3"/>
        <w:spacing w:after="100" w:before="200"/>
      </w:pPr>
      <w:r>
        <w:rPr>
          <w:b/>
          <w:bCs/>
          <w:color w:val="374151"/>
          <w:sz w:val="21"/>
          <w:szCs w:val="21"/>
        </w:rPr>
        <w:t xml:space="preserve">Monthly Costs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000"/>
        <w:gridCol w:w="3350"/>
      </w:tblGrid>
      <w:tr>
        <w:trPr>
          <w:tblHeader/>
        </w:trPr>
        <w:tc>
          <w:tcPr>
            <w:tcW w:type="dxa" w:w="6000"/>
            <w:shd w:fill="1F2A44" w:val="clear"/>
            <w:tcMar>
              <w:top w:type="dxa" w:w="100"/>
              <w:left w:type="dxa" w:w="120"/>
              <w:bottom w:type="dxa" w:w="100"/>
              <w:right w:type="dxa" w:w="120"/>
            </w:tcMar>
            <w:vAlign w:val="center"/>
          </w:tcPr>
          <w:p>
            <w:r>
              <w:rPr>
                <w:b/>
                <w:bCs/>
                <w:color w:val="FFFFFF"/>
                <w:sz w:val="19"/>
                <w:szCs w:val="19"/>
              </w:rPr>
              <w:t xml:space="preserve">Item</w:t>
            </w:r>
          </w:p>
        </w:tc>
        <w:tc>
          <w:tcPr>
            <w:tcW w:type="dxa" w:w="3350"/>
            <w:shd w:fill="1F2A44" w:val="clear"/>
            <w:tcMar>
              <w:top w:type="dxa" w:w="100"/>
              <w:left w:type="dxa" w:w="120"/>
              <w:bottom w:type="dxa" w:w="100"/>
              <w:right w:type="dxa" w:w="120"/>
            </w:tcMar>
            <w:vAlign w:val="center"/>
          </w:tcPr>
          <w:p>
            <w:r>
              <w:rPr>
                <w:b/>
                <w:bCs/>
                <w:color w:val="FFFFFF"/>
                <w:sz w:val="19"/>
                <w:szCs w:val="19"/>
              </w:rPr>
              <w:t xml:space="preserve">USD</w:t>
            </w:r>
          </w:p>
        </w:tc>
      </w:tr>
      <w:tr>
        <w:tc>
          <w:tcPr>
            <w:tcW w:type="dxa" w:w="6000"/>
            <w:shd w:fill="FFFFFF" w:val="clear"/>
            <w:tcMar>
              <w:top w:type="dxa" w:w="90"/>
              <w:left w:type="dxa" w:w="120"/>
              <w:bottom w:type="dxa" w:w="90"/>
              <w:right w:type="dxa" w:w="120"/>
            </w:tcMar>
            <w:vAlign w:val="center"/>
          </w:tcPr>
          <w:p>
            <w:r>
              <w:rPr>
                <w:sz w:val="19"/>
                <w:szCs w:val="19"/>
              </w:rPr>
              <w:t xml:space="preserve">Salaries</w:t>
            </w:r>
          </w:p>
        </w:tc>
        <w:tc>
          <w:tcPr>
            <w:tcW w:type="dxa" w:w="3350"/>
            <w:shd w:fill="FFFFFF" w:val="clear"/>
            <w:tcMar>
              <w:top w:type="dxa" w:w="90"/>
              <w:left w:type="dxa" w:w="120"/>
              <w:bottom w:type="dxa" w:w="90"/>
              <w:right w:type="dxa" w:w="120"/>
            </w:tcMar>
            <w:vAlign w:val="center"/>
          </w:tcPr>
          <w:p>
            <w:r>
              <w:rPr>
                <w:sz w:val="19"/>
                <w:szCs w:val="19"/>
              </w:rPr>
              <w:t xml:space="preserve">18,000</w:t>
            </w:r>
          </w:p>
        </w:tc>
      </w:tr>
      <w:tr>
        <w:tc>
          <w:tcPr>
            <w:tcW w:type="dxa" w:w="6000"/>
            <w:shd w:fill="F2F2F2" w:val="clear"/>
            <w:tcMar>
              <w:top w:type="dxa" w:w="90"/>
              <w:left w:type="dxa" w:w="120"/>
              <w:bottom w:type="dxa" w:w="90"/>
              <w:right w:type="dxa" w:w="120"/>
            </w:tcMar>
            <w:vAlign w:val="center"/>
          </w:tcPr>
          <w:p>
            <w:r>
              <w:rPr>
                <w:sz w:val="19"/>
                <w:szCs w:val="19"/>
              </w:rPr>
              <w:t xml:space="preserve">Cloud</w:t>
            </w:r>
          </w:p>
        </w:tc>
        <w:tc>
          <w:tcPr>
            <w:tcW w:type="dxa" w:w="3350"/>
            <w:shd w:fill="F2F2F2" w:val="clear"/>
            <w:tcMar>
              <w:top w:type="dxa" w:w="90"/>
              <w:left w:type="dxa" w:w="120"/>
              <w:bottom w:type="dxa" w:w="90"/>
              <w:right w:type="dxa" w:w="120"/>
            </w:tcMar>
            <w:vAlign w:val="center"/>
          </w:tcPr>
          <w:p>
            <w:r>
              <w:rPr>
                <w:sz w:val="19"/>
                <w:szCs w:val="19"/>
              </w:rPr>
              <w:t xml:space="preserve">2,000</w:t>
            </w:r>
          </w:p>
        </w:tc>
      </w:tr>
      <w:tr>
        <w:tc>
          <w:tcPr>
            <w:tcW w:type="dxa" w:w="6000"/>
            <w:shd w:fill="FFFFFF" w:val="clear"/>
            <w:tcMar>
              <w:top w:type="dxa" w:w="90"/>
              <w:left w:type="dxa" w:w="120"/>
              <w:bottom w:type="dxa" w:w="90"/>
              <w:right w:type="dxa" w:w="120"/>
            </w:tcMar>
            <w:vAlign w:val="center"/>
          </w:tcPr>
          <w:p>
            <w:r>
              <w:rPr>
                <w:sz w:val="19"/>
                <w:szCs w:val="19"/>
              </w:rPr>
              <w:t xml:space="preserve">Marketing</w:t>
            </w:r>
          </w:p>
        </w:tc>
        <w:tc>
          <w:tcPr>
            <w:tcW w:type="dxa" w:w="3350"/>
            <w:shd w:fill="FFFFFF" w:val="clear"/>
            <w:tcMar>
              <w:top w:type="dxa" w:w="90"/>
              <w:left w:type="dxa" w:w="120"/>
              <w:bottom w:type="dxa" w:w="90"/>
              <w:right w:type="dxa" w:w="120"/>
            </w:tcMar>
            <w:vAlign w:val="center"/>
          </w:tcPr>
          <w:p>
            <w:r>
              <w:rPr>
                <w:sz w:val="19"/>
                <w:szCs w:val="19"/>
              </w:rPr>
              <w:t xml:space="preserve">8,000</w:t>
            </w:r>
          </w:p>
        </w:tc>
      </w:tr>
      <w:tr>
        <w:tc>
          <w:tcPr>
            <w:tcW w:type="dxa" w:w="6000"/>
            <w:shd w:fill="F2F2F2" w:val="clear"/>
            <w:tcMar>
              <w:top w:type="dxa" w:w="90"/>
              <w:left w:type="dxa" w:w="120"/>
              <w:bottom w:type="dxa" w:w="90"/>
              <w:right w:type="dxa" w:w="120"/>
            </w:tcMar>
            <w:vAlign w:val="center"/>
          </w:tcPr>
          <w:p>
            <w:r>
              <w:rPr>
                <w:sz w:val="19"/>
                <w:szCs w:val="19"/>
              </w:rPr>
              <w:t xml:space="preserve">Logistics</w:t>
            </w:r>
          </w:p>
        </w:tc>
        <w:tc>
          <w:tcPr>
            <w:tcW w:type="dxa" w:w="3350"/>
            <w:shd w:fill="F2F2F2" w:val="clear"/>
            <w:tcMar>
              <w:top w:type="dxa" w:w="90"/>
              <w:left w:type="dxa" w:w="120"/>
              <w:bottom w:type="dxa" w:w="90"/>
              <w:right w:type="dxa" w:w="120"/>
            </w:tcMar>
            <w:vAlign w:val="center"/>
          </w:tcPr>
          <w:p>
            <w:r>
              <w:rPr>
                <w:sz w:val="19"/>
                <w:szCs w:val="19"/>
              </w:rPr>
              <w:t xml:space="preserve">12,000</w:t>
            </w:r>
          </w:p>
        </w:tc>
      </w:tr>
      <w:tr>
        <w:tc>
          <w:tcPr>
            <w:tcW w:type="dxa" w:w="6000"/>
            <w:shd w:fill="FFFFFF" w:val="clear"/>
            <w:tcMar>
              <w:top w:type="dxa" w:w="90"/>
              <w:left w:type="dxa" w:w="120"/>
              <w:bottom w:type="dxa" w:w="90"/>
              <w:right w:type="dxa" w:w="120"/>
            </w:tcMar>
            <w:vAlign w:val="center"/>
          </w:tcPr>
          <w:p>
            <w:r>
              <w:rPr>
                <w:sz w:val="19"/>
                <w:szCs w:val="19"/>
              </w:rPr>
              <w:t xml:space="preserve">Office</w:t>
            </w:r>
          </w:p>
        </w:tc>
        <w:tc>
          <w:tcPr>
            <w:tcW w:type="dxa" w:w="3350"/>
            <w:shd w:fill="FFFFFF" w:val="clear"/>
            <w:tcMar>
              <w:top w:type="dxa" w:w="90"/>
              <w:left w:type="dxa" w:w="120"/>
              <w:bottom w:type="dxa" w:w="90"/>
              <w:right w:type="dxa" w:w="120"/>
            </w:tcMar>
            <w:vAlign w:val="center"/>
          </w:tcPr>
          <w:p>
            <w:r>
              <w:rPr>
                <w:sz w:val="19"/>
                <w:szCs w:val="19"/>
              </w:rPr>
              <w:t xml:space="preserve">2,000</w:t>
            </w:r>
          </w:p>
        </w:tc>
      </w:tr>
      <w:tr>
        <w:tc>
          <w:tcPr>
            <w:tcW w:type="dxa" w:w="6000"/>
            <w:shd w:fill="F2F2F2" w:val="clear"/>
            <w:tcMar>
              <w:top w:type="dxa" w:w="90"/>
              <w:left w:type="dxa" w:w="120"/>
              <w:bottom w:type="dxa" w:w="90"/>
              <w:right w:type="dxa" w:w="120"/>
            </w:tcMar>
            <w:vAlign w:val="center"/>
          </w:tcPr>
          <w:p>
            <w:r>
              <w:rPr>
                <w:sz w:val="19"/>
                <w:szCs w:val="19"/>
              </w:rPr>
              <w:t xml:space="preserve">Legal/Admin</w:t>
            </w:r>
          </w:p>
        </w:tc>
        <w:tc>
          <w:tcPr>
            <w:tcW w:type="dxa" w:w="3350"/>
            <w:shd w:fill="F2F2F2" w:val="clear"/>
            <w:tcMar>
              <w:top w:type="dxa" w:w="90"/>
              <w:left w:type="dxa" w:w="120"/>
              <w:bottom w:type="dxa" w:w="90"/>
              <w:right w:type="dxa" w:w="120"/>
            </w:tcMar>
            <w:vAlign w:val="center"/>
          </w:tcPr>
          <w:p>
            <w:r>
              <w:rPr>
                <w:sz w:val="19"/>
                <w:szCs w:val="19"/>
              </w:rPr>
              <w:t xml:space="preserve">3,000</w:t>
            </w:r>
          </w:p>
        </w:tc>
      </w:tr>
      <w:tr>
        <w:tc>
          <w:tcPr>
            <w:tcW w:type="dxa" w:w="6000"/>
            <w:shd w:fill="FFFFFF" w:val="clear"/>
            <w:tcMar>
              <w:top w:type="dxa" w:w="90"/>
              <w:left w:type="dxa" w:w="120"/>
              <w:bottom w:type="dxa" w:w="90"/>
              <w:right w:type="dxa" w:w="120"/>
            </w:tcMar>
            <w:vAlign w:val="center"/>
          </w:tcPr>
          <w:p>
            <w:r>
              <w:rPr>
                <w:sz w:val="19"/>
                <w:szCs w:val="19"/>
              </w:rPr>
              <w:t xml:space="preserve">TOTAL</w:t>
            </w:r>
          </w:p>
        </w:tc>
        <w:tc>
          <w:tcPr>
            <w:tcW w:type="dxa" w:w="3350"/>
            <w:shd w:fill="FFFFFF" w:val="clear"/>
            <w:tcMar>
              <w:top w:type="dxa" w:w="90"/>
              <w:left w:type="dxa" w:w="120"/>
              <w:bottom w:type="dxa" w:w="90"/>
              <w:right w:type="dxa" w:w="120"/>
            </w:tcMar>
            <w:vAlign w:val="center"/>
          </w:tcPr>
          <w:p>
            <w:r>
              <w:rPr>
                <w:sz w:val="19"/>
                <w:szCs w:val="19"/>
              </w:rPr>
              <w:t xml:space="preserve">≈ $45,000/month</w:t>
            </w:r>
          </w:p>
        </w:tc>
      </w:tr>
    </w:tbl>
    <w:p>
      <w:pPr>
        <w:pStyle w:val="Heading3"/>
        <w:spacing w:after="100" w:before="200"/>
      </w:pPr>
      <w:r>
        <w:rPr>
          <w:b/>
          <w:bCs/>
          <w:color w:val="374151"/>
          <w:sz w:val="21"/>
          <w:szCs w:val="21"/>
        </w:rPr>
        <w:t xml:space="preserve">Team</w:t>
      </w:r>
    </w:p>
    <w:p>
      <w:pPr>
        <w:spacing w:after="140" w:line="276"/>
      </w:pPr>
      <w:r>
        <w:rPr>
          <w:sz w:val="21"/>
          <w:szCs w:val="21"/>
        </w:rPr>
        <w:t xml:space="preserve">CEO, CTO, Product, Sales, Brand Partnerships, Operations, Marketing, Customer Support.</w:t>
      </w:r>
    </w:p>
    <w:p>
      <w:pPr>
        <w:pStyle w:val="Heading3"/>
        <w:spacing w:after="100" w:before="200"/>
      </w:pPr>
      <w:r>
        <w:rPr>
          <w:b/>
          <w:bCs/>
          <w:color w:val="374151"/>
          <w:sz w:val="21"/>
          <w:szCs w:val="21"/>
        </w:rPr>
        <w:t xml:space="preserve">Gross Margin</w:t>
      </w:r>
    </w:p>
    <w:p>
      <w:pPr>
        <w:spacing w:after="140" w:line="276"/>
      </w:pPr>
      <w:r>
        <w:rPr>
          <w:sz w:val="21"/>
          <w:szCs w:val="21"/>
        </w:rPr>
        <w:t xml:space="preserve">Software: 70–85%. Sampling: 25–45%. Combined: ≈60%.</w:t>
      </w:r>
    </w:p>
    <w:p>
      <w:pPr>
        <w:pStyle w:val="Heading3"/>
        <w:spacing w:after="100" w:before="200"/>
      </w:pPr>
      <w:r>
        <w:rPr>
          <w:b/>
          <w:bCs/>
          <w:color w:val="374151"/>
          <w:sz w:val="21"/>
          <w:szCs w:val="21"/>
        </w:rPr>
        <w:t xml:space="preserve">Break-even</w:t>
      </w:r>
    </w:p>
    <w:p>
      <w:pPr>
        <w:spacing w:after="140" w:line="276"/>
      </w:pPr>
      <w:r>
        <w:rPr>
          <w:sz w:val="21"/>
          <w:szCs w:val="21"/>
        </w:rPr>
        <w:t xml:space="preserve">Scenario: 15 enterprise campaigns/month OR 10 large FMCG clients. Estimated: 18–24 months.</w:t>
      </w:r>
    </w:p>
    <w:p>
      <w:pPr>
        <w:pStyle w:val="Heading3"/>
        <w:spacing w:after="100" w:before="200"/>
      </w:pPr>
      <w:r>
        <w:rPr>
          <w:b/>
          <w:bCs/>
          <w:color w:val="374151"/>
          <w:sz w:val="21"/>
          <w:szCs w:val="21"/>
        </w:rPr>
        <w:t xml:space="preserve">Three-Year Projection (Illustrative)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110"/>
        <w:gridCol w:w="3120"/>
        <w:gridCol w:w="3120"/>
      </w:tblGrid>
      <w:tr>
        <w:trPr>
          <w:tblHeader/>
        </w:trPr>
        <w:tc>
          <w:tcPr>
            <w:tcW w:type="dxa" w:w="3110"/>
            <w:shd w:fill="1F2A44" w:val="clear"/>
            <w:tcMar>
              <w:top w:type="dxa" w:w="100"/>
              <w:left w:type="dxa" w:w="120"/>
              <w:bottom w:type="dxa" w:w="100"/>
              <w:right w:type="dxa" w:w="120"/>
            </w:tcMar>
            <w:vAlign w:val="center"/>
          </w:tcPr>
          <w:p>
            <w:r>
              <w:rPr>
                <w:b/>
                <w:bCs/>
                <w:color w:val="FFFFFF"/>
                <w:sz w:val="19"/>
                <w:szCs w:val="19"/>
              </w:rPr>
              <w:t xml:space="preserve">Year</w:t>
            </w:r>
          </w:p>
        </w:tc>
        <w:tc>
          <w:tcPr>
            <w:tcW w:type="dxa" w:w="3120"/>
            <w:shd w:fill="1F2A44" w:val="clear"/>
            <w:tcMar>
              <w:top w:type="dxa" w:w="100"/>
              <w:left w:type="dxa" w:w="120"/>
              <w:bottom w:type="dxa" w:w="100"/>
              <w:right w:type="dxa" w:w="120"/>
            </w:tcMar>
            <w:vAlign w:val="center"/>
          </w:tcPr>
          <w:p>
            <w:r>
              <w:rPr>
                <w:b/>
                <w:bCs/>
                <w:color w:val="FFFFFF"/>
                <w:sz w:val="19"/>
                <w:szCs w:val="19"/>
              </w:rPr>
              <w:t xml:space="preserve">Revenue</w:t>
            </w:r>
          </w:p>
        </w:tc>
        <w:tc>
          <w:tcPr>
            <w:tcW w:type="dxa" w:w="3120"/>
            <w:shd w:fill="1F2A44" w:val="clear"/>
            <w:tcMar>
              <w:top w:type="dxa" w:w="100"/>
              <w:left w:type="dxa" w:w="120"/>
              <w:bottom w:type="dxa" w:w="100"/>
              <w:right w:type="dxa" w:w="120"/>
            </w:tcMar>
            <w:vAlign w:val="center"/>
          </w:tcPr>
          <w:p>
            <w:r>
              <w:rPr>
                <w:b/>
                <w:bCs/>
                <w:color w:val="FFFFFF"/>
                <w:sz w:val="19"/>
                <w:szCs w:val="19"/>
              </w:rPr>
              <w:t xml:space="preserve">EBITDA Margin</w:t>
            </w:r>
          </w:p>
        </w:tc>
      </w:tr>
      <w:tr>
        <w:tc>
          <w:tcPr>
            <w:tcW w:type="dxa" w:w="3110"/>
            <w:shd w:fill="FFFFFF" w:val="clear"/>
            <w:tcMar>
              <w:top w:type="dxa" w:w="90"/>
              <w:left w:type="dxa" w:w="120"/>
              <w:bottom w:type="dxa" w:w="90"/>
              <w:right w:type="dxa" w:w="120"/>
            </w:tcMar>
            <w:vAlign w:val="center"/>
          </w:tcPr>
          <w:p>
            <w:r>
              <w:rPr>
                <w:sz w:val="19"/>
                <w:szCs w:val="19"/>
              </w:rPr>
              <w:t xml:space="preserve">1</w:t>
            </w:r>
          </w:p>
        </w:tc>
        <w:tc>
          <w:tcPr>
            <w:tcW w:type="dxa" w:w="3120"/>
            <w:shd w:fill="FFFFFF" w:val="clear"/>
            <w:tcMar>
              <w:top w:type="dxa" w:w="90"/>
              <w:left w:type="dxa" w:w="120"/>
              <w:bottom w:type="dxa" w:w="90"/>
              <w:right w:type="dxa" w:w="120"/>
            </w:tcMar>
            <w:vAlign w:val="center"/>
          </w:tcPr>
          <w:p>
            <w:r>
              <w:rPr>
                <w:sz w:val="19"/>
                <w:szCs w:val="19"/>
              </w:rPr>
              <w:t xml:space="preserve">$500k</w:t>
            </w:r>
          </w:p>
        </w:tc>
        <w:tc>
          <w:tcPr>
            <w:tcW w:type="dxa" w:w="3120"/>
            <w:shd w:fill="FFFFFF" w:val="clear"/>
            <w:tcMar>
              <w:top w:type="dxa" w:w="90"/>
              <w:left w:type="dxa" w:w="120"/>
              <w:bottom w:type="dxa" w:w="90"/>
              <w:right w:type="dxa" w:w="120"/>
            </w:tcMar>
            <w:vAlign w:val="center"/>
          </w:tcPr>
          <w:p>
            <w:r>
              <w:rPr>
                <w:sz w:val="19"/>
                <w:szCs w:val="19"/>
              </w:rPr>
              <w:t xml:space="preserve">-20%</w:t>
            </w:r>
          </w:p>
        </w:tc>
      </w:tr>
      <w:tr>
        <w:tc>
          <w:tcPr>
            <w:tcW w:type="dxa" w:w="3110"/>
            <w:shd w:fill="F2F2F2" w:val="clear"/>
            <w:tcMar>
              <w:top w:type="dxa" w:w="90"/>
              <w:left w:type="dxa" w:w="120"/>
              <w:bottom w:type="dxa" w:w="90"/>
              <w:right w:type="dxa" w:w="120"/>
            </w:tcMar>
            <w:vAlign w:val="center"/>
          </w:tcPr>
          <w:p>
            <w:r>
              <w:rPr>
                <w:sz w:val="19"/>
                <w:szCs w:val="19"/>
              </w:rPr>
              <w:t xml:space="preserve">2</w:t>
            </w:r>
          </w:p>
        </w:tc>
        <w:tc>
          <w:tcPr>
            <w:tcW w:type="dxa" w:w="3120"/>
            <w:shd w:fill="F2F2F2" w:val="clear"/>
            <w:tcMar>
              <w:top w:type="dxa" w:w="90"/>
              <w:left w:type="dxa" w:w="120"/>
              <w:bottom w:type="dxa" w:w="90"/>
              <w:right w:type="dxa" w:w="120"/>
            </w:tcMar>
            <w:vAlign w:val="center"/>
          </w:tcPr>
          <w:p>
            <w:r>
              <w:rPr>
                <w:sz w:val="19"/>
                <w:szCs w:val="19"/>
              </w:rPr>
              <w:t xml:space="preserve">$1.8M</w:t>
            </w:r>
          </w:p>
        </w:tc>
        <w:tc>
          <w:tcPr>
            <w:tcW w:type="dxa" w:w="3120"/>
            <w:shd w:fill="F2F2F2" w:val="clear"/>
            <w:tcMar>
              <w:top w:type="dxa" w:w="90"/>
              <w:left w:type="dxa" w:w="120"/>
              <w:bottom w:type="dxa" w:w="90"/>
              <w:right w:type="dxa" w:w="120"/>
            </w:tcMar>
            <w:vAlign w:val="center"/>
          </w:tcPr>
          <w:p>
            <w:r>
              <w:rPr>
                <w:sz w:val="19"/>
                <w:szCs w:val="19"/>
              </w:rPr>
              <w:t xml:space="preserve">12%</w:t>
            </w:r>
          </w:p>
        </w:tc>
      </w:tr>
      <w:tr>
        <w:tc>
          <w:tcPr>
            <w:tcW w:type="dxa" w:w="3110"/>
            <w:shd w:fill="FFFFFF" w:val="clear"/>
            <w:tcMar>
              <w:top w:type="dxa" w:w="90"/>
              <w:left w:type="dxa" w:w="120"/>
              <w:bottom w:type="dxa" w:w="90"/>
              <w:right w:type="dxa" w:w="120"/>
            </w:tcMar>
            <w:vAlign w:val="center"/>
          </w:tcPr>
          <w:p>
            <w:r>
              <w:rPr>
                <w:sz w:val="19"/>
                <w:szCs w:val="19"/>
              </w:rPr>
              <w:t xml:space="preserve">3</w:t>
            </w:r>
          </w:p>
        </w:tc>
        <w:tc>
          <w:tcPr>
            <w:tcW w:type="dxa" w:w="3120"/>
            <w:shd w:fill="FFFFFF" w:val="clear"/>
            <w:tcMar>
              <w:top w:type="dxa" w:w="90"/>
              <w:left w:type="dxa" w:w="120"/>
              <w:bottom w:type="dxa" w:w="90"/>
              <w:right w:type="dxa" w:w="120"/>
            </w:tcMar>
            <w:vAlign w:val="center"/>
          </w:tcPr>
          <w:p>
            <w:r>
              <w:rPr>
                <w:sz w:val="19"/>
                <w:szCs w:val="19"/>
              </w:rPr>
              <w:t xml:space="preserve">$4.2M</w:t>
            </w:r>
          </w:p>
        </w:tc>
        <w:tc>
          <w:tcPr>
            <w:tcW w:type="dxa" w:w="3120"/>
            <w:shd w:fill="FFFFFF" w:val="clear"/>
            <w:tcMar>
              <w:top w:type="dxa" w:w="90"/>
              <w:left w:type="dxa" w:w="120"/>
              <w:bottom w:type="dxa" w:w="90"/>
              <w:right w:type="dxa" w:w="120"/>
            </w:tcMar>
            <w:vAlign w:val="center"/>
          </w:tcPr>
          <w:p>
            <w:r>
              <w:rPr>
                <w:sz w:val="19"/>
                <w:szCs w:val="19"/>
              </w:rPr>
              <w:t xml:space="preserve">24%</w:t>
            </w:r>
          </w:p>
        </w:tc>
      </w:tr>
    </w:tbl>
    <w:p>
      <w:pPr>
        <w:spacing w:after="140" w:line="276"/>
      </w:pPr>
      <w:r>
        <w:rPr>
          <w:i/>
          <w:iCs/>
          <w:color w:val="6B7280"/>
          <w:sz w:val="21"/>
          <w:szCs w:val="21"/>
        </w:rPr>
        <w:t xml:space="preserve">Important: These figures are scenario estimates based on assumed client acquisition and pricing, not forecasts derived from audited market data.</w:t>
      </w:r>
    </w:p>
    <w:p>
      <w:pPr>
        <w:pStyle w:val="Heading3"/>
        <w:spacing w:after="100" w:before="200"/>
      </w:pPr>
      <w:r>
        <w:rPr>
          <w:b/>
          <w:bCs/>
          <w:color w:val="374151"/>
          <w:sz w:val="21"/>
          <w:szCs w:val="21"/>
        </w:rPr>
        <w:t xml:space="preserve">ROI</w:t>
      </w:r>
    </w:p>
    <w:p>
      <w:pPr>
        <w:spacing w:after="140" w:line="276"/>
      </w:pPr>
      <w:r>
        <w:rPr>
          <w:sz w:val="21"/>
          <w:szCs w:val="21"/>
        </w:rPr>
        <w:t xml:space="preserve">If execution succeeds, investor payback: approximately 3–4 years.</w:t>
      </w:r>
    </w:p>
    <w:p>
      <w:pPr>
        <w:pStyle w:val="Heading3"/>
        <w:spacing w:after="100" w:before="200"/>
      </w:pPr>
      <w:r>
        <w:rPr>
          <w:b/>
          <w:bCs/>
          <w:color w:val="374151"/>
          <w:sz w:val="21"/>
          <w:szCs w:val="21"/>
        </w:rPr>
        <w:t xml:space="preserve">Biggest Cost</w:t>
      </w:r>
    </w:p>
    <w:p>
      <w:pPr>
        <w:spacing w:after="140" w:line="276"/>
      </w:pPr>
      <w:r>
        <w:rPr>
          <w:sz w:val="21"/>
          <w:szCs w:val="21"/>
        </w:rPr>
        <w:t xml:space="preserve">Not technology. Customer acquisition — brands, sales, operations.</w:t>
      </w:r>
    </w:p>
    <w:p>
      <w:r>
        <w:br w:type="page"/>
      </w:r>
    </w:p>
    <w:p>
      <w:pPr>
        <w:pStyle w:val="Heading2"/>
        <w:spacing w:after="140" w:before="280"/>
      </w:pPr>
      <w:r>
        <w:rPr>
          <w:b/>
          <w:bCs/>
          <w:color w:val="1F2A44"/>
          <w:sz w:val="24"/>
          <w:szCs w:val="24"/>
        </w:rPr>
        <w:t xml:space="preserve">PHASE 8 — Legal &amp; Regulatory</w:t>
      </w:r>
    </w:p>
    <w:p>
      <w:pPr>
        <w:pStyle w:val="Heading3"/>
        <w:spacing w:after="100" w:before="200"/>
      </w:pPr>
      <w:r>
        <w:rPr>
          <w:b/>
          <w:bCs/>
          <w:color w:val="374151"/>
          <w:sz w:val="21"/>
          <w:szCs w:val="21"/>
        </w:rPr>
        <w:t xml:space="preserve">Company Structure</w:t>
      </w:r>
    </w:p>
    <w:p>
      <w:pPr>
        <w:spacing w:after="140" w:line="276"/>
      </w:pPr>
      <w:r>
        <w:rPr>
          <w:sz w:val="21"/>
          <w:szCs w:val="21"/>
        </w:rPr>
        <w:t xml:space="preserve">Recommendation: Egyptian Joint Stock Company (JSC) or LLC initially.</w:t>
      </w:r>
    </w:p>
    <w:p>
      <w:pPr>
        <w:pStyle w:val="Heading3"/>
        <w:spacing w:after="100" w:before="200"/>
      </w:pPr>
      <w:r>
        <w:rPr>
          <w:b/>
          <w:bCs/>
          <w:color w:val="374151"/>
          <w:sz w:val="21"/>
          <w:szCs w:val="21"/>
        </w:rPr>
        <w:t xml:space="preserve">Applicable Laws</w:t>
      </w:r>
    </w:p>
    <w:p>
      <w:pPr>
        <w:pStyle w:val="ListParagraph"/>
        <w:numPr>
          <w:ilvl w:val="0"/>
          <w:numId w:val="1"/>
        </w:numPr>
        <w:spacing w:after="70"/>
      </w:pPr>
      <w:r>
        <w:rPr>
          <w:sz w:val="21"/>
          <w:szCs w:val="21"/>
        </w:rPr>
        <w:t xml:space="preserve">Egyptian Companies Law</w:t>
      </w:r>
    </w:p>
    <w:p>
      <w:pPr>
        <w:pStyle w:val="ListParagraph"/>
        <w:numPr>
          <w:ilvl w:val="0"/>
          <w:numId w:val="1"/>
        </w:numPr>
        <w:spacing w:after="70"/>
      </w:pPr>
      <w:r>
        <w:rPr>
          <w:sz w:val="21"/>
          <w:szCs w:val="21"/>
        </w:rPr>
        <w:t xml:space="preserve">Consumer Protection Law</w:t>
      </w:r>
    </w:p>
    <w:p>
      <w:pPr>
        <w:pStyle w:val="ListParagraph"/>
        <w:numPr>
          <w:ilvl w:val="0"/>
          <w:numId w:val="1"/>
        </w:numPr>
        <w:spacing w:after="70"/>
      </w:pPr>
      <w:r>
        <w:rPr>
          <w:sz w:val="21"/>
          <w:szCs w:val="21"/>
        </w:rPr>
        <w:t xml:space="preserve">Personal Data Protection Law (Law No. 151 of 2020)</w:t>
      </w:r>
    </w:p>
    <w:p>
      <w:pPr>
        <w:pStyle w:val="ListParagraph"/>
        <w:numPr>
          <w:ilvl w:val="0"/>
          <w:numId w:val="1"/>
        </w:numPr>
        <w:spacing w:after="70"/>
      </w:pPr>
      <w:r>
        <w:rPr>
          <w:sz w:val="21"/>
          <w:szCs w:val="21"/>
        </w:rPr>
        <w:t xml:space="preserve">Tax regulations</w:t>
      </w:r>
    </w:p>
    <w:p>
      <w:pPr>
        <w:pStyle w:val="ListParagraph"/>
        <w:numPr>
          <w:ilvl w:val="0"/>
          <w:numId w:val="1"/>
        </w:numPr>
        <w:spacing w:after="70"/>
      </w:pPr>
      <w:r>
        <w:rPr>
          <w:sz w:val="21"/>
          <w:szCs w:val="21"/>
        </w:rPr>
        <w:t xml:space="preserve">E-commerce and electronic transaction requirements where applicable</w:t>
      </w:r>
    </w:p>
    <w:p>
      <w:pPr>
        <w:spacing w:after="140" w:line="276"/>
      </w:pPr>
      <w:r>
        <w:rPr>
          <w:sz w:val="21"/>
          <w:szCs w:val="21"/>
        </w:rPr>
        <w:t xml:space="preserve">Specific obligations depend on the final operating model and should be confirmed with local legal counsel before launch.</w:t>
      </w:r>
    </w:p>
    <w:p>
      <w:pPr>
        <w:pStyle w:val="Heading3"/>
        <w:spacing w:after="100" w:before="200"/>
      </w:pPr>
      <w:r>
        <w:rPr>
          <w:b/>
          <w:bCs/>
          <w:color w:val="374151"/>
          <w:sz w:val="21"/>
          <w:szCs w:val="21"/>
        </w:rPr>
        <w:t xml:space="preserve">Personal Data</w:t>
      </w:r>
    </w:p>
    <w:p>
      <w:pPr>
        <w:spacing w:after="140" w:line="276"/>
      </w:pPr>
      <w:r>
        <w:rPr>
          <w:sz w:val="21"/>
          <w:szCs w:val="21"/>
        </w:rPr>
        <w:t xml:space="preserve">The platform will collect: Age, Gender, Location, Product preferences, Survey responses. Therefore: privacy compliance becomes a core capability.</w:t>
      </w:r>
    </w:p>
    <w:p>
      <w:pPr>
        <w:pStyle w:val="Heading3"/>
        <w:spacing w:after="100" w:before="200"/>
      </w:pPr>
      <w:r>
        <w:rPr>
          <w:b/>
          <w:bCs/>
          <w:color w:val="374151"/>
          <w:sz w:val="21"/>
          <w:szCs w:val="21"/>
        </w:rPr>
        <w:t xml:space="preserve">Intellectual Property</w:t>
      </w:r>
    </w:p>
    <w:p>
      <w:pPr>
        <w:spacing w:after="140" w:line="276"/>
      </w:pPr>
      <w:r>
        <w:rPr>
          <w:sz w:val="21"/>
          <w:szCs w:val="21"/>
        </w:rPr>
        <w:t xml:space="preserve">Protect: Brand, Logo, App, Software, AI models, Data assets, Analytics methodologies.</w:t>
      </w:r>
    </w:p>
    <w:p>
      <w:pPr>
        <w:pStyle w:val="Heading3"/>
        <w:spacing w:after="100" w:before="200"/>
      </w:pPr>
      <w:r>
        <w:rPr>
          <w:b/>
          <w:bCs/>
          <w:color w:val="374151"/>
          <w:sz w:val="21"/>
          <w:szCs w:val="21"/>
        </w:rPr>
        <w:t xml:space="preserve">Contracts Needed</w:t>
      </w:r>
    </w:p>
    <w:p>
      <w:pPr>
        <w:spacing w:after="140" w:line="276"/>
      </w:pPr>
      <w:r>
        <w:rPr>
          <w:sz w:val="21"/>
          <w:szCs w:val="21"/>
        </w:rPr>
        <w:t xml:space="preserve">With: Brands, Sampling staff, Retail partners, Logistics, Consumers, Privacy.</w:t>
      </w:r>
    </w:p>
    <w:p>
      <w:pPr>
        <w:pStyle w:val="Heading3"/>
        <w:spacing w:after="100" w:before="200"/>
      </w:pPr>
      <w:r>
        <w:rPr>
          <w:b/>
          <w:bCs/>
          <w:color w:val="374151"/>
          <w:sz w:val="21"/>
          <w:szCs w:val="21"/>
        </w:rPr>
        <w:t xml:space="preserve">Tax</w:t>
      </w:r>
    </w:p>
    <w:p>
      <w:pPr>
        <w:spacing w:after="140" w:line="276"/>
      </w:pPr>
      <w:r>
        <w:rPr>
          <w:sz w:val="21"/>
          <w:szCs w:val="21"/>
        </w:rPr>
        <w:t xml:space="preserve">Revenue subject to normal corporate taxation and VAT treatment where applicable under Egyptian law. The exact treatment depends on services provided, company structure, and current tax regulations.</w:t>
      </w:r>
    </w:p>
    <w:p>
      <w:pPr>
        <w:pStyle w:val="Heading3"/>
        <w:spacing w:after="100" w:before="200"/>
      </w:pPr>
      <w:r>
        <w:rPr>
          <w:b/>
          <w:bCs/>
          <w:color w:val="374151"/>
          <w:sz w:val="21"/>
          <w:szCs w:val="21"/>
        </w:rPr>
        <w:t xml:space="preserve">Consumer Protection</w:t>
      </w:r>
    </w:p>
    <w:p>
      <w:pPr>
        <w:spacing w:after="140" w:line="276"/>
      </w:pPr>
      <w:r>
        <w:rPr>
          <w:sz w:val="21"/>
          <w:szCs w:val="21"/>
        </w:rPr>
        <w:t xml:space="preserve">Consumers must know: why data is collected, how it is used, how to delete it. Consent should be explicit.</w:t>
      </w:r>
    </w:p>
    <w:p>
      <w:pPr>
        <w:pStyle w:val="Heading3"/>
        <w:spacing w:after="100" w:before="200"/>
      </w:pPr>
      <w:r>
        <w:rPr>
          <w:b/>
          <w:bCs/>
          <w:color w:val="374151"/>
          <w:sz w:val="21"/>
          <w:szCs w:val="21"/>
        </w:rPr>
        <w:t xml:space="preserve">Biggest Legal Risk</w:t>
      </w:r>
    </w:p>
    <w:p>
      <w:pPr>
        <w:spacing w:after="140" w:line="276"/>
      </w:pPr>
      <w:r>
        <w:rPr>
          <w:sz w:val="21"/>
          <w:szCs w:val="21"/>
        </w:rPr>
        <w:t xml:space="preserve">Not sampling. Data privacy — especially consumer profiling, behavior analytics, location tracking.</w:t>
      </w:r>
    </w:p>
    <w:p>
      <w:pPr>
        <w:pStyle w:val="Heading3"/>
        <w:spacing w:after="100" w:before="200"/>
      </w:pPr>
      <w:r>
        <w:rPr>
          <w:b/>
          <w:bCs/>
          <w:color w:val="374151"/>
          <w:sz w:val="21"/>
          <w:szCs w:val="21"/>
        </w:rPr>
        <w:t xml:space="preserve">Regulatory Risk Score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Area</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Risk</w:t>
            </w:r>
          </w:p>
        </w:tc>
      </w:tr>
      <w:tr>
        <w:tc>
          <w:tcPr>
            <w:tcW w:type="dxa" w:w="4675"/>
            <w:shd w:fill="FFFFFF" w:val="clear"/>
            <w:tcMar>
              <w:top w:type="dxa" w:w="90"/>
              <w:left w:type="dxa" w:w="120"/>
              <w:bottom w:type="dxa" w:w="90"/>
              <w:right w:type="dxa" w:w="120"/>
            </w:tcMar>
            <w:vAlign w:val="center"/>
          </w:tcPr>
          <w:p>
            <w:r>
              <w:rPr>
                <w:sz w:val="19"/>
                <w:szCs w:val="19"/>
              </w:rPr>
              <w:t xml:space="preserve">Company setup</w:t>
            </w:r>
          </w:p>
        </w:tc>
        <w:tc>
          <w:tcPr>
            <w:tcW w:type="dxa" w:w="4675"/>
            <w:shd w:fill="FFFFFF" w:val="clear"/>
            <w:tcMar>
              <w:top w:type="dxa" w:w="90"/>
              <w:left w:type="dxa" w:w="120"/>
              <w:bottom w:type="dxa" w:w="90"/>
              <w:right w:type="dxa" w:w="120"/>
            </w:tcMar>
            <w:vAlign w:val="center"/>
          </w:tcPr>
          <w:p>
            <w:r>
              <w:rPr>
                <w:sz w:val="19"/>
                <w:szCs w:val="19"/>
              </w:rPr>
              <w:t xml:space="preserve">Low</w:t>
            </w:r>
          </w:p>
        </w:tc>
      </w:tr>
      <w:tr>
        <w:tc>
          <w:tcPr>
            <w:tcW w:type="dxa" w:w="4675"/>
            <w:shd w:fill="F2F2F2" w:val="clear"/>
            <w:tcMar>
              <w:top w:type="dxa" w:w="90"/>
              <w:left w:type="dxa" w:w="120"/>
              <w:bottom w:type="dxa" w:w="90"/>
              <w:right w:type="dxa" w:w="120"/>
            </w:tcMar>
            <w:vAlign w:val="center"/>
          </w:tcPr>
          <w:p>
            <w:r>
              <w:rPr>
                <w:sz w:val="19"/>
                <w:szCs w:val="19"/>
              </w:rPr>
              <w:t xml:space="preserve">Tax</w:t>
            </w:r>
          </w:p>
        </w:tc>
        <w:tc>
          <w:tcPr>
            <w:tcW w:type="dxa" w:w="4675"/>
            <w:shd w:fill="F2F2F2" w:val="clear"/>
            <w:tcMar>
              <w:top w:type="dxa" w:w="90"/>
              <w:left w:type="dxa" w:w="120"/>
              <w:bottom w:type="dxa" w:w="90"/>
              <w:right w:type="dxa" w:w="120"/>
            </w:tcMar>
            <w:vAlign w:val="center"/>
          </w:tcPr>
          <w:p>
            <w:r>
              <w:rPr>
                <w:sz w:val="19"/>
                <w:szCs w:val="19"/>
              </w:rPr>
              <w:t xml:space="preserve">Medium</w:t>
            </w:r>
          </w:p>
        </w:tc>
      </w:tr>
      <w:tr>
        <w:tc>
          <w:tcPr>
            <w:tcW w:type="dxa" w:w="4675"/>
            <w:shd w:fill="FFFFFF" w:val="clear"/>
            <w:tcMar>
              <w:top w:type="dxa" w:w="90"/>
              <w:left w:type="dxa" w:w="120"/>
              <w:bottom w:type="dxa" w:w="90"/>
              <w:right w:type="dxa" w:w="120"/>
            </w:tcMar>
            <w:vAlign w:val="center"/>
          </w:tcPr>
          <w:p>
            <w:r>
              <w:rPr>
                <w:sz w:val="19"/>
                <w:szCs w:val="19"/>
              </w:rPr>
              <w:t xml:space="preserve">Consumer protection</w:t>
            </w:r>
          </w:p>
        </w:tc>
        <w:tc>
          <w:tcPr>
            <w:tcW w:type="dxa" w:w="4675"/>
            <w:shd w:fill="FFFFFF" w:val="clear"/>
            <w:tcMar>
              <w:top w:type="dxa" w:w="90"/>
              <w:left w:type="dxa" w:w="120"/>
              <w:bottom w:type="dxa" w:w="90"/>
              <w:right w:type="dxa" w:w="120"/>
            </w:tcMar>
            <w:vAlign w:val="center"/>
          </w:tcPr>
          <w:p>
            <w:r>
              <w:rPr>
                <w:sz w:val="19"/>
                <w:szCs w:val="19"/>
              </w:rPr>
              <w:t xml:space="preserve">Medium</w:t>
            </w:r>
          </w:p>
        </w:tc>
      </w:tr>
      <w:tr>
        <w:tc>
          <w:tcPr>
            <w:tcW w:type="dxa" w:w="4675"/>
            <w:shd w:fill="F2F2F2" w:val="clear"/>
            <w:tcMar>
              <w:top w:type="dxa" w:w="90"/>
              <w:left w:type="dxa" w:w="120"/>
              <w:bottom w:type="dxa" w:w="90"/>
              <w:right w:type="dxa" w:w="120"/>
            </w:tcMar>
            <w:vAlign w:val="center"/>
          </w:tcPr>
          <w:p>
            <w:r>
              <w:rPr>
                <w:sz w:val="19"/>
                <w:szCs w:val="19"/>
              </w:rPr>
              <w:t xml:space="preserve">Privacy</w:t>
            </w:r>
          </w:p>
        </w:tc>
        <w:tc>
          <w:tcPr>
            <w:tcW w:type="dxa" w:w="4675"/>
            <w:shd w:fill="F2F2F2" w:val="clear"/>
            <w:tcMar>
              <w:top w:type="dxa" w:w="90"/>
              <w:left w:type="dxa" w:w="120"/>
              <w:bottom w:type="dxa" w:w="90"/>
              <w:right w:type="dxa" w:w="120"/>
            </w:tcMar>
            <w:vAlign w:val="center"/>
          </w:tcPr>
          <w:p>
            <w:r>
              <w:rPr>
                <w:sz w:val="19"/>
                <w:szCs w:val="19"/>
              </w:rPr>
              <w:t xml:space="preserve">High</w:t>
            </w:r>
          </w:p>
        </w:tc>
      </w:tr>
      <w:tr>
        <w:tc>
          <w:tcPr>
            <w:tcW w:type="dxa" w:w="4675"/>
            <w:shd w:fill="FFFFFF" w:val="clear"/>
            <w:tcMar>
              <w:top w:type="dxa" w:w="90"/>
              <w:left w:type="dxa" w:w="120"/>
              <w:bottom w:type="dxa" w:w="90"/>
              <w:right w:type="dxa" w:w="120"/>
            </w:tcMar>
            <w:vAlign w:val="center"/>
          </w:tcPr>
          <w:p>
            <w:r>
              <w:rPr>
                <w:sz w:val="19"/>
                <w:szCs w:val="19"/>
              </w:rPr>
              <w:t xml:space="preserve">Contracts</w:t>
            </w:r>
          </w:p>
        </w:tc>
        <w:tc>
          <w:tcPr>
            <w:tcW w:type="dxa" w:w="4675"/>
            <w:shd w:fill="FFFFFF" w:val="clear"/>
            <w:tcMar>
              <w:top w:type="dxa" w:w="90"/>
              <w:left w:type="dxa" w:w="120"/>
              <w:bottom w:type="dxa" w:w="90"/>
              <w:right w:type="dxa" w:w="120"/>
            </w:tcMar>
            <w:vAlign w:val="center"/>
          </w:tcPr>
          <w:p>
            <w:r>
              <w:rPr>
                <w:sz w:val="19"/>
                <w:szCs w:val="19"/>
              </w:rPr>
              <w:t xml:space="preserve">Medium</w:t>
            </w:r>
          </w:p>
        </w:tc>
      </w:tr>
      <w:tr>
        <w:tc>
          <w:tcPr>
            <w:tcW w:type="dxa" w:w="4675"/>
            <w:shd w:fill="F2F2F2" w:val="clear"/>
            <w:tcMar>
              <w:top w:type="dxa" w:w="90"/>
              <w:left w:type="dxa" w:w="120"/>
              <w:bottom w:type="dxa" w:w="90"/>
              <w:right w:type="dxa" w:w="120"/>
            </w:tcMar>
            <w:vAlign w:val="center"/>
          </w:tcPr>
          <w:p>
            <w:r>
              <w:rPr>
                <w:sz w:val="19"/>
                <w:szCs w:val="19"/>
              </w:rPr>
              <w:t xml:space="preserve">Brand licensing</w:t>
            </w:r>
          </w:p>
        </w:tc>
        <w:tc>
          <w:tcPr>
            <w:tcW w:type="dxa" w:w="4675"/>
            <w:shd w:fill="F2F2F2" w:val="clear"/>
            <w:tcMar>
              <w:top w:type="dxa" w:w="90"/>
              <w:left w:type="dxa" w:w="120"/>
              <w:bottom w:type="dxa" w:w="90"/>
              <w:right w:type="dxa" w:w="120"/>
            </w:tcMar>
            <w:vAlign w:val="center"/>
          </w:tcPr>
          <w:p>
            <w:r>
              <w:rPr>
                <w:sz w:val="19"/>
                <w:szCs w:val="19"/>
              </w:rPr>
              <w:t xml:space="preserve">Low</w:t>
            </w:r>
          </w:p>
        </w:tc>
      </w:tr>
    </w:tbl>
    <w:p>
      <w:pPr>
        <w:pStyle w:val="Heading2"/>
        <w:spacing w:after="140" w:before="280"/>
      </w:pPr>
      <w:r>
        <w:rPr>
          <w:b/>
          <w:bCs/>
          <w:color w:val="1F2A44"/>
          <w:sz w:val="24"/>
          <w:szCs w:val="24"/>
        </w:rPr>
        <w:t xml:space="preserve">Interim Investment View</w:t>
      </w:r>
    </w:p>
    <w:p>
      <w:pPr>
        <w:spacing w:after="140" w:line="276"/>
      </w:pPr>
      <w:r>
        <w:rPr>
          <w:b/>
          <w:bCs/>
          <w:sz w:val="21"/>
          <w:szCs w:val="21"/>
        </w:rPr>
        <w:t xml:space="preserve">At this stage, the business is more attractive as a B2B SaaS + Data platform than as a logistics or sampling company. The strongest strategic insight so far is: the long-term asset is not the network of kiosks — it is the proprietary consumer dataset and the AI insights generated from it.</w:t>
      </w:r>
    </w:p>
    <w:p>
      <w:pPr>
        <w:spacing w:after="140" w:line="276"/>
      </w:pPr>
      <w:r>
        <w:rPr>
          <w:sz w:val="21"/>
          <w:szCs w:val="21"/>
        </w:rPr>
        <w:t xml:space="preserve">If the company successfully builds a large, permission-based consumer panel with high-quality behavioral data, that data layer can become a durable competitive advantage. If it remains only a sampling operation, it risks becoming a low-margin execution business.</w:t>
      </w:r>
    </w:p>
    <w:p>
      <w:pPr>
        <w:pStyle w:val="Heading3"/>
        <w:spacing w:after="100" w:before="200"/>
      </w:pPr>
      <w:r>
        <w:rPr>
          <w:b/>
          <w:bCs/>
          <w:color w:val="374151"/>
          <w:sz w:val="21"/>
          <w:szCs w:val="21"/>
        </w:rPr>
        <w:t xml:space="preserve">Updated Interim Scores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675"/>
        <w:gridCol w:w="2675"/>
      </w:tblGrid>
      <w:tr>
        <w:trPr>
          <w:tblHeader/>
        </w:trPr>
        <w:tc>
          <w:tcPr>
            <w:tcW w:type="dxa" w:w="6675"/>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2675"/>
            <w:shd w:fill="1F2A44" w:val="clear"/>
            <w:tcMar>
              <w:top w:type="dxa" w:w="100"/>
              <w:left w:type="dxa" w:w="120"/>
              <w:bottom w:type="dxa" w:w="100"/>
              <w:right w:type="dxa" w:w="120"/>
            </w:tcMar>
            <w:vAlign w:val="center"/>
          </w:tcPr>
          <w:p>
            <w:r>
              <w:rPr>
                <w:b/>
                <w:bCs/>
                <w:color w:val="FFFFFF"/>
                <w:sz w:val="19"/>
                <w:szCs w:val="19"/>
              </w:rPr>
              <w:t xml:space="preserve">Score</w:t>
            </w:r>
          </w:p>
        </w:tc>
      </w:tr>
      <w:tr>
        <w:tc>
          <w:tcPr>
            <w:tcW w:type="dxa" w:w="6675"/>
            <w:shd w:fill="FFFFFF" w:val="clear"/>
            <w:tcMar>
              <w:top w:type="dxa" w:w="90"/>
              <w:left w:type="dxa" w:w="120"/>
              <w:bottom w:type="dxa" w:w="90"/>
              <w:right w:type="dxa" w:w="120"/>
            </w:tcMar>
            <w:vAlign w:val="center"/>
          </w:tcPr>
          <w:p>
            <w:r>
              <w:rPr>
                <w:sz w:val="19"/>
                <w:szCs w:val="19"/>
              </w:rPr>
              <w:t xml:space="preserve">Product–Market Fit Potential</w:t>
            </w:r>
          </w:p>
        </w:tc>
        <w:tc>
          <w:tcPr>
            <w:tcW w:type="dxa" w:w="2675"/>
            <w:shd w:fill="FFFFFF" w:val="clear"/>
            <w:tcMar>
              <w:top w:type="dxa" w:w="90"/>
              <w:left w:type="dxa" w:w="120"/>
              <w:bottom w:type="dxa" w:w="90"/>
              <w:right w:type="dxa" w:w="120"/>
            </w:tcMar>
            <w:vAlign w:val="center"/>
          </w:tcPr>
          <w:p>
            <w:r>
              <w:rPr>
                <w:sz w:val="19"/>
                <w:szCs w:val="19"/>
              </w:rPr>
              <w:t xml:space="preserve">8.8 / 10</w:t>
            </w:r>
          </w:p>
        </w:tc>
      </w:tr>
      <w:tr>
        <w:tc>
          <w:tcPr>
            <w:tcW w:type="dxa" w:w="6675"/>
            <w:shd w:fill="F2F2F2" w:val="clear"/>
            <w:tcMar>
              <w:top w:type="dxa" w:w="90"/>
              <w:left w:type="dxa" w:w="120"/>
              <w:bottom w:type="dxa" w:w="90"/>
              <w:right w:type="dxa" w:w="120"/>
            </w:tcMar>
            <w:vAlign w:val="center"/>
          </w:tcPr>
          <w:p>
            <w:r>
              <w:rPr>
                <w:sz w:val="19"/>
                <w:szCs w:val="19"/>
              </w:rPr>
              <w:t xml:space="preserve">Localization Readiness</w:t>
            </w:r>
          </w:p>
        </w:tc>
        <w:tc>
          <w:tcPr>
            <w:tcW w:type="dxa" w:w="2675"/>
            <w:shd w:fill="F2F2F2" w:val="clear"/>
            <w:tcMar>
              <w:top w:type="dxa" w:w="90"/>
              <w:left w:type="dxa" w:w="120"/>
              <w:bottom w:type="dxa" w:w="90"/>
              <w:right w:type="dxa" w:w="120"/>
            </w:tcMar>
            <w:vAlign w:val="center"/>
          </w:tcPr>
          <w:p>
            <w:r>
              <w:rPr>
                <w:sz w:val="19"/>
                <w:szCs w:val="19"/>
              </w:rPr>
              <w:t xml:space="preserve">9.2 / 10</w:t>
            </w:r>
          </w:p>
        </w:tc>
      </w:tr>
      <w:tr>
        <w:tc>
          <w:tcPr>
            <w:tcW w:type="dxa" w:w="6675"/>
            <w:shd w:fill="FFFFFF" w:val="clear"/>
            <w:tcMar>
              <w:top w:type="dxa" w:w="90"/>
              <w:left w:type="dxa" w:w="120"/>
              <w:bottom w:type="dxa" w:w="90"/>
              <w:right w:type="dxa" w:w="120"/>
            </w:tcMar>
            <w:vAlign w:val="center"/>
          </w:tcPr>
          <w:p>
            <w:r>
              <w:rPr>
                <w:sz w:val="19"/>
                <w:szCs w:val="19"/>
              </w:rPr>
              <w:t xml:space="preserve">Financial Feasibility</w:t>
            </w:r>
          </w:p>
        </w:tc>
        <w:tc>
          <w:tcPr>
            <w:tcW w:type="dxa" w:w="2675"/>
            <w:shd w:fill="FFFFFF" w:val="clear"/>
            <w:tcMar>
              <w:top w:type="dxa" w:w="90"/>
              <w:left w:type="dxa" w:w="120"/>
              <w:bottom w:type="dxa" w:w="90"/>
              <w:right w:type="dxa" w:w="120"/>
            </w:tcMar>
            <w:vAlign w:val="center"/>
          </w:tcPr>
          <w:p>
            <w:r>
              <w:rPr>
                <w:sz w:val="19"/>
                <w:szCs w:val="19"/>
              </w:rPr>
              <w:t xml:space="preserve">8.0 / 10</w:t>
            </w:r>
          </w:p>
        </w:tc>
      </w:tr>
      <w:tr>
        <w:tc>
          <w:tcPr>
            <w:tcW w:type="dxa" w:w="6675"/>
            <w:shd w:fill="F2F2F2" w:val="clear"/>
            <w:tcMar>
              <w:top w:type="dxa" w:w="90"/>
              <w:left w:type="dxa" w:w="120"/>
              <w:bottom w:type="dxa" w:w="90"/>
              <w:right w:type="dxa" w:w="120"/>
            </w:tcMar>
            <w:vAlign w:val="center"/>
          </w:tcPr>
          <w:p>
            <w:r>
              <w:rPr>
                <w:sz w:val="19"/>
                <w:szCs w:val="19"/>
              </w:rPr>
              <w:t xml:space="preserve">Capital Intensity</w:t>
            </w:r>
          </w:p>
        </w:tc>
        <w:tc>
          <w:tcPr>
            <w:tcW w:type="dxa" w:w="2675"/>
            <w:shd w:fill="F2F2F2" w:val="clear"/>
            <w:tcMar>
              <w:top w:type="dxa" w:w="90"/>
              <w:left w:type="dxa" w:w="120"/>
              <w:bottom w:type="dxa" w:w="90"/>
              <w:right w:type="dxa" w:w="120"/>
            </w:tcMar>
            <w:vAlign w:val="center"/>
          </w:tcPr>
          <w:p>
            <w:r>
              <w:rPr>
                <w:sz w:val="19"/>
                <w:szCs w:val="19"/>
              </w:rPr>
              <w:t xml:space="preserve">6.5 / 10</w:t>
            </w:r>
          </w:p>
        </w:tc>
      </w:tr>
      <w:tr>
        <w:tc>
          <w:tcPr>
            <w:tcW w:type="dxa" w:w="6675"/>
            <w:shd w:fill="FFFFFF" w:val="clear"/>
            <w:tcMar>
              <w:top w:type="dxa" w:w="90"/>
              <w:left w:type="dxa" w:w="120"/>
              <w:bottom w:type="dxa" w:w="90"/>
              <w:right w:type="dxa" w:w="120"/>
            </w:tcMar>
            <w:vAlign w:val="center"/>
          </w:tcPr>
          <w:p>
            <w:r>
              <w:rPr>
                <w:sz w:val="19"/>
                <w:szCs w:val="19"/>
              </w:rPr>
              <w:t xml:space="preserve">Long-term Defensibility</w:t>
            </w:r>
          </w:p>
        </w:tc>
        <w:tc>
          <w:tcPr>
            <w:tcW w:type="dxa" w:w="2675"/>
            <w:shd w:fill="FFFFFF" w:val="clear"/>
            <w:tcMar>
              <w:top w:type="dxa" w:w="90"/>
              <w:left w:type="dxa" w:w="120"/>
              <w:bottom w:type="dxa" w:w="90"/>
              <w:right w:type="dxa" w:w="120"/>
            </w:tcMar>
            <w:vAlign w:val="center"/>
          </w:tcPr>
          <w:p>
            <w:r>
              <w:rPr>
                <w:sz w:val="19"/>
                <w:szCs w:val="19"/>
              </w:rPr>
              <w:t xml:space="preserve">8.7 / 10</w:t>
            </w:r>
          </w:p>
        </w:tc>
      </w:tr>
    </w:tbl>
    <w:p>
      <w:r>
        <w:br w:type="page"/>
      </w:r>
    </w:p>
    <w:p>
      <w:pPr>
        <w:pStyle w:val="Heading1"/>
        <w:pBdr>
          <w:bottom w:val="single" w:color="1F2A44" w:sz="8" w:space="4"/>
        </w:pBdr>
        <w:spacing w:after="200" w:before="400"/>
      </w:pPr>
      <w:r>
        <w:rPr>
          <w:b/>
          <w:bCs/>
          <w:color w:val="1F2A44"/>
          <w:sz w:val="30"/>
          <w:szCs w:val="30"/>
        </w:rPr>
        <w:t xml:space="preserve">Part 3 — Phases 9–14</w:t>
      </w:r>
    </w:p>
    <w:tbl>
      <w:tblPr>
        <w:tblW w:type="pct" w:w="100%"/>
        <w:tblBorders>
          <w:top w:val="single" w:color="1F2A44" w:sz="6"/>
          <w:left w:val="single" w:color="1F2A44" w:sz="6"/>
          <w:bottom w:val="single" w:color="1F2A44" w:sz="6"/>
          <w:right w:val="single" w:color="1F2A44"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1F2A44"/>
                <w:sz w:val="22"/>
                <w:szCs w:val="22"/>
              </w:rPr>
              <w:t xml:space="preserve">Reminder</w:t>
            </w:r>
          </w:p>
          <w:p>
            <w:pPr>
              <w:spacing w:after="60"/>
            </w:pPr>
            <w:r>
              <w:rPr>
                <w:sz w:val="20"/>
                <w:szCs w:val="20"/>
              </w:rPr>
              <w:t xml:space="preserve">• Facts from the video: The platform distributes samples through an app, users provide feedback, and brands pay for campaigns.</w:t>
            </w:r>
          </w:p>
          <w:p>
            <w:pPr>
              <w:spacing w:after="60"/>
            </w:pPr>
            <w:r>
              <w:rPr>
                <w:sz w:val="20"/>
                <w:szCs w:val="20"/>
              </w:rPr>
              <w:t xml:space="preserve">• External facts: Based on publicly available information about Samplia.</w:t>
            </w:r>
          </w:p>
          <w:p>
            <w:pPr>
              <w:spacing w:after="60"/>
            </w:pPr>
            <w:r>
              <w:rPr>
                <w:sz w:val="20"/>
                <w:szCs w:val="20"/>
              </w:rPr>
              <w:t xml:space="preserve">• Everything else below: Professional market estimates and strategic recommendations for Egypt.</w:t>
            </w:r>
          </w:p>
        </w:tc>
      </w:tr>
    </w:tbl>
    <w:p>
      <w:pPr>
        <w:pStyle w:val="Heading2"/>
        <w:spacing w:after="140" w:before="280"/>
      </w:pPr>
      <w:r>
        <w:rPr>
          <w:b/>
          <w:bCs/>
          <w:color w:val="1F2A44"/>
          <w:sz w:val="24"/>
          <w:szCs w:val="24"/>
        </w:rPr>
        <w:t xml:space="preserve">PHASE 9 — Go-To-Market Strategy</w:t>
      </w:r>
    </w:p>
    <w:p>
      <w:pPr>
        <w:pStyle w:val="Heading3"/>
        <w:spacing w:after="100" w:before="200"/>
      </w:pPr>
      <w:r>
        <w:rPr>
          <w:b/>
          <w:bCs/>
          <w:color w:val="374151"/>
          <w:sz w:val="21"/>
          <w:szCs w:val="21"/>
        </w:rPr>
        <w:t xml:space="preserve">Biggest Mistake</w:t>
      </w:r>
    </w:p>
    <w:p>
      <w:pPr>
        <w:spacing w:after="140" w:line="276"/>
      </w:pPr>
      <w:r>
        <w:rPr>
          <w:sz w:val="21"/>
          <w:szCs w:val="21"/>
        </w:rPr>
        <w:t xml:space="preserve">Most founders would think: we need consumers first. Wrong. This business is B2B first. Without brands, there are no samples. Without samples, there are no consumers. Without consumers, brands won't join. Classic chicken &amp; egg.</w:t>
      </w:r>
    </w:p>
    <w:p>
      <w:pPr>
        <w:pStyle w:val="Heading3"/>
        <w:spacing w:after="100" w:before="200"/>
      </w:pPr>
      <w:r>
        <w:rPr>
          <w:b/>
          <w:bCs/>
          <w:color w:val="374151"/>
          <w:sz w:val="21"/>
          <w:szCs w:val="21"/>
        </w:rPr>
        <w:t xml:space="preserve">Stage 1 — Build Supply (target 20 companies)</w:t>
      </w:r>
    </w:p>
    <w:p>
      <w:pPr>
        <w:pStyle w:val="ListParagraph"/>
        <w:numPr>
          <w:ilvl w:val="0"/>
          <w:numId w:val="1"/>
        </w:numPr>
        <w:spacing w:after="70"/>
      </w:pPr>
      <w:r>
        <w:rPr>
          <w:sz w:val="21"/>
          <w:szCs w:val="21"/>
        </w:rPr>
        <w:t xml:space="preserve">Coca-Cola Egypt</w:t>
      </w:r>
    </w:p>
    <w:p>
      <w:pPr>
        <w:pStyle w:val="ListParagraph"/>
        <w:numPr>
          <w:ilvl w:val="0"/>
          <w:numId w:val="1"/>
        </w:numPr>
        <w:spacing w:after="70"/>
      </w:pPr>
      <w:r>
        <w:rPr>
          <w:sz w:val="21"/>
          <w:szCs w:val="21"/>
        </w:rPr>
        <w:t xml:space="preserve">PepsiCo</w:t>
      </w:r>
    </w:p>
    <w:p>
      <w:pPr>
        <w:pStyle w:val="ListParagraph"/>
        <w:numPr>
          <w:ilvl w:val="0"/>
          <w:numId w:val="1"/>
        </w:numPr>
        <w:spacing w:after="70"/>
      </w:pPr>
      <w:r>
        <w:rPr>
          <w:sz w:val="21"/>
          <w:szCs w:val="21"/>
        </w:rPr>
        <w:t xml:space="preserve">Nestlé</w:t>
      </w:r>
    </w:p>
    <w:p>
      <w:pPr>
        <w:pStyle w:val="ListParagraph"/>
        <w:numPr>
          <w:ilvl w:val="0"/>
          <w:numId w:val="1"/>
        </w:numPr>
        <w:spacing w:after="70"/>
      </w:pPr>
      <w:r>
        <w:rPr>
          <w:sz w:val="21"/>
          <w:szCs w:val="21"/>
        </w:rPr>
        <w:t xml:space="preserve">Edita</w:t>
      </w:r>
    </w:p>
    <w:p>
      <w:pPr>
        <w:pStyle w:val="ListParagraph"/>
        <w:numPr>
          <w:ilvl w:val="0"/>
          <w:numId w:val="1"/>
        </w:numPr>
        <w:spacing w:after="70"/>
      </w:pPr>
      <w:r>
        <w:rPr>
          <w:sz w:val="21"/>
          <w:szCs w:val="21"/>
        </w:rPr>
        <w:t xml:space="preserve">Juhayna</w:t>
      </w:r>
    </w:p>
    <w:p>
      <w:pPr>
        <w:pStyle w:val="ListParagraph"/>
        <w:numPr>
          <w:ilvl w:val="0"/>
          <w:numId w:val="1"/>
        </w:numPr>
        <w:spacing w:after="70"/>
      </w:pPr>
      <w:r>
        <w:rPr>
          <w:sz w:val="21"/>
          <w:szCs w:val="21"/>
        </w:rPr>
        <w:t xml:space="preserve">Unilever</w:t>
      </w:r>
    </w:p>
    <w:p>
      <w:pPr>
        <w:pStyle w:val="ListParagraph"/>
        <w:numPr>
          <w:ilvl w:val="0"/>
          <w:numId w:val="1"/>
        </w:numPr>
        <w:spacing w:after="70"/>
      </w:pPr>
      <w:r>
        <w:rPr>
          <w:sz w:val="21"/>
          <w:szCs w:val="21"/>
        </w:rPr>
        <w:t xml:space="preserve">P&amp;G</w:t>
      </w:r>
    </w:p>
    <w:p>
      <w:pPr>
        <w:pStyle w:val="ListParagraph"/>
        <w:numPr>
          <w:ilvl w:val="0"/>
          <w:numId w:val="1"/>
        </w:numPr>
        <w:spacing w:after="70"/>
      </w:pPr>
      <w:r>
        <w:rPr>
          <w:sz w:val="21"/>
          <w:szCs w:val="21"/>
        </w:rPr>
        <w:t xml:space="preserve">Henkel</w:t>
      </w:r>
    </w:p>
    <w:p>
      <w:pPr>
        <w:pStyle w:val="ListParagraph"/>
        <w:numPr>
          <w:ilvl w:val="0"/>
          <w:numId w:val="1"/>
        </w:numPr>
        <w:spacing w:after="70"/>
      </w:pPr>
      <w:r>
        <w:rPr>
          <w:sz w:val="21"/>
          <w:szCs w:val="21"/>
        </w:rPr>
        <w:t xml:space="preserve">EVA Pharma</w:t>
      </w:r>
    </w:p>
    <w:p>
      <w:pPr>
        <w:pStyle w:val="ListParagraph"/>
        <w:numPr>
          <w:ilvl w:val="0"/>
          <w:numId w:val="1"/>
        </w:numPr>
        <w:spacing w:after="70"/>
      </w:pPr>
      <w:r>
        <w:rPr>
          <w:sz w:val="21"/>
          <w:szCs w:val="21"/>
        </w:rPr>
        <w:t xml:space="preserve">Dabur</w:t>
      </w:r>
    </w:p>
    <w:p>
      <w:pPr>
        <w:pStyle w:val="ListParagraph"/>
        <w:numPr>
          <w:ilvl w:val="0"/>
          <w:numId w:val="1"/>
        </w:numPr>
        <w:spacing w:after="70"/>
      </w:pPr>
      <w:r>
        <w:rPr>
          <w:sz w:val="21"/>
          <w:szCs w:val="21"/>
        </w:rPr>
        <w:t xml:space="preserve">L'Oréal</w:t>
      </w:r>
    </w:p>
    <w:p>
      <w:pPr>
        <w:pStyle w:val="ListParagraph"/>
        <w:numPr>
          <w:ilvl w:val="0"/>
          <w:numId w:val="1"/>
        </w:numPr>
        <w:spacing w:after="70"/>
      </w:pPr>
      <w:r>
        <w:rPr>
          <w:sz w:val="21"/>
          <w:szCs w:val="21"/>
        </w:rPr>
        <w:t xml:space="preserve">Beiersdorf</w:t>
      </w:r>
    </w:p>
    <w:p>
      <w:pPr>
        <w:spacing w:after="140" w:line="276"/>
      </w:pPr>
      <w:r>
        <w:rPr>
          <w:sz w:val="21"/>
          <w:szCs w:val="21"/>
        </w:rPr>
        <w:t xml:space="preserve">Do NOT sell software. Sell results. Pitch: "We can let 3,000 people try your new product in one weekend and give you actionable consumer insights by Monday morning." That sells.</w:t>
      </w:r>
    </w:p>
    <w:p>
      <w:pPr>
        <w:pStyle w:val="Heading3"/>
        <w:spacing w:after="100" w:before="200"/>
      </w:pPr>
      <w:r>
        <w:rPr>
          <w:b/>
          <w:bCs/>
          <w:color w:val="374151"/>
          <w:sz w:val="21"/>
          <w:szCs w:val="21"/>
        </w:rPr>
        <w:t xml:space="preserve">Stage 2 — Acquire Consumers</w:t>
      </w:r>
    </w:p>
    <w:p>
      <w:pPr>
        <w:spacing w:after="140" w:line="276"/>
      </w:pPr>
      <w:r>
        <w:rPr>
          <w:sz w:val="21"/>
          <w:szCs w:val="21"/>
        </w:rPr>
        <w:t xml:space="preserve">Don't advertise FREE PRODUCTS. Advertise EXCLUSIVE EXPERIENCES: try products before everyone, limited campaigns, premium launches, VIP access, rewards.</w:t>
      </w:r>
    </w:p>
    <w:p>
      <w:pPr>
        <w:pStyle w:val="Heading3"/>
        <w:spacing w:after="100" w:before="200"/>
      </w:pPr>
      <w:r>
        <w:rPr>
          <w:b/>
          <w:bCs/>
          <w:color w:val="374151"/>
          <w:sz w:val="21"/>
          <w:szCs w:val="21"/>
        </w:rPr>
        <w:t xml:space="preserve">Stage 3 — Community</w:t>
      </w:r>
    </w:p>
    <w:p>
      <w:pPr>
        <w:spacing w:after="140" w:line="276"/>
      </w:pPr>
      <w:r>
        <w:rPr>
          <w:sz w:val="21"/>
          <w:szCs w:val="21"/>
        </w:rPr>
        <w:t xml:space="preserve">Not App. Community. Build: Food Lovers, Beauty Lovers, Fitness, Parents, Coffee, Students, Gamers. Each community becomes a valuable research panel.</w:t>
      </w:r>
    </w:p>
    <w:p>
      <w:pPr>
        <w:pStyle w:val="Heading3"/>
        <w:spacing w:after="100" w:before="200"/>
      </w:pPr>
      <w:r>
        <w:rPr>
          <w:b/>
          <w:bCs/>
          <w:color w:val="374151"/>
          <w:sz w:val="21"/>
          <w:szCs w:val="21"/>
        </w:rPr>
        <w:t xml:space="preserve">Positioning</w:t>
      </w:r>
    </w:p>
    <w:p>
      <w:pPr>
        <w:spacing w:after="140" w:line="276"/>
      </w:pPr>
      <w:r>
        <w:rPr>
          <w:sz w:val="21"/>
          <w:szCs w:val="21"/>
        </w:rPr>
        <w:t xml:space="preserve">NOT Market Research. NOT Sampling. Instead: "Egypt's Consumer Intelligence Platform." Huge difference.</w:t>
      </w:r>
    </w:p>
    <w:p>
      <w:pPr>
        <w:pStyle w:val="Heading3"/>
        <w:spacing w:after="100" w:before="200"/>
      </w:pPr>
      <w:r>
        <w:rPr>
          <w:b/>
          <w:bCs/>
          <w:color w:val="374151"/>
          <w:sz w:val="21"/>
          <w:szCs w:val="21"/>
        </w:rPr>
        <w:t xml:space="preserve">Marketing Channels (Priority ★★★★★)</w:t>
      </w:r>
    </w:p>
    <w:p>
      <w:pPr>
        <w:pStyle w:val="ListParagraph"/>
        <w:numPr>
          <w:ilvl w:val="0"/>
          <w:numId w:val="1"/>
        </w:numPr>
        <w:spacing w:after="70"/>
      </w:pPr>
      <w:r>
        <w:rPr>
          <w:sz w:val="21"/>
          <w:szCs w:val="21"/>
        </w:rPr>
        <w:t xml:space="preserve">TikTok</w:t>
      </w:r>
    </w:p>
    <w:p>
      <w:pPr>
        <w:pStyle w:val="ListParagraph"/>
        <w:numPr>
          <w:ilvl w:val="0"/>
          <w:numId w:val="1"/>
        </w:numPr>
        <w:spacing w:after="70"/>
      </w:pPr>
      <w:r>
        <w:rPr>
          <w:sz w:val="21"/>
          <w:szCs w:val="21"/>
        </w:rPr>
        <w:t xml:space="preserve">Instagram</w:t>
      </w:r>
    </w:p>
    <w:p>
      <w:pPr>
        <w:pStyle w:val="ListParagraph"/>
        <w:numPr>
          <w:ilvl w:val="0"/>
          <w:numId w:val="1"/>
        </w:numPr>
        <w:spacing w:after="70"/>
      </w:pPr>
      <w:r>
        <w:rPr>
          <w:sz w:val="21"/>
          <w:szCs w:val="21"/>
        </w:rPr>
        <w:t xml:space="preserve">Facebook</w:t>
      </w:r>
    </w:p>
    <w:p>
      <w:pPr>
        <w:pStyle w:val="ListParagraph"/>
        <w:numPr>
          <w:ilvl w:val="0"/>
          <w:numId w:val="1"/>
        </w:numPr>
        <w:spacing w:after="70"/>
      </w:pPr>
      <w:r>
        <w:rPr>
          <w:sz w:val="21"/>
          <w:szCs w:val="21"/>
        </w:rPr>
        <w:t xml:space="preserve">Universities</w:t>
      </w:r>
    </w:p>
    <w:p>
      <w:pPr>
        <w:pStyle w:val="ListParagraph"/>
        <w:numPr>
          <w:ilvl w:val="0"/>
          <w:numId w:val="1"/>
        </w:numPr>
        <w:spacing w:after="70"/>
      </w:pPr>
      <w:r>
        <w:rPr>
          <w:sz w:val="21"/>
          <w:szCs w:val="21"/>
        </w:rPr>
        <w:t xml:space="preserve">Micro Influencers</w:t>
      </w:r>
    </w:p>
    <w:p>
      <w:pPr>
        <w:pStyle w:val="ListParagraph"/>
        <w:numPr>
          <w:ilvl w:val="0"/>
          <w:numId w:val="1"/>
        </w:numPr>
        <w:spacing w:after="70"/>
      </w:pPr>
      <w:r>
        <w:rPr>
          <w:sz w:val="21"/>
          <w:szCs w:val="21"/>
        </w:rPr>
        <w:t xml:space="preserve">Mall activations</w:t>
      </w:r>
    </w:p>
    <w:p>
      <w:pPr>
        <w:pStyle w:val="ListParagraph"/>
        <w:numPr>
          <w:ilvl w:val="0"/>
          <w:numId w:val="1"/>
        </w:numPr>
        <w:spacing w:after="70"/>
      </w:pPr>
      <w:r>
        <w:rPr>
          <w:sz w:val="21"/>
          <w:szCs w:val="21"/>
        </w:rPr>
        <w:t xml:space="preserve">Retail partnerships</w:t>
      </w:r>
    </w:p>
    <w:p>
      <w:pPr>
        <w:pStyle w:val="ListParagraph"/>
        <w:numPr>
          <w:ilvl w:val="0"/>
          <w:numId w:val="1"/>
        </w:numPr>
        <w:spacing w:after="70"/>
      </w:pPr>
      <w:r>
        <w:rPr>
          <w:sz w:val="21"/>
          <w:szCs w:val="21"/>
        </w:rPr>
        <w:t xml:space="preserve">Referral campaigns</w:t>
      </w:r>
    </w:p>
    <w:p>
      <w:pPr>
        <w:pStyle w:val="Heading3"/>
        <w:spacing w:after="100" w:before="200"/>
      </w:pPr>
      <w:r>
        <w:rPr>
          <w:b/>
          <w:bCs/>
          <w:color w:val="374151"/>
          <w:sz w:val="21"/>
          <w:szCs w:val="21"/>
        </w:rPr>
        <w:t xml:space="preserve">Customer Acquisition</w:t>
      </w:r>
    </w:p>
    <w:p>
      <w:pPr>
        <w:spacing w:after="140" w:line="276"/>
      </w:pPr>
      <w:r>
        <w:rPr>
          <w:sz w:val="21"/>
          <w:szCs w:val="21"/>
        </w:rPr>
        <w:t xml:space="preserve">Consumers — cost target: &lt;$2 per registered verified user. Brands — CAC target: $2,000–5,000, because each contract can be worth tens of thousands annually.</w:t>
      </w:r>
    </w:p>
    <w:p>
      <w:pPr>
        <w:pStyle w:val="Heading3"/>
        <w:spacing w:after="100" w:before="200"/>
      </w:pPr>
      <w:r>
        <w:rPr>
          <w:b/>
          <w:bCs/>
          <w:color w:val="374151"/>
          <w:sz w:val="21"/>
          <w:szCs w:val="21"/>
        </w:rPr>
        <w:t xml:space="preserve">First 100 Consumers</w:t>
      </w:r>
    </w:p>
    <w:p>
      <w:pPr>
        <w:spacing w:after="140" w:line="276"/>
      </w:pPr>
      <w:r>
        <w:rPr>
          <w:sz w:val="21"/>
          <w:szCs w:val="21"/>
        </w:rPr>
        <w:t xml:space="preserve">Don't buy ads. Recruit: friends, university ambassadors, startup communities, marketing agencies, retail employees.</w:t>
      </w:r>
    </w:p>
    <w:p>
      <w:pPr>
        <w:pStyle w:val="Heading3"/>
        <w:spacing w:after="100" w:before="200"/>
      </w:pPr>
      <w:r>
        <w:rPr>
          <w:b/>
          <w:bCs/>
          <w:color w:val="374151"/>
          <w:sz w:val="21"/>
          <w:szCs w:val="21"/>
        </w:rPr>
        <w:t xml:space="preserve">First 1,000 Consumers</w:t>
      </w:r>
    </w:p>
    <w:p>
      <w:pPr>
        <w:spacing w:after="140" w:line="276"/>
      </w:pPr>
      <w:r>
        <w:rPr>
          <w:sz w:val="21"/>
          <w:szCs w:val="21"/>
        </w:rPr>
        <w:t xml:space="preserve">Partner: universities, coworking spaces, gyms, tech communities, shopping malls.</w:t>
      </w:r>
    </w:p>
    <w:p>
      <w:pPr>
        <w:pStyle w:val="Heading3"/>
        <w:spacing w:after="100" w:before="200"/>
      </w:pPr>
      <w:r>
        <w:rPr>
          <w:b/>
          <w:bCs/>
          <w:color w:val="374151"/>
          <w:sz w:val="21"/>
          <w:szCs w:val="21"/>
        </w:rPr>
        <w:t xml:space="preserve">First Brand Clients</w:t>
      </w:r>
    </w:p>
    <w:p>
      <w:pPr>
        <w:spacing w:after="140" w:line="276"/>
      </w:pPr>
      <w:r>
        <w:rPr>
          <w:sz w:val="21"/>
          <w:szCs w:val="21"/>
        </w:rPr>
        <w:t xml:space="preserve">Startups? No. Big FMCG? Not initially. Start with medium Egyptian brands — they decide faster, need innovation, less bureaucracy.</w:t>
      </w:r>
    </w:p>
    <w:p>
      <w:pPr>
        <w:pStyle w:val="Heading3"/>
        <w:spacing w:after="100" w:before="200"/>
      </w:pPr>
      <w:r>
        <w:rPr>
          <w:b/>
          <w:bCs/>
          <w:color w:val="374151"/>
          <w:sz w:val="21"/>
          <w:szCs w:val="21"/>
        </w:rPr>
        <w:t xml:space="preserve">Retention Strategy</w:t>
      </w:r>
    </w:p>
    <w:p>
      <w:pPr>
        <w:spacing w:after="140" w:line="276"/>
      </w:pPr>
      <w:r>
        <w:rPr>
          <w:sz w:val="21"/>
          <w:szCs w:val="21"/>
        </w:rPr>
        <w:t xml:space="preserve">Consumers return because of: rewards, new launches, points, exclusive products, competitions. Brands return because: consumer database grows, AI insights improve, ROI becomes measurable.</w:t>
      </w:r>
    </w:p>
    <w:p>
      <w:r>
        <w:br w:type="page"/>
      </w:r>
    </w:p>
    <w:p>
      <w:pPr>
        <w:pStyle w:val="Heading2"/>
        <w:spacing w:after="140" w:before="280"/>
      </w:pPr>
      <w:r>
        <w:rPr>
          <w:b/>
          <w:bCs/>
          <w:color w:val="1F2A44"/>
          <w:sz w:val="24"/>
          <w:szCs w:val="24"/>
        </w:rPr>
        <w:t xml:space="preserve">PHASE 10 — Operational Plan</w:t>
      </w:r>
    </w:p>
    <w:p>
      <w:pPr>
        <w:pStyle w:val="Heading3"/>
        <w:spacing w:after="100" w:before="200"/>
      </w:pPr>
      <w:r>
        <w:rPr>
          <w:b/>
          <w:bCs/>
          <w:color w:val="374151"/>
          <w:sz w:val="21"/>
          <w:szCs w:val="21"/>
        </w:rPr>
        <w:t xml:space="preserve">Company Structure</w:t>
      </w:r>
    </w:p>
    <w:p>
      <w:pPr>
        <w:spacing w:after="140" w:line="276"/>
      </w:pPr>
      <w:r>
        <w:rPr>
          <w:sz w:val="21"/>
          <w:szCs w:val="21"/>
        </w:rPr>
        <w:t xml:space="preserve">CEO → COO → Sales Director → Operations → Technology → Marketing → Customer Success.</w:t>
      </w:r>
    </w:p>
    <w:p>
      <w:pPr>
        <w:pStyle w:val="Heading3"/>
        <w:spacing w:after="100" w:before="200"/>
      </w:pPr>
      <w:r>
        <w:rPr>
          <w:b/>
          <w:bCs/>
          <w:color w:val="374151"/>
          <w:sz w:val="21"/>
          <w:szCs w:val="21"/>
        </w:rPr>
        <w:t xml:space="preserve">Team (Year One) — 10–12 people</w:t>
      </w:r>
    </w:p>
    <w:p>
      <w:pPr>
        <w:pStyle w:val="ListParagraph"/>
        <w:numPr>
          <w:ilvl w:val="0"/>
          <w:numId w:val="1"/>
        </w:numPr>
        <w:spacing w:after="70"/>
      </w:pPr>
      <w:r>
        <w:rPr>
          <w:sz w:val="21"/>
          <w:szCs w:val="21"/>
        </w:rPr>
        <w:t xml:space="preserve">CEO</w:t>
      </w:r>
    </w:p>
    <w:p>
      <w:pPr>
        <w:pStyle w:val="ListParagraph"/>
        <w:numPr>
          <w:ilvl w:val="0"/>
          <w:numId w:val="1"/>
        </w:numPr>
        <w:spacing w:after="70"/>
      </w:pPr>
      <w:r>
        <w:rPr>
          <w:sz w:val="21"/>
          <w:szCs w:val="21"/>
        </w:rPr>
        <w:t xml:space="preserve">CTO</w:t>
      </w:r>
    </w:p>
    <w:p>
      <w:pPr>
        <w:pStyle w:val="ListParagraph"/>
        <w:numPr>
          <w:ilvl w:val="0"/>
          <w:numId w:val="1"/>
        </w:numPr>
        <w:spacing w:after="70"/>
      </w:pPr>
      <w:r>
        <w:rPr>
          <w:sz w:val="21"/>
          <w:szCs w:val="21"/>
        </w:rPr>
        <w:t xml:space="preserve">Lead Engineer</w:t>
      </w:r>
    </w:p>
    <w:p>
      <w:pPr>
        <w:pStyle w:val="ListParagraph"/>
        <w:numPr>
          <w:ilvl w:val="0"/>
          <w:numId w:val="1"/>
        </w:numPr>
        <w:spacing w:after="70"/>
      </w:pPr>
      <w:r>
        <w:rPr>
          <w:sz w:val="21"/>
          <w:szCs w:val="21"/>
        </w:rPr>
        <w:t xml:space="preserve">Mobile Developer</w:t>
      </w:r>
    </w:p>
    <w:p>
      <w:pPr>
        <w:pStyle w:val="ListParagraph"/>
        <w:numPr>
          <w:ilvl w:val="0"/>
          <w:numId w:val="1"/>
        </w:numPr>
        <w:spacing w:after="70"/>
      </w:pPr>
      <w:r>
        <w:rPr>
          <w:sz w:val="21"/>
          <w:szCs w:val="21"/>
        </w:rPr>
        <w:t xml:space="preserve">Backend Developer</w:t>
      </w:r>
    </w:p>
    <w:p>
      <w:pPr>
        <w:pStyle w:val="ListParagraph"/>
        <w:numPr>
          <w:ilvl w:val="0"/>
          <w:numId w:val="1"/>
        </w:numPr>
        <w:spacing w:after="70"/>
      </w:pPr>
      <w:r>
        <w:rPr>
          <w:sz w:val="21"/>
          <w:szCs w:val="21"/>
        </w:rPr>
        <w:t xml:space="preserve">Product Manager</w:t>
      </w:r>
    </w:p>
    <w:p>
      <w:pPr>
        <w:pStyle w:val="ListParagraph"/>
        <w:numPr>
          <w:ilvl w:val="0"/>
          <w:numId w:val="1"/>
        </w:numPr>
        <w:spacing w:after="70"/>
      </w:pPr>
      <w:r>
        <w:rPr>
          <w:sz w:val="21"/>
          <w:szCs w:val="21"/>
        </w:rPr>
        <w:t xml:space="preserve">Brand Partnerships Manager</w:t>
      </w:r>
    </w:p>
    <w:p>
      <w:pPr>
        <w:pStyle w:val="ListParagraph"/>
        <w:numPr>
          <w:ilvl w:val="0"/>
          <w:numId w:val="1"/>
        </w:numPr>
        <w:spacing w:after="70"/>
      </w:pPr>
      <w:r>
        <w:rPr>
          <w:sz w:val="21"/>
          <w:szCs w:val="21"/>
        </w:rPr>
        <w:t xml:space="preserve">Operations Manager</w:t>
      </w:r>
    </w:p>
    <w:p>
      <w:pPr>
        <w:pStyle w:val="ListParagraph"/>
        <w:numPr>
          <w:ilvl w:val="0"/>
          <w:numId w:val="1"/>
        </w:numPr>
        <w:spacing w:after="70"/>
      </w:pPr>
      <w:r>
        <w:rPr>
          <w:sz w:val="21"/>
          <w:szCs w:val="21"/>
        </w:rPr>
        <w:t xml:space="preserve">Marketing Manager</w:t>
      </w:r>
    </w:p>
    <w:p>
      <w:pPr>
        <w:pStyle w:val="ListParagraph"/>
        <w:numPr>
          <w:ilvl w:val="0"/>
          <w:numId w:val="1"/>
        </w:numPr>
        <w:spacing w:after="70"/>
      </w:pPr>
      <w:r>
        <w:rPr>
          <w:sz w:val="21"/>
          <w:szCs w:val="21"/>
        </w:rPr>
        <w:t xml:space="preserve">Customer Support</w:t>
      </w:r>
    </w:p>
    <w:p>
      <w:pPr>
        <w:pStyle w:val="ListParagraph"/>
        <w:numPr>
          <w:ilvl w:val="0"/>
          <w:numId w:val="1"/>
        </w:numPr>
        <w:spacing w:after="70"/>
      </w:pPr>
      <w:r>
        <w:rPr>
          <w:sz w:val="21"/>
          <w:szCs w:val="21"/>
        </w:rPr>
        <w:t xml:space="preserve">Data Analyst</w:t>
      </w:r>
    </w:p>
    <w:p>
      <w:pPr>
        <w:pStyle w:val="Heading3"/>
        <w:spacing w:after="100" w:before="200"/>
      </w:pPr>
      <w:r>
        <w:rPr>
          <w:b/>
          <w:bCs/>
          <w:color w:val="374151"/>
          <w:sz w:val="21"/>
          <w:szCs w:val="21"/>
        </w:rPr>
        <w:t xml:space="preserve">Technology Stack</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Layer</w:t>
            </w:r>
          </w:p>
        </w:tc>
        <w:tc>
          <w:tcPr>
            <w:tcW w:type="dxa" w:w="6950"/>
            <w:shd w:fill="1F2A44" w:val="clear"/>
            <w:tcMar>
              <w:top w:type="dxa" w:w="100"/>
              <w:left w:type="dxa" w:w="120"/>
              <w:bottom w:type="dxa" w:w="100"/>
              <w:right w:type="dxa" w:w="120"/>
            </w:tcMar>
            <w:vAlign w:val="center"/>
          </w:tcPr>
          <w:p>
            <w:r>
              <w:rPr>
                <w:b/>
                <w:bCs/>
                <w:color w:val="FFFFFF"/>
                <w:sz w:val="19"/>
                <w:szCs w:val="19"/>
              </w:rPr>
              <w:t xml:space="preserve">Options</w:t>
            </w:r>
          </w:p>
        </w:tc>
      </w:tr>
      <w:tr>
        <w:tc>
          <w:tcPr>
            <w:tcW w:type="dxa" w:w="2400"/>
            <w:shd w:fill="FFFFFF" w:val="clear"/>
            <w:tcMar>
              <w:top w:type="dxa" w:w="90"/>
              <w:left w:type="dxa" w:w="120"/>
              <w:bottom w:type="dxa" w:w="90"/>
              <w:right w:type="dxa" w:w="120"/>
            </w:tcMar>
            <w:vAlign w:val="center"/>
          </w:tcPr>
          <w:p>
            <w:r>
              <w:rPr>
                <w:sz w:val="19"/>
                <w:szCs w:val="19"/>
              </w:rPr>
              <w:t xml:space="preserve">Frontend</w:t>
            </w:r>
          </w:p>
        </w:tc>
        <w:tc>
          <w:tcPr>
            <w:tcW w:type="dxa" w:w="6950"/>
            <w:shd w:fill="FFFFFF" w:val="clear"/>
            <w:tcMar>
              <w:top w:type="dxa" w:w="90"/>
              <w:left w:type="dxa" w:w="120"/>
              <w:bottom w:type="dxa" w:w="90"/>
              <w:right w:type="dxa" w:w="120"/>
            </w:tcMar>
            <w:vAlign w:val="center"/>
          </w:tcPr>
          <w:p>
            <w:r>
              <w:rPr>
                <w:sz w:val="19"/>
                <w:szCs w:val="19"/>
              </w:rPr>
              <w:t xml:space="preserve">Flutter or React Native</w:t>
            </w:r>
          </w:p>
        </w:tc>
      </w:tr>
      <w:tr>
        <w:tc>
          <w:tcPr>
            <w:tcW w:type="dxa" w:w="2400"/>
            <w:shd w:fill="F2F2F2" w:val="clear"/>
            <w:tcMar>
              <w:top w:type="dxa" w:w="90"/>
              <w:left w:type="dxa" w:w="120"/>
              <w:bottom w:type="dxa" w:w="90"/>
              <w:right w:type="dxa" w:w="120"/>
            </w:tcMar>
            <w:vAlign w:val="center"/>
          </w:tcPr>
          <w:p>
            <w:r>
              <w:rPr>
                <w:sz w:val="19"/>
                <w:szCs w:val="19"/>
              </w:rPr>
              <w:t xml:space="preserve">Backend</w:t>
            </w:r>
          </w:p>
        </w:tc>
        <w:tc>
          <w:tcPr>
            <w:tcW w:type="dxa" w:w="6950"/>
            <w:shd w:fill="F2F2F2" w:val="clear"/>
            <w:tcMar>
              <w:top w:type="dxa" w:w="90"/>
              <w:left w:type="dxa" w:w="120"/>
              <w:bottom w:type="dxa" w:w="90"/>
              <w:right w:type="dxa" w:w="120"/>
            </w:tcMar>
            <w:vAlign w:val="center"/>
          </w:tcPr>
          <w:p>
            <w:r>
              <w:rPr>
                <w:sz w:val="19"/>
                <w:szCs w:val="19"/>
              </w:rPr>
              <w:t xml:space="preserve">Node.js, NestJS, Python</w:t>
            </w:r>
          </w:p>
        </w:tc>
      </w:tr>
      <w:tr>
        <w:tc>
          <w:tcPr>
            <w:tcW w:type="dxa" w:w="2400"/>
            <w:shd w:fill="FFFFFF" w:val="clear"/>
            <w:tcMar>
              <w:top w:type="dxa" w:w="90"/>
              <w:left w:type="dxa" w:w="120"/>
              <w:bottom w:type="dxa" w:w="90"/>
              <w:right w:type="dxa" w:w="120"/>
            </w:tcMar>
            <w:vAlign w:val="center"/>
          </w:tcPr>
          <w:p>
            <w:r>
              <w:rPr>
                <w:sz w:val="19"/>
                <w:szCs w:val="19"/>
              </w:rPr>
              <w:t xml:space="preserve">AI</w:t>
            </w:r>
          </w:p>
        </w:tc>
        <w:tc>
          <w:tcPr>
            <w:tcW w:type="dxa" w:w="6950"/>
            <w:shd w:fill="FFFFFF" w:val="clear"/>
            <w:tcMar>
              <w:top w:type="dxa" w:w="90"/>
              <w:left w:type="dxa" w:w="120"/>
              <w:bottom w:type="dxa" w:w="90"/>
              <w:right w:type="dxa" w:w="120"/>
            </w:tcMar>
            <w:vAlign w:val="center"/>
          </w:tcPr>
          <w:p>
            <w:r>
              <w:rPr>
                <w:sz w:val="19"/>
                <w:szCs w:val="19"/>
              </w:rPr>
              <w:t xml:space="preserve">OpenAI, Anthropic, Azure AI, Google Vertex AI</w:t>
            </w:r>
          </w:p>
        </w:tc>
      </w:tr>
      <w:tr>
        <w:tc>
          <w:tcPr>
            <w:tcW w:type="dxa" w:w="2400"/>
            <w:shd w:fill="F2F2F2" w:val="clear"/>
            <w:tcMar>
              <w:top w:type="dxa" w:w="90"/>
              <w:left w:type="dxa" w:w="120"/>
              <w:bottom w:type="dxa" w:w="90"/>
              <w:right w:type="dxa" w:w="120"/>
            </w:tcMar>
            <w:vAlign w:val="center"/>
          </w:tcPr>
          <w:p>
            <w:r>
              <w:rPr>
                <w:sz w:val="19"/>
                <w:szCs w:val="19"/>
              </w:rPr>
              <w:t xml:space="preserve">Cloud</w:t>
            </w:r>
          </w:p>
        </w:tc>
        <w:tc>
          <w:tcPr>
            <w:tcW w:type="dxa" w:w="6950"/>
            <w:shd w:fill="F2F2F2" w:val="clear"/>
            <w:tcMar>
              <w:top w:type="dxa" w:w="90"/>
              <w:left w:type="dxa" w:w="120"/>
              <w:bottom w:type="dxa" w:w="90"/>
              <w:right w:type="dxa" w:w="120"/>
            </w:tcMar>
            <w:vAlign w:val="center"/>
          </w:tcPr>
          <w:p>
            <w:r>
              <w:rPr>
                <w:sz w:val="19"/>
                <w:szCs w:val="19"/>
              </w:rPr>
              <w:t xml:space="preserve">AWS, Azure, or Google Cloud</w:t>
            </w:r>
          </w:p>
        </w:tc>
      </w:tr>
      <w:tr>
        <w:tc>
          <w:tcPr>
            <w:tcW w:type="dxa" w:w="2400"/>
            <w:shd w:fill="FFFFFF" w:val="clear"/>
            <w:tcMar>
              <w:top w:type="dxa" w:w="90"/>
              <w:left w:type="dxa" w:w="120"/>
              <w:bottom w:type="dxa" w:w="90"/>
              <w:right w:type="dxa" w:w="120"/>
            </w:tcMar>
            <w:vAlign w:val="center"/>
          </w:tcPr>
          <w:p>
            <w:r>
              <w:rPr>
                <w:sz w:val="19"/>
                <w:szCs w:val="19"/>
              </w:rPr>
              <w:t xml:space="preserve">Analytics</w:t>
            </w:r>
          </w:p>
        </w:tc>
        <w:tc>
          <w:tcPr>
            <w:tcW w:type="dxa" w:w="6950"/>
            <w:shd w:fill="FFFFFF" w:val="clear"/>
            <w:tcMar>
              <w:top w:type="dxa" w:w="90"/>
              <w:left w:type="dxa" w:w="120"/>
              <w:bottom w:type="dxa" w:w="90"/>
              <w:right w:type="dxa" w:w="120"/>
            </w:tcMar>
            <w:vAlign w:val="center"/>
          </w:tcPr>
          <w:p>
            <w:r>
              <w:rPr>
                <w:sz w:val="19"/>
                <w:szCs w:val="19"/>
              </w:rPr>
              <w:t xml:space="preserve">Power BI, Metabase, Looker</w:t>
            </w:r>
          </w:p>
        </w:tc>
      </w:tr>
      <w:tr>
        <w:tc>
          <w:tcPr>
            <w:tcW w:type="dxa" w:w="2400"/>
            <w:shd w:fill="F2F2F2" w:val="clear"/>
            <w:tcMar>
              <w:top w:type="dxa" w:w="90"/>
              <w:left w:type="dxa" w:w="120"/>
              <w:bottom w:type="dxa" w:w="90"/>
              <w:right w:type="dxa" w:w="120"/>
            </w:tcMar>
            <w:vAlign w:val="center"/>
          </w:tcPr>
          <w:p>
            <w:r>
              <w:rPr>
                <w:sz w:val="19"/>
                <w:szCs w:val="19"/>
              </w:rPr>
              <w:t xml:space="preserve">Database</w:t>
            </w:r>
          </w:p>
        </w:tc>
        <w:tc>
          <w:tcPr>
            <w:tcW w:type="dxa" w:w="6950"/>
            <w:shd w:fill="F2F2F2" w:val="clear"/>
            <w:tcMar>
              <w:top w:type="dxa" w:w="90"/>
              <w:left w:type="dxa" w:w="120"/>
              <w:bottom w:type="dxa" w:w="90"/>
              <w:right w:type="dxa" w:w="120"/>
            </w:tcMar>
            <w:vAlign w:val="center"/>
          </w:tcPr>
          <w:p>
            <w:r>
              <w:rPr>
                <w:sz w:val="19"/>
                <w:szCs w:val="19"/>
              </w:rPr>
              <w:t xml:space="preserve">PostgreSQL, Redis</w:t>
            </w:r>
          </w:p>
        </w:tc>
      </w:tr>
      <w:tr>
        <w:tc>
          <w:tcPr>
            <w:tcW w:type="dxa" w:w="2400"/>
            <w:shd w:fill="FFFFFF" w:val="clear"/>
            <w:tcMar>
              <w:top w:type="dxa" w:w="90"/>
              <w:left w:type="dxa" w:w="120"/>
              <w:bottom w:type="dxa" w:w="90"/>
              <w:right w:type="dxa" w:w="120"/>
            </w:tcMar>
            <w:vAlign w:val="center"/>
          </w:tcPr>
          <w:p>
            <w:r>
              <w:rPr>
                <w:sz w:val="19"/>
                <w:szCs w:val="19"/>
              </w:rPr>
              <w:t xml:space="preserve">Warehouse</w:t>
            </w:r>
          </w:p>
        </w:tc>
        <w:tc>
          <w:tcPr>
            <w:tcW w:type="dxa" w:w="6950"/>
            <w:shd w:fill="FFFFFF" w:val="clear"/>
            <w:tcMar>
              <w:top w:type="dxa" w:w="90"/>
              <w:left w:type="dxa" w:w="120"/>
              <w:bottom w:type="dxa" w:w="90"/>
              <w:right w:type="dxa" w:w="120"/>
            </w:tcMar>
            <w:vAlign w:val="center"/>
          </w:tcPr>
          <w:p>
            <w:r>
              <w:rPr>
                <w:sz w:val="19"/>
                <w:szCs w:val="19"/>
              </w:rPr>
              <w:t xml:space="preserve">BigQuery</w:t>
            </w:r>
          </w:p>
        </w:tc>
      </w:tr>
    </w:tbl>
    <w:p>
      <w:pPr>
        <w:pStyle w:val="Heading3"/>
        <w:spacing w:after="100" w:before="200"/>
      </w:pPr>
      <w:r>
        <w:rPr>
          <w:b/>
          <w:bCs/>
          <w:color w:val="374151"/>
          <w:sz w:val="21"/>
          <w:szCs w:val="21"/>
        </w:rPr>
        <w:t xml:space="preserve">Automation</w:t>
      </w:r>
    </w:p>
    <w:p>
      <w:pPr>
        <w:spacing w:after="140" w:line="276"/>
      </w:pPr>
      <w:r>
        <w:rPr>
          <w:sz w:val="21"/>
          <w:szCs w:val="21"/>
        </w:rPr>
        <w:t xml:space="preserve">Everything repetitive must be automated: campaign creation, consumer segmentation, reward distribution, survey generation, AI reporting, brand dashboards, invoices, notifications, QR validation.</w:t>
      </w:r>
    </w:p>
    <w:p>
      <w:pPr>
        <w:pStyle w:val="Heading3"/>
        <w:spacing w:after="100" w:before="200"/>
      </w:pPr>
      <w:r>
        <w:rPr>
          <w:b/>
          <w:bCs/>
          <w:color w:val="374151"/>
          <w:sz w:val="21"/>
          <w:szCs w:val="21"/>
        </w:rPr>
        <w:t xml:space="preserve">KPIs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Category</w:t>
            </w:r>
          </w:p>
        </w:tc>
        <w:tc>
          <w:tcPr>
            <w:tcW w:type="dxa" w:w="7150"/>
            <w:shd w:fill="1F2A44" w:val="clear"/>
            <w:tcMar>
              <w:top w:type="dxa" w:w="100"/>
              <w:left w:type="dxa" w:w="120"/>
              <w:bottom w:type="dxa" w:w="100"/>
              <w:right w:type="dxa" w:w="120"/>
            </w:tcMar>
            <w:vAlign w:val="center"/>
          </w:tcPr>
          <w:p>
            <w:r>
              <w:rPr>
                <w:b/>
                <w:bCs/>
                <w:color w:val="FFFFFF"/>
                <w:sz w:val="19"/>
                <w:szCs w:val="19"/>
              </w:rPr>
              <w:t xml:space="preserve">KPIs</w:t>
            </w:r>
          </w:p>
        </w:tc>
      </w:tr>
      <w:tr>
        <w:tc>
          <w:tcPr>
            <w:tcW w:type="dxa" w:w="2200"/>
            <w:shd w:fill="FFFFFF" w:val="clear"/>
            <w:tcMar>
              <w:top w:type="dxa" w:w="90"/>
              <w:left w:type="dxa" w:w="120"/>
              <w:bottom w:type="dxa" w:w="90"/>
              <w:right w:type="dxa" w:w="120"/>
            </w:tcMar>
            <w:vAlign w:val="center"/>
          </w:tcPr>
          <w:p>
            <w:r>
              <w:rPr>
                <w:sz w:val="19"/>
                <w:szCs w:val="19"/>
              </w:rPr>
              <w:t xml:space="preserve">Consumers</w:t>
            </w:r>
          </w:p>
        </w:tc>
        <w:tc>
          <w:tcPr>
            <w:tcW w:type="dxa" w:w="7150"/>
            <w:shd w:fill="FFFFFF" w:val="clear"/>
            <w:tcMar>
              <w:top w:type="dxa" w:w="90"/>
              <w:left w:type="dxa" w:w="120"/>
              <w:bottom w:type="dxa" w:w="90"/>
              <w:right w:type="dxa" w:w="120"/>
            </w:tcMar>
            <w:vAlign w:val="center"/>
          </w:tcPr>
          <w:p>
            <w:r>
              <w:rPr>
                <w:sz w:val="19"/>
                <w:szCs w:val="19"/>
              </w:rPr>
              <w:t xml:space="preserve">Monthly Active Users, Completion Rate, Survey Rate, Retention, Cost per User</w:t>
            </w:r>
          </w:p>
        </w:tc>
      </w:tr>
      <w:tr>
        <w:tc>
          <w:tcPr>
            <w:tcW w:type="dxa" w:w="2200"/>
            <w:shd w:fill="F2F2F2" w:val="clear"/>
            <w:tcMar>
              <w:top w:type="dxa" w:w="90"/>
              <w:left w:type="dxa" w:w="120"/>
              <w:bottom w:type="dxa" w:w="90"/>
              <w:right w:type="dxa" w:w="120"/>
            </w:tcMar>
            <w:vAlign w:val="center"/>
          </w:tcPr>
          <w:p>
            <w:r>
              <w:rPr>
                <w:sz w:val="19"/>
                <w:szCs w:val="19"/>
              </w:rPr>
              <w:t xml:space="preserve">Brands</w:t>
            </w:r>
          </w:p>
        </w:tc>
        <w:tc>
          <w:tcPr>
            <w:tcW w:type="dxa" w:w="7150"/>
            <w:shd w:fill="F2F2F2" w:val="clear"/>
            <w:tcMar>
              <w:top w:type="dxa" w:w="90"/>
              <w:left w:type="dxa" w:w="120"/>
              <w:bottom w:type="dxa" w:w="90"/>
              <w:right w:type="dxa" w:w="120"/>
            </w:tcMar>
            <w:vAlign w:val="center"/>
          </w:tcPr>
          <w:p>
            <w:r>
              <w:rPr>
                <w:sz w:val="19"/>
                <w:szCs w:val="19"/>
              </w:rPr>
              <w:t xml:space="preserve">Campaign Renewal, NPS, Revenue, Average Campaign Value, ROI</w:t>
            </w:r>
          </w:p>
        </w:tc>
      </w:tr>
      <w:tr>
        <w:tc>
          <w:tcPr>
            <w:tcW w:type="dxa" w:w="2200"/>
            <w:shd w:fill="FFFFFF" w:val="clear"/>
            <w:tcMar>
              <w:top w:type="dxa" w:w="90"/>
              <w:left w:type="dxa" w:w="120"/>
              <w:bottom w:type="dxa" w:w="90"/>
              <w:right w:type="dxa" w:w="120"/>
            </w:tcMar>
            <w:vAlign w:val="center"/>
          </w:tcPr>
          <w:p>
            <w:r>
              <w:rPr>
                <w:sz w:val="19"/>
                <w:szCs w:val="19"/>
              </w:rPr>
              <w:t xml:space="preserve">Operations</w:t>
            </w:r>
          </w:p>
        </w:tc>
        <w:tc>
          <w:tcPr>
            <w:tcW w:type="dxa" w:w="7150"/>
            <w:shd w:fill="FFFFFF" w:val="clear"/>
            <w:tcMar>
              <w:top w:type="dxa" w:w="90"/>
              <w:left w:type="dxa" w:w="120"/>
              <w:bottom w:type="dxa" w:w="90"/>
              <w:right w:type="dxa" w:w="120"/>
            </w:tcMar>
            <w:vAlign w:val="center"/>
          </w:tcPr>
          <w:p>
            <w:r>
              <w:rPr>
                <w:sz w:val="19"/>
                <w:szCs w:val="19"/>
              </w:rPr>
              <w:t xml:space="preserve">Delivery Success, Average Wait Time, Fraud Detection, App Crashes, Support SLA</w:t>
            </w:r>
          </w:p>
        </w:tc>
      </w:tr>
    </w:tbl>
    <w:p>
      <w:pPr>
        <w:pStyle w:val="Heading3"/>
        <w:spacing w:after="100" w:before="200"/>
      </w:pPr>
      <w:r>
        <w:rPr>
          <w:b/>
          <w:bCs/>
          <w:color w:val="374151"/>
          <w:sz w:val="21"/>
          <w:szCs w:val="21"/>
        </w:rPr>
        <w:t xml:space="preserve">Scaling Plan</w:t>
      </w:r>
    </w:p>
    <w:p>
      <w:pPr>
        <w:spacing w:after="140" w:line="276"/>
      </w:pPr>
      <w:r>
        <w:rPr>
          <w:sz w:val="21"/>
          <w:szCs w:val="21"/>
        </w:rPr>
        <w:t xml:space="preserve">Year 1: Cairo. Year 2: Alexandria, Giza, New Cairo, 6 October. Year 3: Delta, Upper Egypt, Tourist cities. Then GCC.</w:t>
      </w:r>
    </w:p>
    <w:p>
      <w:r>
        <w:br w:type="page"/>
      </w:r>
    </w:p>
    <w:p>
      <w:pPr>
        <w:pStyle w:val="Heading2"/>
        <w:spacing w:after="140" w:before="280"/>
      </w:pPr>
      <w:r>
        <w:rPr>
          <w:b/>
          <w:bCs/>
          <w:color w:val="1F2A44"/>
          <w:sz w:val="24"/>
          <w:szCs w:val="24"/>
        </w:rPr>
        <w:t xml:space="preserve">PHASE 11 — Risk Analysis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1500"/>
        <w:gridCol w:w="1500"/>
        <w:gridCol w:w="41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Risk</w:t>
            </w:r>
          </w:p>
        </w:tc>
        <w:tc>
          <w:tcPr>
            <w:tcW w:type="dxa" w:w="1500"/>
            <w:shd w:fill="1F2A44" w:val="clear"/>
            <w:tcMar>
              <w:top w:type="dxa" w:w="100"/>
              <w:left w:type="dxa" w:w="120"/>
              <w:bottom w:type="dxa" w:w="100"/>
              <w:right w:type="dxa" w:w="120"/>
            </w:tcMar>
            <w:vAlign w:val="center"/>
          </w:tcPr>
          <w:p>
            <w:r>
              <w:rPr>
                <w:b/>
                <w:bCs/>
                <w:color w:val="FFFFFF"/>
                <w:sz w:val="19"/>
                <w:szCs w:val="19"/>
              </w:rPr>
              <w:t xml:space="preserve">Probability</w:t>
            </w:r>
          </w:p>
        </w:tc>
        <w:tc>
          <w:tcPr>
            <w:tcW w:type="dxa" w:w="1500"/>
            <w:shd w:fill="1F2A44" w:val="clear"/>
            <w:tcMar>
              <w:top w:type="dxa" w:w="100"/>
              <w:left w:type="dxa" w:w="120"/>
              <w:bottom w:type="dxa" w:w="100"/>
              <w:right w:type="dxa" w:w="120"/>
            </w:tcMar>
            <w:vAlign w:val="center"/>
          </w:tcPr>
          <w:p>
            <w:r>
              <w:rPr>
                <w:b/>
                <w:bCs/>
                <w:color w:val="FFFFFF"/>
                <w:sz w:val="19"/>
                <w:szCs w:val="19"/>
              </w:rPr>
              <w:t xml:space="preserve">Impact</w:t>
            </w:r>
          </w:p>
        </w:tc>
        <w:tc>
          <w:tcPr>
            <w:tcW w:type="dxa" w:w="4150"/>
            <w:shd w:fill="1F2A44" w:val="clear"/>
            <w:tcMar>
              <w:top w:type="dxa" w:w="100"/>
              <w:left w:type="dxa" w:w="120"/>
              <w:bottom w:type="dxa" w:w="100"/>
              <w:right w:type="dxa" w:w="120"/>
            </w:tcMar>
            <w:vAlign w:val="center"/>
          </w:tcPr>
          <w:p>
            <w:r>
              <w:rPr>
                <w:b/>
                <w:bCs/>
                <w:color w:val="FFFFFF"/>
                <w:sz w:val="19"/>
                <w:szCs w:val="19"/>
              </w:rPr>
              <w:t xml:space="preserve">Mitigation</w:t>
            </w:r>
          </w:p>
        </w:tc>
      </w:tr>
      <w:tr>
        <w:tc>
          <w:tcPr>
            <w:tcW w:type="dxa" w:w="2200"/>
            <w:shd w:fill="FFFFFF" w:val="clear"/>
            <w:tcMar>
              <w:top w:type="dxa" w:w="90"/>
              <w:left w:type="dxa" w:w="120"/>
              <w:bottom w:type="dxa" w:w="90"/>
              <w:right w:type="dxa" w:w="120"/>
            </w:tcMar>
            <w:vAlign w:val="center"/>
          </w:tcPr>
          <w:p>
            <w:r>
              <w:rPr>
                <w:sz w:val="19"/>
                <w:szCs w:val="19"/>
              </w:rPr>
              <w:t xml:space="preserve">Low consumer adoption</w:t>
            </w:r>
          </w:p>
        </w:tc>
        <w:tc>
          <w:tcPr>
            <w:tcW w:type="dxa" w:w="1500"/>
            <w:shd w:fill="FFFFFF" w:val="clear"/>
            <w:tcMar>
              <w:top w:type="dxa" w:w="90"/>
              <w:left w:type="dxa" w:w="120"/>
              <w:bottom w:type="dxa" w:w="90"/>
              <w:right w:type="dxa" w:w="120"/>
            </w:tcMar>
            <w:vAlign w:val="center"/>
          </w:tcPr>
          <w:p>
            <w:r>
              <w:rPr>
                <w:sz w:val="19"/>
                <w:szCs w:val="19"/>
              </w:rPr>
              <w:t xml:space="preserve">Medium</w:t>
            </w:r>
          </w:p>
        </w:tc>
        <w:tc>
          <w:tcPr>
            <w:tcW w:type="dxa" w:w="1500"/>
            <w:shd w:fill="FFFFFF" w:val="clear"/>
            <w:tcMar>
              <w:top w:type="dxa" w:w="90"/>
              <w:left w:type="dxa" w:w="120"/>
              <w:bottom w:type="dxa" w:w="90"/>
              <w:right w:type="dxa" w:w="120"/>
            </w:tcMar>
            <w:vAlign w:val="center"/>
          </w:tcPr>
          <w:p>
            <w:r>
              <w:rPr>
                <w:sz w:val="19"/>
                <w:szCs w:val="19"/>
              </w:rPr>
              <w:t xml:space="preserve">High</w:t>
            </w:r>
          </w:p>
        </w:tc>
        <w:tc>
          <w:tcPr>
            <w:tcW w:type="dxa" w:w="4150"/>
            <w:shd w:fill="FFFFFF" w:val="clear"/>
            <w:tcMar>
              <w:top w:type="dxa" w:w="90"/>
              <w:left w:type="dxa" w:w="120"/>
              <w:bottom w:type="dxa" w:w="90"/>
              <w:right w:type="dxa" w:w="120"/>
            </w:tcMar>
            <w:vAlign w:val="center"/>
          </w:tcPr>
          <w:p>
            <w:r>
              <w:rPr>
                <w:sz w:val="19"/>
                <w:szCs w:val="19"/>
              </w:rPr>
              <w:t xml:space="preserve">Gamification, rewards</w:t>
            </w:r>
          </w:p>
        </w:tc>
      </w:tr>
      <w:tr>
        <w:tc>
          <w:tcPr>
            <w:tcW w:type="dxa" w:w="2200"/>
            <w:shd w:fill="F2F2F2" w:val="clear"/>
            <w:tcMar>
              <w:top w:type="dxa" w:w="90"/>
              <w:left w:type="dxa" w:w="120"/>
              <w:bottom w:type="dxa" w:w="90"/>
              <w:right w:type="dxa" w:w="120"/>
            </w:tcMar>
            <w:vAlign w:val="center"/>
          </w:tcPr>
          <w:p>
            <w:r>
              <w:rPr>
                <w:sz w:val="19"/>
                <w:szCs w:val="19"/>
              </w:rPr>
              <w:t xml:space="preserve">Low brand adoption</w:t>
            </w:r>
          </w:p>
        </w:tc>
        <w:tc>
          <w:tcPr>
            <w:tcW w:type="dxa" w:w="1500"/>
            <w:shd w:fill="F2F2F2" w:val="clear"/>
            <w:tcMar>
              <w:top w:type="dxa" w:w="90"/>
              <w:left w:type="dxa" w:w="120"/>
              <w:bottom w:type="dxa" w:w="90"/>
              <w:right w:type="dxa" w:w="120"/>
            </w:tcMar>
            <w:vAlign w:val="center"/>
          </w:tcPr>
          <w:p>
            <w:r>
              <w:rPr>
                <w:sz w:val="19"/>
                <w:szCs w:val="19"/>
              </w:rPr>
              <w:t xml:space="preserve">Medium</w:t>
            </w:r>
          </w:p>
        </w:tc>
        <w:tc>
          <w:tcPr>
            <w:tcW w:type="dxa" w:w="1500"/>
            <w:shd w:fill="F2F2F2" w:val="clear"/>
            <w:tcMar>
              <w:top w:type="dxa" w:w="90"/>
              <w:left w:type="dxa" w:w="120"/>
              <w:bottom w:type="dxa" w:w="90"/>
              <w:right w:type="dxa" w:w="120"/>
            </w:tcMar>
            <w:vAlign w:val="center"/>
          </w:tcPr>
          <w:p>
            <w:r>
              <w:rPr>
                <w:sz w:val="19"/>
                <w:szCs w:val="19"/>
              </w:rPr>
              <w:t xml:space="preserve">Critical</w:t>
            </w:r>
          </w:p>
        </w:tc>
        <w:tc>
          <w:tcPr>
            <w:tcW w:type="dxa" w:w="4150"/>
            <w:shd w:fill="F2F2F2" w:val="clear"/>
            <w:tcMar>
              <w:top w:type="dxa" w:w="90"/>
              <w:left w:type="dxa" w:w="120"/>
              <w:bottom w:type="dxa" w:w="90"/>
              <w:right w:type="dxa" w:w="120"/>
            </w:tcMar>
            <w:vAlign w:val="center"/>
          </w:tcPr>
          <w:p>
            <w:r>
              <w:rPr>
                <w:sz w:val="19"/>
                <w:szCs w:val="19"/>
              </w:rPr>
              <w:t xml:space="preserve">Start with mid-size brands</w:t>
            </w:r>
          </w:p>
        </w:tc>
      </w:tr>
      <w:tr>
        <w:tc>
          <w:tcPr>
            <w:tcW w:type="dxa" w:w="2200"/>
            <w:shd w:fill="FFFFFF" w:val="clear"/>
            <w:tcMar>
              <w:top w:type="dxa" w:w="90"/>
              <w:left w:type="dxa" w:w="120"/>
              <w:bottom w:type="dxa" w:w="90"/>
              <w:right w:type="dxa" w:w="120"/>
            </w:tcMar>
            <w:vAlign w:val="center"/>
          </w:tcPr>
          <w:p>
            <w:r>
              <w:rPr>
                <w:sz w:val="19"/>
                <w:szCs w:val="19"/>
              </w:rPr>
              <w:t xml:space="preserve">Logistics failure</w:t>
            </w:r>
          </w:p>
        </w:tc>
        <w:tc>
          <w:tcPr>
            <w:tcW w:type="dxa" w:w="1500"/>
            <w:shd w:fill="FFFFFF" w:val="clear"/>
            <w:tcMar>
              <w:top w:type="dxa" w:w="90"/>
              <w:left w:type="dxa" w:w="120"/>
              <w:bottom w:type="dxa" w:w="90"/>
              <w:right w:type="dxa" w:w="120"/>
            </w:tcMar>
            <w:vAlign w:val="center"/>
          </w:tcPr>
          <w:p>
            <w:r>
              <w:rPr>
                <w:sz w:val="19"/>
                <w:szCs w:val="19"/>
              </w:rPr>
              <w:t xml:space="preserve">Medium</w:t>
            </w:r>
          </w:p>
        </w:tc>
        <w:tc>
          <w:tcPr>
            <w:tcW w:type="dxa" w:w="1500"/>
            <w:shd w:fill="FFFFFF" w:val="clear"/>
            <w:tcMar>
              <w:top w:type="dxa" w:w="90"/>
              <w:left w:type="dxa" w:w="120"/>
              <w:bottom w:type="dxa" w:w="90"/>
              <w:right w:type="dxa" w:w="120"/>
            </w:tcMar>
            <w:vAlign w:val="center"/>
          </w:tcPr>
          <w:p>
            <w:r>
              <w:rPr>
                <w:sz w:val="19"/>
                <w:szCs w:val="19"/>
              </w:rPr>
              <w:t xml:space="preserve">High</w:t>
            </w:r>
          </w:p>
        </w:tc>
        <w:tc>
          <w:tcPr>
            <w:tcW w:type="dxa" w:w="4150"/>
            <w:shd w:fill="FFFFFF" w:val="clear"/>
            <w:tcMar>
              <w:top w:type="dxa" w:w="90"/>
              <w:left w:type="dxa" w:w="120"/>
              <w:bottom w:type="dxa" w:w="90"/>
              <w:right w:type="dxa" w:w="120"/>
            </w:tcMar>
            <w:vAlign w:val="center"/>
          </w:tcPr>
          <w:p>
            <w:r>
              <w:rPr>
                <w:sz w:val="19"/>
                <w:szCs w:val="19"/>
              </w:rPr>
              <w:t xml:space="preserve">Outsource fulfillment</w:t>
            </w:r>
          </w:p>
        </w:tc>
      </w:tr>
      <w:tr>
        <w:tc>
          <w:tcPr>
            <w:tcW w:type="dxa" w:w="2200"/>
            <w:shd w:fill="F2F2F2" w:val="clear"/>
            <w:tcMar>
              <w:top w:type="dxa" w:w="90"/>
              <w:left w:type="dxa" w:w="120"/>
              <w:bottom w:type="dxa" w:w="90"/>
              <w:right w:type="dxa" w:w="120"/>
            </w:tcMar>
            <w:vAlign w:val="center"/>
          </w:tcPr>
          <w:p>
            <w:r>
              <w:rPr>
                <w:sz w:val="19"/>
                <w:szCs w:val="19"/>
              </w:rPr>
              <w:t xml:space="preserve">Fraud</w:t>
            </w:r>
          </w:p>
        </w:tc>
        <w:tc>
          <w:tcPr>
            <w:tcW w:type="dxa" w:w="1500"/>
            <w:shd w:fill="F2F2F2" w:val="clear"/>
            <w:tcMar>
              <w:top w:type="dxa" w:w="90"/>
              <w:left w:type="dxa" w:w="120"/>
              <w:bottom w:type="dxa" w:w="90"/>
              <w:right w:type="dxa" w:w="120"/>
            </w:tcMar>
            <w:vAlign w:val="center"/>
          </w:tcPr>
          <w:p>
            <w:r>
              <w:rPr>
                <w:sz w:val="19"/>
                <w:szCs w:val="19"/>
              </w:rPr>
              <w:t xml:space="preserve">High</w:t>
            </w:r>
          </w:p>
        </w:tc>
        <w:tc>
          <w:tcPr>
            <w:tcW w:type="dxa" w:w="1500"/>
            <w:shd w:fill="F2F2F2" w:val="clear"/>
            <w:tcMar>
              <w:top w:type="dxa" w:w="90"/>
              <w:left w:type="dxa" w:w="120"/>
              <w:bottom w:type="dxa" w:w="90"/>
              <w:right w:type="dxa" w:w="120"/>
            </w:tcMar>
            <w:vAlign w:val="center"/>
          </w:tcPr>
          <w:p>
            <w:r>
              <w:rPr>
                <w:sz w:val="19"/>
                <w:szCs w:val="19"/>
              </w:rPr>
              <w:t xml:space="preserve">High</w:t>
            </w:r>
          </w:p>
        </w:tc>
        <w:tc>
          <w:tcPr>
            <w:tcW w:type="dxa" w:w="4150"/>
            <w:shd w:fill="F2F2F2" w:val="clear"/>
            <w:tcMar>
              <w:top w:type="dxa" w:w="90"/>
              <w:left w:type="dxa" w:w="120"/>
              <w:bottom w:type="dxa" w:w="90"/>
              <w:right w:type="dxa" w:w="120"/>
            </w:tcMar>
            <w:vAlign w:val="center"/>
          </w:tcPr>
          <w:p>
            <w:r>
              <w:rPr>
                <w:sz w:val="19"/>
                <w:szCs w:val="19"/>
              </w:rPr>
              <w:t xml:space="preserve">QR + AI detection</w:t>
            </w:r>
          </w:p>
        </w:tc>
      </w:tr>
      <w:tr>
        <w:tc>
          <w:tcPr>
            <w:tcW w:type="dxa" w:w="2200"/>
            <w:shd w:fill="FFFFFF" w:val="clear"/>
            <w:tcMar>
              <w:top w:type="dxa" w:w="90"/>
              <w:left w:type="dxa" w:w="120"/>
              <w:bottom w:type="dxa" w:w="90"/>
              <w:right w:type="dxa" w:w="120"/>
            </w:tcMar>
            <w:vAlign w:val="center"/>
          </w:tcPr>
          <w:p>
            <w:r>
              <w:rPr>
                <w:sz w:val="19"/>
                <w:szCs w:val="19"/>
              </w:rPr>
              <w:t xml:space="preserve">Fake surveys</w:t>
            </w:r>
          </w:p>
        </w:tc>
        <w:tc>
          <w:tcPr>
            <w:tcW w:type="dxa" w:w="1500"/>
            <w:shd w:fill="FFFFFF" w:val="clear"/>
            <w:tcMar>
              <w:top w:type="dxa" w:w="90"/>
              <w:left w:type="dxa" w:w="120"/>
              <w:bottom w:type="dxa" w:w="90"/>
              <w:right w:type="dxa" w:w="120"/>
            </w:tcMar>
            <w:vAlign w:val="center"/>
          </w:tcPr>
          <w:p>
            <w:r>
              <w:rPr>
                <w:sz w:val="19"/>
                <w:szCs w:val="19"/>
              </w:rPr>
              <w:t xml:space="preserve">High</w:t>
            </w:r>
          </w:p>
        </w:tc>
        <w:tc>
          <w:tcPr>
            <w:tcW w:type="dxa" w:w="1500"/>
            <w:shd w:fill="FFFFFF" w:val="clear"/>
            <w:tcMar>
              <w:top w:type="dxa" w:w="90"/>
              <w:left w:type="dxa" w:w="120"/>
              <w:bottom w:type="dxa" w:w="90"/>
              <w:right w:type="dxa" w:w="120"/>
            </w:tcMar>
            <w:vAlign w:val="center"/>
          </w:tcPr>
          <w:p>
            <w:r>
              <w:rPr>
                <w:sz w:val="19"/>
                <w:szCs w:val="19"/>
              </w:rPr>
              <w:t xml:space="preserve">High</w:t>
            </w:r>
          </w:p>
        </w:tc>
        <w:tc>
          <w:tcPr>
            <w:tcW w:type="dxa" w:w="4150"/>
            <w:shd w:fill="FFFFFF" w:val="clear"/>
            <w:tcMar>
              <w:top w:type="dxa" w:w="90"/>
              <w:left w:type="dxa" w:w="120"/>
              <w:bottom w:type="dxa" w:w="90"/>
              <w:right w:type="dxa" w:w="120"/>
            </w:tcMar>
            <w:vAlign w:val="center"/>
          </w:tcPr>
          <w:p>
            <w:r>
              <w:rPr>
                <w:sz w:val="19"/>
                <w:szCs w:val="19"/>
              </w:rPr>
              <w:t xml:space="preserve">Behavioral scoring</w:t>
            </w:r>
          </w:p>
        </w:tc>
      </w:tr>
      <w:tr>
        <w:tc>
          <w:tcPr>
            <w:tcW w:type="dxa" w:w="2200"/>
            <w:shd w:fill="F2F2F2" w:val="clear"/>
            <w:tcMar>
              <w:top w:type="dxa" w:w="90"/>
              <w:left w:type="dxa" w:w="120"/>
              <w:bottom w:type="dxa" w:w="90"/>
              <w:right w:type="dxa" w:w="120"/>
            </w:tcMar>
            <w:vAlign w:val="center"/>
          </w:tcPr>
          <w:p>
            <w:r>
              <w:rPr>
                <w:sz w:val="19"/>
                <w:szCs w:val="19"/>
              </w:rPr>
              <w:t xml:space="preserve">Weak funding</w:t>
            </w:r>
          </w:p>
        </w:tc>
        <w:tc>
          <w:tcPr>
            <w:tcW w:type="dxa" w:w="1500"/>
            <w:shd w:fill="F2F2F2" w:val="clear"/>
            <w:tcMar>
              <w:top w:type="dxa" w:w="90"/>
              <w:left w:type="dxa" w:w="120"/>
              <w:bottom w:type="dxa" w:w="90"/>
              <w:right w:type="dxa" w:w="120"/>
            </w:tcMar>
            <w:vAlign w:val="center"/>
          </w:tcPr>
          <w:p>
            <w:r>
              <w:rPr>
                <w:sz w:val="19"/>
                <w:szCs w:val="19"/>
              </w:rPr>
              <w:t xml:space="preserve">Medium</w:t>
            </w:r>
          </w:p>
        </w:tc>
        <w:tc>
          <w:tcPr>
            <w:tcW w:type="dxa" w:w="1500"/>
            <w:shd w:fill="F2F2F2" w:val="clear"/>
            <w:tcMar>
              <w:top w:type="dxa" w:w="90"/>
              <w:left w:type="dxa" w:w="120"/>
              <w:bottom w:type="dxa" w:w="90"/>
              <w:right w:type="dxa" w:w="120"/>
            </w:tcMar>
            <w:vAlign w:val="center"/>
          </w:tcPr>
          <w:p>
            <w:r>
              <w:rPr>
                <w:sz w:val="19"/>
                <w:szCs w:val="19"/>
              </w:rPr>
              <w:t xml:space="preserve">High</w:t>
            </w:r>
          </w:p>
        </w:tc>
        <w:tc>
          <w:tcPr>
            <w:tcW w:type="dxa" w:w="4150"/>
            <w:shd w:fill="F2F2F2" w:val="clear"/>
            <w:tcMar>
              <w:top w:type="dxa" w:w="90"/>
              <w:left w:type="dxa" w:w="120"/>
              <w:bottom w:type="dxa" w:w="90"/>
              <w:right w:type="dxa" w:w="120"/>
            </w:tcMar>
            <w:vAlign w:val="center"/>
          </w:tcPr>
          <w:p>
            <w:r>
              <w:rPr>
                <w:sz w:val="19"/>
                <w:szCs w:val="19"/>
              </w:rPr>
              <w:t xml:space="preserve">Lean MVP</w:t>
            </w:r>
          </w:p>
        </w:tc>
      </w:tr>
      <w:tr>
        <w:tc>
          <w:tcPr>
            <w:tcW w:type="dxa" w:w="2200"/>
            <w:shd w:fill="FFFFFF" w:val="clear"/>
            <w:tcMar>
              <w:top w:type="dxa" w:w="90"/>
              <w:left w:type="dxa" w:w="120"/>
              <w:bottom w:type="dxa" w:w="90"/>
              <w:right w:type="dxa" w:w="120"/>
            </w:tcMar>
            <w:vAlign w:val="center"/>
          </w:tcPr>
          <w:p>
            <w:r>
              <w:rPr>
                <w:sz w:val="19"/>
                <w:szCs w:val="19"/>
              </w:rPr>
              <w:t xml:space="preserve">Competition</w:t>
            </w:r>
          </w:p>
        </w:tc>
        <w:tc>
          <w:tcPr>
            <w:tcW w:type="dxa" w:w="1500"/>
            <w:shd w:fill="FFFFFF" w:val="clear"/>
            <w:tcMar>
              <w:top w:type="dxa" w:w="90"/>
              <w:left w:type="dxa" w:w="120"/>
              <w:bottom w:type="dxa" w:w="90"/>
              <w:right w:type="dxa" w:w="120"/>
            </w:tcMar>
            <w:vAlign w:val="center"/>
          </w:tcPr>
          <w:p>
            <w:r>
              <w:rPr>
                <w:sz w:val="19"/>
                <w:szCs w:val="19"/>
              </w:rPr>
              <w:t xml:space="preserve">Medium</w:t>
            </w:r>
          </w:p>
        </w:tc>
        <w:tc>
          <w:tcPr>
            <w:tcW w:type="dxa" w:w="1500"/>
            <w:shd w:fill="FFFFFF" w:val="clear"/>
            <w:tcMar>
              <w:top w:type="dxa" w:w="90"/>
              <w:left w:type="dxa" w:w="120"/>
              <w:bottom w:type="dxa" w:w="90"/>
              <w:right w:type="dxa" w:w="120"/>
            </w:tcMar>
            <w:vAlign w:val="center"/>
          </w:tcPr>
          <w:p>
            <w:r>
              <w:rPr>
                <w:sz w:val="19"/>
                <w:szCs w:val="19"/>
              </w:rPr>
              <w:t xml:space="preserve">High</w:t>
            </w:r>
          </w:p>
        </w:tc>
        <w:tc>
          <w:tcPr>
            <w:tcW w:type="dxa" w:w="4150"/>
            <w:shd w:fill="FFFFFF" w:val="clear"/>
            <w:tcMar>
              <w:top w:type="dxa" w:w="90"/>
              <w:left w:type="dxa" w:w="120"/>
              <w:bottom w:type="dxa" w:w="90"/>
              <w:right w:type="dxa" w:w="120"/>
            </w:tcMar>
            <w:vAlign w:val="center"/>
          </w:tcPr>
          <w:p>
            <w:r>
              <w:rPr>
                <w:sz w:val="19"/>
                <w:szCs w:val="19"/>
              </w:rPr>
              <w:t xml:space="preserve">Build proprietary data moat</w:t>
            </w:r>
          </w:p>
        </w:tc>
      </w:tr>
      <w:tr>
        <w:tc>
          <w:tcPr>
            <w:tcW w:type="dxa" w:w="2200"/>
            <w:shd w:fill="F2F2F2" w:val="clear"/>
            <w:tcMar>
              <w:top w:type="dxa" w:w="90"/>
              <w:left w:type="dxa" w:w="120"/>
              <w:bottom w:type="dxa" w:w="90"/>
              <w:right w:type="dxa" w:w="120"/>
            </w:tcMar>
            <w:vAlign w:val="center"/>
          </w:tcPr>
          <w:p>
            <w:r>
              <w:rPr>
                <w:sz w:val="19"/>
                <w:szCs w:val="19"/>
              </w:rPr>
              <w:t xml:space="preserve">Data privacy</w:t>
            </w:r>
          </w:p>
        </w:tc>
        <w:tc>
          <w:tcPr>
            <w:tcW w:type="dxa" w:w="1500"/>
            <w:shd w:fill="F2F2F2" w:val="clear"/>
            <w:tcMar>
              <w:top w:type="dxa" w:w="90"/>
              <w:left w:type="dxa" w:w="120"/>
              <w:bottom w:type="dxa" w:w="90"/>
              <w:right w:type="dxa" w:w="120"/>
            </w:tcMar>
            <w:vAlign w:val="center"/>
          </w:tcPr>
          <w:p>
            <w:r>
              <w:rPr>
                <w:sz w:val="19"/>
                <w:szCs w:val="19"/>
              </w:rPr>
              <w:t xml:space="preserve">Medium</w:t>
            </w:r>
          </w:p>
        </w:tc>
        <w:tc>
          <w:tcPr>
            <w:tcW w:type="dxa" w:w="1500"/>
            <w:shd w:fill="F2F2F2" w:val="clear"/>
            <w:tcMar>
              <w:top w:type="dxa" w:w="90"/>
              <w:left w:type="dxa" w:w="120"/>
              <w:bottom w:type="dxa" w:w="90"/>
              <w:right w:type="dxa" w:w="120"/>
            </w:tcMar>
            <w:vAlign w:val="center"/>
          </w:tcPr>
          <w:p>
            <w:r>
              <w:rPr>
                <w:sz w:val="19"/>
                <w:szCs w:val="19"/>
              </w:rPr>
              <w:t xml:space="preserve">Critical</w:t>
            </w:r>
          </w:p>
        </w:tc>
        <w:tc>
          <w:tcPr>
            <w:tcW w:type="dxa" w:w="4150"/>
            <w:shd w:fill="F2F2F2" w:val="clear"/>
            <w:tcMar>
              <w:top w:type="dxa" w:w="90"/>
              <w:left w:type="dxa" w:w="120"/>
              <w:bottom w:type="dxa" w:w="90"/>
              <w:right w:type="dxa" w:w="120"/>
            </w:tcMar>
            <w:vAlign w:val="center"/>
          </w:tcPr>
          <w:p>
            <w:r>
              <w:rPr>
                <w:sz w:val="19"/>
                <w:szCs w:val="19"/>
              </w:rPr>
              <w:t xml:space="preserve">Privacy-by-design</w:t>
            </w:r>
          </w:p>
        </w:tc>
      </w:tr>
      <w:tr>
        <w:tc>
          <w:tcPr>
            <w:tcW w:type="dxa" w:w="2200"/>
            <w:shd w:fill="FFFFFF" w:val="clear"/>
            <w:tcMar>
              <w:top w:type="dxa" w:w="90"/>
              <w:left w:type="dxa" w:w="120"/>
              <w:bottom w:type="dxa" w:w="90"/>
              <w:right w:type="dxa" w:w="120"/>
            </w:tcMar>
            <w:vAlign w:val="center"/>
          </w:tcPr>
          <w:p>
            <w:r>
              <w:rPr>
                <w:sz w:val="19"/>
                <w:szCs w:val="19"/>
              </w:rPr>
              <w:t xml:space="preserve">Economic downturn</w:t>
            </w:r>
          </w:p>
        </w:tc>
        <w:tc>
          <w:tcPr>
            <w:tcW w:type="dxa" w:w="1500"/>
            <w:shd w:fill="FFFFFF" w:val="clear"/>
            <w:tcMar>
              <w:top w:type="dxa" w:w="90"/>
              <w:left w:type="dxa" w:w="120"/>
              <w:bottom w:type="dxa" w:w="90"/>
              <w:right w:type="dxa" w:w="120"/>
            </w:tcMar>
            <w:vAlign w:val="center"/>
          </w:tcPr>
          <w:p>
            <w:r>
              <w:rPr>
                <w:sz w:val="19"/>
                <w:szCs w:val="19"/>
              </w:rPr>
              <w:t xml:space="preserve">Medium</w:t>
            </w:r>
          </w:p>
        </w:tc>
        <w:tc>
          <w:tcPr>
            <w:tcW w:type="dxa" w:w="1500"/>
            <w:shd w:fill="FFFFFF" w:val="clear"/>
            <w:tcMar>
              <w:top w:type="dxa" w:w="90"/>
              <w:left w:type="dxa" w:w="120"/>
              <w:bottom w:type="dxa" w:w="90"/>
              <w:right w:type="dxa" w:w="120"/>
            </w:tcMar>
            <w:vAlign w:val="center"/>
          </w:tcPr>
          <w:p>
            <w:r>
              <w:rPr>
                <w:sz w:val="19"/>
                <w:szCs w:val="19"/>
              </w:rPr>
              <w:t xml:space="preserve">Medium</w:t>
            </w:r>
          </w:p>
        </w:tc>
        <w:tc>
          <w:tcPr>
            <w:tcW w:type="dxa" w:w="4150"/>
            <w:shd w:fill="FFFFFF" w:val="clear"/>
            <w:tcMar>
              <w:top w:type="dxa" w:w="90"/>
              <w:left w:type="dxa" w:w="120"/>
              <w:bottom w:type="dxa" w:w="90"/>
              <w:right w:type="dxa" w:w="120"/>
            </w:tcMar>
            <w:vAlign w:val="center"/>
          </w:tcPr>
          <w:p>
            <w:r>
              <w:rPr>
                <w:sz w:val="19"/>
                <w:szCs w:val="19"/>
              </w:rPr>
              <w:t xml:space="preserve">Focus on measurable ROI</w:t>
            </w:r>
          </w:p>
        </w:tc>
      </w:tr>
      <w:tr>
        <w:tc>
          <w:tcPr>
            <w:tcW w:type="dxa" w:w="2200"/>
            <w:shd w:fill="F2F2F2" w:val="clear"/>
            <w:tcMar>
              <w:top w:type="dxa" w:w="90"/>
              <w:left w:type="dxa" w:w="120"/>
              <w:bottom w:type="dxa" w:w="90"/>
              <w:right w:type="dxa" w:w="120"/>
            </w:tcMar>
            <w:vAlign w:val="center"/>
          </w:tcPr>
          <w:p>
            <w:r>
              <w:rPr>
                <w:sz w:val="19"/>
                <w:szCs w:val="19"/>
              </w:rPr>
              <w:t xml:space="preserve">Founder execution</w:t>
            </w:r>
          </w:p>
        </w:tc>
        <w:tc>
          <w:tcPr>
            <w:tcW w:type="dxa" w:w="1500"/>
            <w:shd w:fill="F2F2F2" w:val="clear"/>
            <w:tcMar>
              <w:top w:type="dxa" w:w="90"/>
              <w:left w:type="dxa" w:w="120"/>
              <w:bottom w:type="dxa" w:w="90"/>
              <w:right w:type="dxa" w:w="120"/>
            </w:tcMar>
            <w:vAlign w:val="center"/>
          </w:tcPr>
          <w:p>
            <w:r>
              <w:rPr>
                <w:sz w:val="19"/>
                <w:szCs w:val="19"/>
              </w:rPr>
              <w:t xml:space="preserve">High</w:t>
            </w:r>
          </w:p>
        </w:tc>
        <w:tc>
          <w:tcPr>
            <w:tcW w:type="dxa" w:w="1500"/>
            <w:shd w:fill="F2F2F2" w:val="clear"/>
            <w:tcMar>
              <w:top w:type="dxa" w:w="90"/>
              <w:left w:type="dxa" w:w="120"/>
              <w:bottom w:type="dxa" w:w="90"/>
              <w:right w:type="dxa" w:w="120"/>
            </w:tcMar>
            <w:vAlign w:val="center"/>
          </w:tcPr>
          <w:p>
            <w:r>
              <w:rPr>
                <w:sz w:val="19"/>
                <w:szCs w:val="19"/>
              </w:rPr>
              <w:t xml:space="preserve">Critical</w:t>
            </w:r>
          </w:p>
        </w:tc>
        <w:tc>
          <w:tcPr>
            <w:tcW w:type="dxa" w:w="4150"/>
            <w:shd w:fill="F2F2F2" w:val="clear"/>
            <w:tcMar>
              <w:top w:type="dxa" w:w="90"/>
              <w:left w:type="dxa" w:w="120"/>
              <w:bottom w:type="dxa" w:w="90"/>
              <w:right w:type="dxa" w:w="120"/>
            </w:tcMar>
            <w:vAlign w:val="center"/>
          </w:tcPr>
          <w:p>
            <w:r>
              <w:rPr>
                <w:sz w:val="19"/>
                <w:szCs w:val="19"/>
              </w:rPr>
              <w:t xml:space="preserve">Hire experienced operators</w:t>
            </w:r>
          </w:p>
        </w:tc>
      </w:tr>
    </w:tbl>
    <w:p>
      <w:pPr>
        <w:pStyle w:val="Heading3"/>
        <w:spacing w:after="100" w:before="200"/>
      </w:pPr>
      <w:r>
        <w:rPr>
          <w:b/>
          <w:bCs/>
          <w:color w:val="374151"/>
          <w:sz w:val="21"/>
          <w:szCs w:val="21"/>
        </w:rPr>
        <w:t xml:space="preserve">Biggest Hidden Risk</w:t>
      </w:r>
    </w:p>
    <w:p>
      <w:pPr>
        <w:spacing w:after="140" w:line="276"/>
      </w:pPr>
      <w:r>
        <w:rPr>
          <w:sz w:val="21"/>
          <w:szCs w:val="21"/>
        </w:rPr>
        <w:t xml:space="preserve">Everyone thinks they're building an App. Actually they're building a Logistics Company + Research Company + AI Company + Media Company + B2B SaaS + Consumer Platform — at the same time. Execution complexity is much higher than it first appears.</w:t>
      </w:r>
    </w:p>
    <w:p>
      <w:r>
        <w:br w:type="page"/>
      </w:r>
    </w:p>
    <w:p>
      <w:pPr>
        <w:pStyle w:val="Heading2"/>
        <w:spacing w:after="140" w:before="280"/>
      </w:pPr>
      <w:r>
        <w:rPr>
          <w:b/>
          <w:bCs/>
          <w:color w:val="1F2A44"/>
          <w:sz w:val="24"/>
          <w:szCs w:val="24"/>
        </w:rPr>
        <w:t xml:space="preserve">PHASE 12 — SWOT</w:t>
      </w:r>
    </w:p>
    <w:p>
      <w:pPr>
        <w:pStyle w:val="Heading3"/>
        <w:spacing w:after="100" w:before="200"/>
      </w:pPr>
      <w:r>
        <w:rPr>
          <w:b/>
          <w:bCs/>
          <w:color w:val="374151"/>
          <w:sz w:val="21"/>
          <w:szCs w:val="21"/>
        </w:rPr>
        <w:t xml:space="preserve">Strengths</w:t>
      </w:r>
    </w:p>
    <w:p>
      <w:pPr>
        <w:pStyle w:val="ListParagraph"/>
        <w:numPr>
          <w:ilvl w:val="0"/>
          <w:numId w:val="1"/>
        </w:numPr>
        <w:spacing w:after="70"/>
      </w:pPr>
      <w:r>
        <w:rPr>
          <w:sz w:val="21"/>
          <w:szCs w:val="21"/>
        </w:rPr>
        <w:t xml:space="preserve">Very scalable</w:t>
      </w:r>
    </w:p>
    <w:p>
      <w:pPr>
        <w:pStyle w:val="ListParagraph"/>
        <w:numPr>
          <w:ilvl w:val="0"/>
          <w:numId w:val="1"/>
        </w:numPr>
        <w:spacing w:after="70"/>
      </w:pPr>
      <w:r>
        <w:rPr>
          <w:sz w:val="21"/>
          <w:szCs w:val="21"/>
        </w:rPr>
        <w:t xml:space="preserve">Recurring B2B revenue</w:t>
      </w:r>
    </w:p>
    <w:p>
      <w:pPr>
        <w:pStyle w:val="ListParagraph"/>
        <w:numPr>
          <w:ilvl w:val="0"/>
          <w:numId w:val="1"/>
        </w:numPr>
        <w:spacing w:after="70"/>
      </w:pPr>
      <w:r>
        <w:rPr>
          <w:sz w:val="21"/>
          <w:szCs w:val="21"/>
        </w:rPr>
        <w:t xml:space="preserve">High switching cost (if data accumulates)</w:t>
      </w:r>
    </w:p>
    <w:p>
      <w:pPr>
        <w:pStyle w:val="ListParagraph"/>
        <w:numPr>
          <w:ilvl w:val="0"/>
          <w:numId w:val="1"/>
        </w:numPr>
        <w:spacing w:after="70"/>
      </w:pPr>
      <w:r>
        <w:rPr>
          <w:sz w:val="21"/>
          <w:szCs w:val="21"/>
        </w:rPr>
        <w:t xml:space="preserve">Network effects</w:t>
      </w:r>
    </w:p>
    <w:p>
      <w:pPr>
        <w:pStyle w:val="ListParagraph"/>
        <w:numPr>
          <w:ilvl w:val="0"/>
          <w:numId w:val="1"/>
        </w:numPr>
        <w:spacing w:after="70"/>
      </w:pPr>
      <w:r>
        <w:rPr>
          <w:sz w:val="21"/>
          <w:szCs w:val="21"/>
        </w:rPr>
        <w:t xml:space="preserve">Large addressable market</w:t>
      </w:r>
    </w:p>
    <w:p>
      <w:pPr>
        <w:pStyle w:val="ListParagraph"/>
        <w:numPr>
          <w:ilvl w:val="0"/>
          <w:numId w:val="1"/>
        </w:numPr>
        <w:spacing w:after="70"/>
      </w:pPr>
      <w:r>
        <w:rPr>
          <w:sz w:val="21"/>
          <w:szCs w:val="21"/>
        </w:rPr>
        <w:t xml:space="preserve">Strong AI opportunity</w:t>
      </w:r>
    </w:p>
    <w:p>
      <w:pPr>
        <w:pStyle w:val="Heading3"/>
        <w:spacing w:after="100" w:before="200"/>
      </w:pPr>
      <w:r>
        <w:rPr>
          <w:b/>
          <w:bCs/>
          <w:color w:val="374151"/>
          <w:sz w:val="21"/>
          <w:szCs w:val="21"/>
        </w:rPr>
        <w:t xml:space="preserve">Weaknesses</w:t>
      </w:r>
    </w:p>
    <w:p>
      <w:pPr>
        <w:pStyle w:val="ListParagraph"/>
        <w:numPr>
          <w:ilvl w:val="0"/>
          <w:numId w:val="1"/>
        </w:numPr>
        <w:spacing w:after="70"/>
      </w:pPr>
      <w:r>
        <w:rPr>
          <w:sz w:val="21"/>
          <w:szCs w:val="21"/>
        </w:rPr>
        <w:t xml:space="preserve">Expensive operations</w:t>
      </w:r>
    </w:p>
    <w:p>
      <w:pPr>
        <w:pStyle w:val="ListParagraph"/>
        <w:numPr>
          <w:ilvl w:val="0"/>
          <w:numId w:val="1"/>
        </w:numPr>
        <w:spacing w:after="70"/>
      </w:pPr>
      <w:r>
        <w:rPr>
          <w:sz w:val="21"/>
          <w:szCs w:val="21"/>
        </w:rPr>
        <w:t xml:space="preserve">Requires density</w:t>
      </w:r>
    </w:p>
    <w:p>
      <w:pPr>
        <w:pStyle w:val="ListParagraph"/>
        <w:numPr>
          <w:ilvl w:val="0"/>
          <w:numId w:val="1"/>
        </w:numPr>
        <w:spacing w:after="70"/>
      </w:pPr>
      <w:r>
        <w:rPr>
          <w:sz w:val="21"/>
          <w:szCs w:val="21"/>
        </w:rPr>
        <w:t xml:space="preserve">Long enterprise sales cycles</w:t>
      </w:r>
    </w:p>
    <w:p>
      <w:pPr>
        <w:pStyle w:val="ListParagraph"/>
        <w:numPr>
          <w:ilvl w:val="0"/>
          <w:numId w:val="1"/>
        </w:numPr>
        <w:spacing w:after="70"/>
      </w:pPr>
      <w:r>
        <w:rPr>
          <w:sz w:val="21"/>
          <w:szCs w:val="21"/>
        </w:rPr>
        <w:t xml:space="preserve">Needs trust</w:t>
      </w:r>
    </w:p>
    <w:p>
      <w:pPr>
        <w:pStyle w:val="ListParagraph"/>
        <w:numPr>
          <w:ilvl w:val="0"/>
          <w:numId w:val="1"/>
        </w:numPr>
        <w:spacing w:after="70"/>
      </w:pPr>
      <w:r>
        <w:rPr>
          <w:sz w:val="21"/>
          <w:szCs w:val="21"/>
        </w:rPr>
        <w:t xml:space="preserve">Needs funding</w:t>
      </w:r>
    </w:p>
    <w:p>
      <w:pPr>
        <w:pStyle w:val="Heading3"/>
        <w:spacing w:after="100" w:before="200"/>
      </w:pPr>
      <w:r>
        <w:rPr>
          <w:b/>
          <w:bCs/>
          <w:color w:val="374151"/>
          <w:sz w:val="21"/>
          <w:szCs w:val="21"/>
        </w:rPr>
        <w:t xml:space="preserve">Opportunities</w:t>
      </w:r>
    </w:p>
    <w:p>
      <w:pPr>
        <w:pStyle w:val="ListParagraph"/>
        <w:numPr>
          <w:ilvl w:val="0"/>
          <w:numId w:val="1"/>
        </w:numPr>
        <w:spacing w:after="70"/>
      </w:pPr>
      <w:r>
        <w:rPr>
          <w:sz w:val="21"/>
          <w:szCs w:val="21"/>
        </w:rPr>
        <w:t xml:space="preserve">Digital transformation</w:t>
      </w:r>
    </w:p>
    <w:p>
      <w:pPr>
        <w:pStyle w:val="ListParagraph"/>
        <w:numPr>
          <w:ilvl w:val="0"/>
          <w:numId w:val="1"/>
        </w:numPr>
        <w:spacing w:after="70"/>
      </w:pPr>
      <w:r>
        <w:rPr>
          <w:sz w:val="21"/>
          <w:szCs w:val="21"/>
        </w:rPr>
        <w:t xml:space="preserve">AI adoption</w:t>
      </w:r>
    </w:p>
    <w:p>
      <w:pPr>
        <w:pStyle w:val="ListParagraph"/>
        <w:numPr>
          <w:ilvl w:val="0"/>
          <w:numId w:val="1"/>
        </w:numPr>
        <w:spacing w:after="70"/>
      </w:pPr>
      <w:r>
        <w:rPr>
          <w:sz w:val="21"/>
          <w:szCs w:val="21"/>
        </w:rPr>
        <w:t xml:space="preserve">Retail media growth</w:t>
      </w:r>
    </w:p>
    <w:p>
      <w:pPr>
        <w:pStyle w:val="ListParagraph"/>
        <w:numPr>
          <w:ilvl w:val="0"/>
          <w:numId w:val="1"/>
        </w:numPr>
        <w:spacing w:after="70"/>
      </w:pPr>
      <w:r>
        <w:rPr>
          <w:sz w:val="21"/>
          <w:szCs w:val="21"/>
        </w:rPr>
        <w:t xml:space="preserve">FMCG innovation</w:t>
      </w:r>
    </w:p>
    <w:p>
      <w:pPr>
        <w:pStyle w:val="ListParagraph"/>
        <w:numPr>
          <w:ilvl w:val="0"/>
          <w:numId w:val="1"/>
        </w:numPr>
        <w:spacing w:after="70"/>
      </w:pPr>
      <w:r>
        <w:rPr>
          <w:sz w:val="21"/>
          <w:szCs w:val="21"/>
        </w:rPr>
        <w:t xml:space="preserve">First mover advantage in Egypt</w:t>
      </w:r>
    </w:p>
    <w:p>
      <w:pPr>
        <w:pStyle w:val="ListParagraph"/>
        <w:numPr>
          <w:ilvl w:val="0"/>
          <w:numId w:val="1"/>
        </w:numPr>
        <w:spacing w:after="70"/>
      </w:pPr>
      <w:r>
        <w:rPr>
          <w:sz w:val="21"/>
          <w:szCs w:val="21"/>
        </w:rPr>
        <w:t xml:space="preserve">Regional expansion</w:t>
      </w:r>
    </w:p>
    <w:p>
      <w:pPr>
        <w:pStyle w:val="ListParagraph"/>
        <w:numPr>
          <w:ilvl w:val="0"/>
          <w:numId w:val="1"/>
        </w:numPr>
        <w:spacing w:after="70"/>
      </w:pPr>
      <w:r>
        <w:rPr>
          <w:sz w:val="21"/>
          <w:szCs w:val="21"/>
        </w:rPr>
        <w:t xml:space="preserve">White-label offerings</w:t>
      </w:r>
    </w:p>
    <w:p>
      <w:pPr>
        <w:pStyle w:val="Heading3"/>
        <w:spacing w:after="100" w:before="200"/>
      </w:pPr>
      <w:r>
        <w:rPr>
          <w:b/>
          <w:bCs/>
          <w:color w:val="374151"/>
          <w:sz w:val="21"/>
          <w:szCs w:val="21"/>
        </w:rPr>
        <w:t xml:space="preserve">Threats</w:t>
      </w:r>
    </w:p>
    <w:p>
      <w:pPr>
        <w:pStyle w:val="ListParagraph"/>
        <w:numPr>
          <w:ilvl w:val="0"/>
          <w:numId w:val="1"/>
        </w:numPr>
        <w:spacing w:after="70"/>
      </w:pPr>
      <w:r>
        <w:rPr>
          <w:sz w:val="21"/>
          <w:szCs w:val="21"/>
        </w:rPr>
        <w:t xml:space="preserve">NielsenIQ</w:t>
      </w:r>
    </w:p>
    <w:p>
      <w:pPr>
        <w:pStyle w:val="ListParagraph"/>
        <w:numPr>
          <w:ilvl w:val="0"/>
          <w:numId w:val="1"/>
        </w:numPr>
        <w:spacing w:after="70"/>
      </w:pPr>
      <w:r>
        <w:rPr>
          <w:sz w:val="21"/>
          <w:szCs w:val="21"/>
        </w:rPr>
        <w:t xml:space="preserve">Kantar</w:t>
      </w:r>
    </w:p>
    <w:p>
      <w:pPr>
        <w:pStyle w:val="ListParagraph"/>
        <w:numPr>
          <w:ilvl w:val="0"/>
          <w:numId w:val="1"/>
        </w:numPr>
        <w:spacing w:after="70"/>
      </w:pPr>
      <w:r>
        <w:rPr>
          <w:sz w:val="21"/>
          <w:szCs w:val="21"/>
        </w:rPr>
        <w:t xml:space="preserve">Large activation agencies</w:t>
      </w:r>
    </w:p>
    <w:p>
      <w:pPr>
        <w:pStyle w:val="ListParagraph"/>
        <w:numPr>
          <w:ilvl w:val="0"/>
          <w:numId w:val="1"/>
        </w:numPr>
        <w:spacing w:after="70"/>
      </w:pPr>
      <w:r>
        <w:rPr>
          <w:sz w:val="21"/>
          <w:szCs w:val="21"/>
        </w:rPr>
        <w:t xml:space="preserve">Meta</w:t>
      </w:r>
    </w:p>
    <w:p>
      <w:pPr>
        <w:pStyle w:val="ListParagraph"/>
        <w:numPr>
          <w:ilvl w:val="0"/>
          <w:numId w:val="1"/>
        </w:numPr>
        <w:spacing w:after="70"/>
      </w:pPr>
      <w:r>
        <w:rPr>
          <w:sz w:val="21"/>
          <w:szCs w:val="21"/>
        </w:rPr>
        <w:t xml:space="preserve">Google Consumer Surveys</w:t>
      </w:r>
    </w:p>
    <w:p>
      <w:pPr>
        <w:pStyle w:val="ListParagraph"/>
        <w:numPr>
          <w:ilvl w:val="0"/>
          <w:numId w:val="1"/>
        </w:numPr>
        <w:spacing w:after="70"/>
      </w:pPr>
      <w:r>
        <w:rPr>
          <w:sz w:val="21"/>
          <w:szCs w:val="21"/>
        </w:rPr>
        <w:t xml:space="preserve">Retail chains launching similar platforms</w:t>
      </w:r>
    </w:p>
    <w:p>
      <w:pPr>
        <w:pStyle w:val="ListParagraph"/>
        <w:numPr>
          <w:ilvl w:val="0"/>
          <w:numId w:val="1"/>
        </w:numPr>
        <w:spacing w:after="70"/>
      </w:pPr>
      <w:r>
        <w:rPr>
          <w:sz w:val="21"/>
          <w:szCs w:val="21"/>
        </w:rPr>
        <w:t xml:space="preserve">Brands building internal consumer panels</w:t>
      </w:r>
    </w:p>
    <w:p>
      <w:r>
        <w:br w:type="page"/>
      </w:r>
    </w:p>
    <w:p>
      <w:pPr>
        <w:pStyle w:val="Heading2"/>
        <w:spacing w:after="140" w:before="280"/>
      </w:pPr>
      <w:r>
        <w:rPr>
          <w:b/>
          <w:bCs/>
          <w:color w:val="1F2A44"/>
          <w:sz w:val="24"/>
          <w:szCs w:val="24"/>
        </w:rPr>
        <w:t xml:space="preserve">PHASE 13 — Porter's Five Forces</w:t>
      </w:r>
    </w:p>
    <w:p>
      <w:pPr>
        <w:pStyle w:val="Heading3"/>
        <w:spacing w:after="100" w:before="200"/>
      </w:pPr>
      <w:r>
        <w:rPr>
          <w:b/>
          <w:bCs/>
          <w:color w:val="374151"/>
          <w:sz w:val="21"/>
          <w:szCs w:val="21"/>
        </w:rPr>
        <w:t xml:space="preserve">1. Competitive Rivalry — Medium</w:t>
      </w:r>
    </w:p>
    <w:p>
      <w:pPr>
        <w:spacing w:after="140" w:line="276"/>
      </w:pPr>
      <w:r>
        <w:rPr>
          <w:sz w:val="21"/>
          <w:szCs w:val="21"/>
        </w:rPr>
        <w:t xml:space="preserve">Today: Low. Tomorrow: High — because success attracts competitors.</w:t>
      </w:r>
    </w:p>
    <w:p>
      <w:pPr>
        <w:pStyle w:val="Heading3"/>
        <w:spacing w:after="100" w:before="200"/>
      </w:pPr>
      <w:r>
        <w:rPr>
          <w:b/>
          <w:bCs/>
          <w:color w:val="374151"/>
          <w:sz w:val="21"/>
          <w:szCs w:val="21"/>
        </w:rPr>
        <w:t xml:space="preserve">2. Threat of New Entrants — Medium</w:t>
      </w:r>
    </w:p>
    <w:p>
      <w:pPr>
        <w:spacing w:after="140" w:line="276"/>
      </w:pPr>
      <w:r>
        <w:rPr>
          <w:sz w:val="21"/>
          <w:szCs w:val="21"/>
        </w:rPr>
        <w:t xml:space="preserve">Technology is easy. Network is hard. Consumer data is harder.</w:t>
      </w:r>
    </w:p>
    <w:p>
      <w:pPr>
        <w:pStyle w:val="Heading3"/>
        <w:spacing w:after="100" w:before="200"/>
      </w:pPr>
      <w:r>
        <w:rPr>
          <w:b/>
          <w:bCs/>
          <w:color w:val="374151"/>
          <w:sz w:val="21"/>
          <w:szCs w:val="21"/>
        </w:rPr>
        <w:t xml:space="preserve">3. Supplier Power — Low</w:t>
      </w:r>
    </w:p>
    <w:p>
      <w:pPr>
        <w:spacing w:after="140" w:line="276"/>
      </w:pPr>
      <w:r>
        <w:rPr>
          <w:sz w:val="21"/>
          <w:szCs w:val="21"/>
        </w:rPr>
        <w:t xml:space="preserve">Technology suppliers: many. Logistics suppliers: many.</w:t>
      </w:r>
    </w:p>
    <w:p>
      <w:pPr>
        <w:pStyle w:val="Heading3"/>
        <w:spacing w:after="100" w:before="200"/>
      </w:pPr>
      <w:r>
        <w:rPr>
          <w:b/>
          <w:bCs/>
          <w:color w:val="374151"/>
          <w:sz w:val="21"/>
          <w:szCs w:val="21"/>
        </w:rPr>
        <w:t xml:space="preserve">4. Buyer Power — High</w:t>
      </w:r>
    </w:p>
    <w:p>
      <w:pPr>
        <w:spacing w:after="140" w:line="276"/>
      </w:pPr>
      <w:r>
        <w:rPr>
          <w:sz w:val="21"/>
          <w:szCs w:val="21"/>
        </w:rPr>
        <w:t xml:space="preserve">Large FMCG companies negotiate aggressively. Need differentiation through insights, not distribution.</w:t>
      </w:r>
    </w:p>
    <w:p>
      <w:pPr>
        <w:pStyle w:val="Heading3"/>
        <w:spacing w:after="100" w:before="200"/>
      </w:pPr>
      <w:r>
        <w:rPr>
          <w:b/>
          <w:bCs/>
          <w:color w:val="374151"/>
          <w:sz w:val="21"/>
          <w:szCs w:val="21"/>
        </w:rPr>
        <w:t xml:space="preserve">5. Threat of Substitutes — High</w:t>
      </w:r>
    </w:p>
    <w:p>
      <w:pPr>
        <w:spacing w:after="140" w:line="276"/>
      </w:pPr>
      <w:r>
        <w:rPr>
          <w:sz w:val="21"/>
          <w:szCs w:val="21"/>
        </w:rPr>
        <w:t xml:space="preserve">Existing alternatives: traditional research, retail sampling, digital surveys, influencer campaigns, loyalty programs, mystery shopping. Your solution must outperform them on speed, data quality, and measurable ROI.</w:t>
      </w:r>
    </w:p>
    <w:p>
      <w:r>
        <w:br w:type="page"/>
      </w:r>
    </w:p>
    <w:p>
      <w:pPr>
        <w:pStyle w:val="Heading2"/>
        <w:spacing w:after="140" w:before="280"/>
      </w:pPr>
      <w:r>
        <w:rPr>
          <w:b/>
          <w:bCs/>
          <w:color w:val="1F2A44"/>
          <w:sz w:val="24"/>
          <w:szCs w:val="24"/>
        </w:rPr>
        <w:t xml:space="preserve">PHASE 14 — PESTEL (Egypt)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3900"/>
        <w:gridCol w:w="3850"/>
      </w:tblGrid>
      <w:tr>
        <w:trPr>
          <w:tblHeader/>
        </w:trPr>
        <w:tc>
          <w:tcPr>
            <w:tcW w:type="dxa" w:w="1600"/>
            <w:shd w:fill="1F2A44" w:val="clear"/>
            <w:tcMar>
              <w:top w:type="dxa" w:w="100"/>
              <w:left w:type="dxa" w:w="120"/>
              <w:bottom w:type="dxa" w:w="100"/>
              <w:right w:type="dxa" w:w="120"/>
            </w:tcMar>
            <w:vAlign w:val="center"/>
          </w:tcPr>
          <w:p>
            <w:r>
              <w:rPr>
                <w:b/>
                <w:bCs/>
                <w:color w:val="FFFFFF"/>
                <w:sz w:val="19"/>
                <w:szCs w:val="19"/>
              </w:rPr>
              <w:t xml:space="preserve">Dimension</w:t>
            </w:r>
          </w:p>
        </w:tc>
        <w:tc>
          <w:tcPr>
            <w:tcW w:type="dxa" w:w="3900"/>
            <w:shd w:fill="1F2A44" w:val="clear"/>
            <w:tcMar>
              <w:top w:type="dxa" w:w="100"/>
              <w:left w:type="dxa" w:w="120"/>
              <w:bottom w:type="dxa" w:w="100"/>
              <w:right w:type="dxa" w:w="120"/>
            </w:tcMar>
            <w:vAlign w:val="center"/>
          </w:tcPr>
          <w:p>
            <w:r>
              <w:rPr>
                <w:b/>
                <w:bCs/>
                <w:color w:val="FFFFFF"/>
                <w:sz w:val="19"/>
                <w:szCs w:val="19"/>
              </w:rPr>
              <w:t xml:space="preserve">Positive</w:t>
            </w:r>
          </w:p>
        </w:tc>
        <w:tc>
          <w:tcPr>
            <w:tcW w:type="dxa" w:w="3850"/>
            <w:shd w:fill="1F2A44" w:val="clear"/>
            <w:tcMar>
              <w:top w:type="dxa" w:w="100"/>
              <w:left w:type="dxa" w:w="120"/>
              <w:bottom w:type="dxa" w:w="100"/>
              <w:right w:type="dxa" w:w="120"/>
            </w:tcMar>
            <w:vAlign w:val="center"/>
          </w:tcPr>
          <w:p>
            <w:r>
              <w:rPr>
                <w:b/>
                <w:bCs/>
                <w:color w:val="FFFFFF"/>
                <w:sz w:val="19"/>
                <w:szCs w:val="19"/>
              </w:rPr>
              <w:t xml:space="preserve">Risks</w:t>
            </w:r>
          </w:p>
        </w:tc>
      </w:tr>
      <w:tr>
        <w:tc>
          <w:tcPr>
            <w:tcW w:type="dxa" w:w="1600"/>
            <w:shd w:fill="FFFFFF" w:val="clear"/>
            <w:tcMar>
              <w:top w:type="dxa" w:w="90"/>
              <w:left w:type="dxa" w:w="120"/>
              <w:bottom w:type="dxa" w:w="90"/>
              <w:right w:type="dxa" w:w="120"/>
            </w:tcMar>
            <w:vAlign w:val="center"/>
          </w:tcPr>
          <w:p>
            <w:r>
              <w:rPr>
                <w:sz w:val="19"/>
                <w:szCs w:val="19"/>
              </w:rPr>
              <w:t xml:space="preserve">Political</w:t>
            </w:r>
          </w:p>
        </w:tc>
        <w:tc>
          <w:tcPr>
            <w:tcW w:type="dxa" w:w="3900"/>
            <w:shd w:fill="FFFFFF" w:val="clear"/>
            <w:tcMar>
              <w:top w:type="dxa" w:w="90"/>
              <w:left w:type="dxa" w:w="120"/>
              <w:bottom w:type="dxa" w:w="90"/>
              <w:right w:type="dxa" w:w="120"/>
            </w:tcMar>
            <w:vAlign w:val="center"/>
          </w:tcPr>
          <w:p>
            <w:r>
              <w:rPr>
                <w:sz w:val="19"/>
                <w:szCs w:val="19"/>
              </w:rPr>
              <w:t xml:space="preserve">Government support for digital transformation; growing startup ecosystem</w:t>
            </w:r>
          </w:p>
        </w:tc>
        <w:tc>
          <w:tcPr>
            <w:tcW w:type="dxa" w:w="3850"/>
            <w:shd w:fill="FFFFFF" w:val="clear"/>
            <w:tcMar>
              <w:top w:type="dxa" w:w="90"/>
              <w:left w:type="dxa" w:w="120"/>
              <w:bottom w:type="dxa" w:w="90"/>
              <w:right w:type="dxa" w:w="120"/>
            </w:tcMar>
            <w:vAlign w:val="center"/>
          </w:tcPr>
          <w:p>
            <w:r>
              <w:rPr>
                <w:sz w:val="19"/>
                <w:szCs w:val="19"/>
              </w:rPr>
              <w:t xml:space="preserve">Regulatory changes; public event permissions</w:t>
            </w:r>
          </w:p>
        </w:tc>
      </w:tr>
      <w:tr>
        <w:tc>
          <w:tcPr>
            <w:tcW w:type="dxa" w:w="1600"/>
            <w:shd w:fill="F2F2F2" w:val="clear"/>
            <w:tcMar>
              <w:top w:type="dxa" w:w="90"/>
              <w:left w:type="dxa" w:w="120"/>
              <w:bottom w:type="dxa" w:w="90"/>
              <w:right w:type="dxa" w:w="120"/>
            </w:tcMar>
            <w:vAlign w:val="center"/>
          </w:tcPr>
          <w:p>
            <w:r>
              <w:rPr>
                <w:sz w:val="19"/>
                <w:szCs w:val="19"/>
              </w:rPr>
              <w:t xml:space="preserve">Economic</w:t>
            </w:r>
          </w:p>
        </w:tc>
        <w:tc>
          <w:tcPr>
            <w:tcW w:type="dxa" w:w="3900"/>
            <w:shd w:fill="F2F2F2" w:val="clear"/>
            <w:tcMar>
              <w:top w:type="dxa" w:w="90"/>
              <w:left w:type="dxa" w:w="120"/>
              <w:bottom w:type="dxa" w:w="90"/>
              <w:right w:type="dxa" w:w="120"/>
            </w:tcMar>
            <w:vAlign w:val="center"/>
          </w:tcPr>
          <w:p>
            <w:r>
              <w:rPr>
                <w:sz w:val="19"/>
                <w:szCs w:val="19"/>
              </w:rPr>
              <w:t xml:space="preserve">Large consumer market; strong FMCG sector</w:t>
            </w:r>
          </w:p>
        </w:tc>
        <w:tc>
          <w:tcPr>
            <w:tcW w:type="dxa" w:w="3850"/>
            <w:shd w:fill="F2F2F2" w:val="clear"/>
            <w:tcMar>
              <w:top w:type="dxa" w:w="90"/>
              <w:left w:type="dxa" w:w="120"/>
              <w:bottom w:type="dxa" w:w="90"/>
              <w:right w:type="dxa" w:w="120"/>
            </w:tcMar>
            <w:vAlign w:val="center"/>
          </w:tcPr>
          <w:p>
            <w:r>
              <w:rPr>
                <w:sz w:val="19"/>
                <w:szCs w:val="19"/>
              </w:rPr>
              <w:t xml:space="preserve">Inflation; currency volatility; pressure on marketing budgets during downturns</w:t>
            </w:r>
          </w:p>
        </w:tc>
      </w:tr>
      <w:tr>
        <w:tc>
          <w:tcPr>
            <w:tcW w:type="dxa" w:w="1600"/>
            <w:shd w:fill="FFFFFF" w:val="clear"/>
            <w:tcMar>
              <w:top w:type="dxa" w:w="90"/>
              <w:left w:type="dxa" w:w="120"/>
              <w:bottom w:type="dxa" w:w="90"/>
              <w:right w:type="dxa" w:w="120"/>
            </w:tcMar>
            <w:vAlign w:val="center"/>
          </w:tcPr>
          <w:p>
            <w:r>
              <w:rPr>
                <w:sz w:val="19"/>
                <w:szCs w:val="19"/>
              </w:rPr>
              <w:t xml:space="preserve">Social</w:t>
            </w:r>
          </w:p>
        </w:tc>
        <w:tc>
          <w:tcPr>
            <w:tcW w:type="dxa" w:w="3900"/>
            <w:shd w:fill="FFFFFF" w:val="clear"/>
            <w:tcMar>
              <w:top w:type="dxa" w:w="90"/>
              <w:left w:type="dxa" w:w="120"/>
              <w:bottom w:type="dxa" w:w="90"/>
              <w:right w:type="dxa" w:w="120"/>
            </w:tcMar>
            <w:vAlign w:val="center"/>
          </w:tcPr>
          <w:p>
            <w:r>
              <w:rPr>
                <w:sz w:val="19"/>
                <w:szCs w:val="19"/>
              </w:rPr>
              <w:t xml:space="preserve">Young population; high social media usage; interest in free products and rewards</w:t>
            </w:r>
          </w:p>
        </w:tc>
        <w:tc>
          <w:tcPr>
            <w:tcW w:type="dxa" w:w="3850"/>
            <w:shd w:fill="FFFFFF" w:val="clear"/>
            <w:tcMar>
              <w:top w:type="dxa" w:w="90"/>
              <w:left w:type="dxa" w:w="120"/>
              <w:bottom w:type="dxa" w:w="90"/>
              <w:right w:type="dxa" w:w="120"/>
            </w:tcMar>
            <w:vAlign w:val="center"/>
          </w:tcPr>
          <w:p>
            <w:r>
              <w:rPr>
                <w:sz w:val="19"/>
                <w:szCs w:val="19"/>
              </w:rPr>
              <w:t xml:space="preserve">Privacy concerns; survey fatigue; need to build trust</w:t>
            </w:r>
          </w:p>
        </w:tc>
      </w:tr>
      <w:tr>
        <w:tc>
          <w:tcPr>
            <w:tcW w:type="dxa" w:w="1600"/>
            <w:shd w:fill="F2F2F2" w:val="clear"/>
            <w:tcMar>
              <w:top w:type="dxa" w:w="90"/>
              <w:left w:type="dxa" w:w="120"/>
              <w:bottom w:type="dxa" w:w="90"/>
              <w:right w:type="dxa" w:w="120"/>
            </w:tcMar>
            <w:vAlign w:val="center"/>
          </w:tcPr>
          <w:p>
            <w:r>
              <w:rPr>
                <w:sz w:val="19"/>
                <w:szCs w:val="19"/>
              </w:rPr>
              <w:t xml:space="preserve">Technological</w:t>
            </w:r>
          </w:p>
        </w:tc>
        <w:tc>
          <w:tcPr>
            <w:tcW w:type="dxa" w:w="3900"/>
            <w:shd w:fill="F2F2F2" w:val="clear"/>
            <w:tcMar>
              <w:top w:type="dxa" w:w="90"/>
              <w:left w:type="dxa" w:w="120"/>
              <w:bottom w:type="dxa" w:w="90"/>
              <w:right w:type="dxa" w:w="120"/>
            </w:tcMar>
            <w:vAlign w:val="center"/>
          </w:tcPr>
          <w:p>
            <w:r>
              <w:rPr>
                <w:sz w:val="19"/>
                <w:szCs w:val="19"/>
              </w:rPr>
              <w:t xml:space="preserve">High smartphone penetration in urban areas; QR adoption increasing; cloud/AI accessible</w:t>
            </w:r>
          </w:p>
        </w:tc>
        <w:tc>
          <w:tcPr>
            <w:tcW w:type="dxa" w:w="3850"/>
            <w:shd w:fill="F2F2F2" w:val="clear"/>
            <w:tcMar>
              <w:top w:type="dxa" w:w="90"/>
              <w:left w:type="dxa" w:w="120"/>
              <w:bottom w:type="dxa" w:w="90"/>
              <w:right w:type="dxa" w:w="120"/>
            </w:tcMar>
            <w:vAlign w:val="center"/>
          </w:tcPr>
          <w:p>
            <w:r>
              <w:rPr>
                <w:sz w:val="19"/>
                <w:szCs w:val="19"/>
              </w:rPr>
              <w:t xml:space="preserve">Device fragmentation; variable internet quality outside major cities</w:t>
            </w:r>
          </w:p>
        </w:tc>
      </w:tr>
      <w:tr>
        <w:tc>
          <w:tcPr>
            <w:tcW w:type="dxa" w:w="1600"/>
            <w:shd w:fill="FFFFFF" w:val="clear"/>
            <w:tcMar>
              <w:top w:type="dxa" w:w="90"/>
              <w:left w:type="dxa" w:w="120"/>
              <w:bottom w:type="dxa" w:w="90"/>
              <w:right w:type="dxa" w:w="120"/>
            </w:tcMar>
            <w:vAlign w:val="center"/>
          </w:tcPr>
          <w:p>
            <w:r>
              <w:rPr>
                <w:sz w:val="19"/>
                <w:szCs w:val="19"/>
              </w:rPr>
              <w:t xml:space="preserve">Environmental</w:t>
            </w:r>
          </w:p>
        </w:tc>
        <w:tc>
          <w:tcPr>
            <w:tcW w:type="dxa" w:w="3900"/>
            <w:shd w:fill="FFFFFF" w:val="clear"/>
            <w:tcMar>
              <w:top w:type="dxa" w:w="90"/>
              <w:left w:type="dxa" w:w="120"/>
              <w:bottom w:type="dxa" w:w="90"/>
              <w:right w:type="dxa" w:w="120"/>
            </w:tcMar>
            <w:vAlign w:val="center"/>
          </w:tcPr>
          <w:p>
            <w:r>
              <w:rPr>
                <w:sz w:val="19"/>
                <w:szCs w:val="19"/>
              </w:rPr>
              <w:t xml:space="preserve">Replace paper surveys with digital; recyclable packaging; optimized logistics routes</w:t>
            </w:r>
          </w:p>
        </w:tc>
        <w:tc>
          <w:tcPr>
            <w:tcW w:type="dxa" w:w="3850"/>
            <w:shd w:fill="FFFFFF" w:val="clear"/>
            <w:tcMar>
              <w:top w:type="dxa" w:w="90"/>
              <w:left w:type="dxa" w:w="120"/>
              <w:bottom w:type="dxa" w:w="90"/>
              <w:right w:type="dxa" w:w="120"/>
            </w:tcMar>
            <w:vAlign w:val="center"/>
          </w:tcPr>
          <w:p>
            <w:r>
              <w:rPr>
                <w:sz w:val="19"/>
                <w:szCs w:val="19"/>
              </w:rPr>
              <w:t xml:space="preserve">—</w:t>
            </w:r>
          </w:p>
        </w:tc>
      </w:tr>
      <w:tr>
        <w:tc>
          <w:tcPr>
            <w:tcW w:type="dxa" w:w="1600"/>
            <w:shd w:fill="F2F2F2" w:val="clear"/>
            <w:tcMar>
              <w:top w:type="dxa" w:w="90"/>
              <w:left w:type="dxa" w:w="120"/>
              <w:bottom w:type="dxa" w:w="90"/>
              <w:right w:type="dxa" w:w="120"/>
            </w:tcMar>
            <w:vAlign w:val="center"/>
          </w:tcPr>
          <w:p>
            <w:r>
              <w:rPr>
                <w:sz w:val="19"/>
                <w:szCs w:val="19"/>
              </w:rPr>
              <w:t xml:space="preserve">Legal</w:t>
            </w:r>
          </w:p>
        </w:tc>
        <w:tc>
          <w:tcPr>
            <w:tcW w:type="dxa" w:w="3900"/>
            <w:shd w:fill="F2F2F2" w:val="clear"/>
            <w:tcMar>
              <w:top w:type="dxa" w:w="90"/>
              <w:left w:type="dxa" w:w="120"/>
              <w:bottom w:type="dxa" w:w="90"/>
              <w:right w:type="dxa" w:w="120"/>
            </w:tcMar>
            <w:vAlign w:val="center"/>
          </w:tcPr>
          <w:p>
            <w:r>
              <w:rPr>
                <w:sz w:val="19"/>
                <w:szCs w:val="19"/>
              </w:rPr>
              <w:t xml:space="preserve">—</w:t>
            </w:r>
          </w:p>
        </w:tc>
        <w:tc>
          <w:tcPr>
            <w:tcW w:type="dxa" w:w="3850"/>
            <w:shd w:fill="F2F2F2" w:val="clear"/>
            <w:tcMar>
              <w:top w:type="dxa" w:w="90"/>
              <w:left w:type="dxa" w:w="120"/>
              <w:bottom w:type="dxa" w:w="90"/>
              <w:right w:type="dxa" w:w="120"/>
            </w:tcMar>
            <w:vAlign w:val="center"/>
          </w:tcPr>
          <w:p>
            <w:r>
              <w:rPr>
                <w:sz w:val="19"/>
                <w:szCs w:val="19"/>
              </w:rPr>
              <w:t xml:space="preserve">Data privacy compliance; consumer protection; brand agreements; employment/contractor compliance</w:t>
            </w:r>
          </w:p>
        </w:tc>
      </w:tr>
    </w:tbl>
    <w:p>
      <w:pPr>
        <w:pStyle w:val="Heading2"/>
        <w:spacing w:after="140" w:before="280"/>
      </w:pPr>
      <w:r>
        <w:rPr>
          <w:b/>
          <w:bCs/>
          <w:color w:val="1F2A44"/>
          <w:sz w:val="24"/>
          <w:szCs w:val="24"/>
        </w:rPr>
        <w:t xml:space="preserve">Strategic Insight</w:t>
      </w:r>
    </w:p>
    <w:p>
      <w:pPr>
        <w:spacing w:after="140" w:line="276"/>
      </w:pPr>
      <w:r>
        <w:rPr>
          <w:b/>
          <w:bCs/>
          <w:sz w:val="21"/>
          <w:szCs w:val="21"/>
        </w:rPr>
        <w:t xml:space="preserve">The real competitive moat is not the app, the kiosk, or the sampling operation. It is the accumulation of: verified consumer identities (with consent), longitudinal purchase and preference data, AI models trained on local consumer behavior, relationships with brands and retailers, operational know-how for rapid, measurable product testing.</w:t>
      </w:r>
    </w:p>
    <w:p>
      <w:pPr>
        <w:spacing w:after="140" w:line="276"/>
      </w:pPr>
      <w:r>
        <w:rPr>
          <w:sz w:val="21"/>
          <w:szCs w:val="21"/>
        </w:rPr>
        <w:t xml:space="preserve">If those assets compound over time, the business evolves from a campaign execution company into a consumer intelligence infrastructure platform.</w:t>
      </w:r>
    </w:p>
    <w:p>
      <w:pPr>
        <w:pStyle w:val="Heading3"/>
        <w:spacing w:after="100" w:before="200"/>
      </w:pPr>
      <w:r>
        <w:rPr>
          <w:b/>
          <w:bCs/>
          <w:color w:val="374151"/>
          <w:sz w:val="21"/>
          <w:szCs w:val="21"/>
        </w:rPr>
        <w:t xml:space="preserve">Interim Strategic Scores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675"/>
        <w:gridCol w:w="2675"/>
      </w:tblGrid>
      <w:tr>
        <w:trPr>
          <w:tblHeader/>
        </w:trPr>
        <w:tc>
          <w:tcPr>
            <w:tcW w:type="dxa" w:w="6675"/>
            <w:shd w:fill="1F2A44" w:val="clear"/>
            <w:tcMar>
              <w:top w:type="dxa" w:w="100"/>
              <w:left w:type="dxa" w:w="120"/>
              <w:bottom w:type="dxa" w:w="100"/>
              <w:right w:type="dxa" w:w="120"/>
            </w:tcMar>
            <w:vAlign w:val="center"/>
          </w:tcPr>
          <w:p>
            <w:r>
              <w:rPr>
                <w:b/>
                <w:bCs/>
                <w:color w:val="FFFFFF"/>
                <w:sz w:val="19"/>
                <w:szCs w:val="19"/>
              </w:rPr>
              <w:t xml:space="preserve">Area</w:t>
            </w:r>
          </w:p>
        </w:tc>
        <w:tc>
          <w:tcPr>
            <w:tcW w:type="dxa" w:w="2675"/>
            <w:shd w:fill="1F2A44" w:val="clear"/>
            <w:tcMar>
              <w:top w:type="dxa" w:w="100"/>
              <w:left w:type="dxa" w:w="120"/>
              <w:bottom w:type="dxa" w:w="100"/>
              <w:right w:type="dxa" w:w="120"/>
            </w:tcMar>
            <w:vAlign w:val="center"/>
          </w:tcPr>
          <w:p>
            <w:r>
              <w:rPr>
                <w:b/>
                <w:bCs/>
                <w:color w:val="FFFFFF"/>
                <w:sz w:val="19"/>
                <w:szCs w:val="19"/>
              </w:rPr>
              <w:t xml:space="preserve">Score (/10)</w:t>
            </w:r>
          </w:p>
        </w:tc>
      </w:tr>
      <w:tr>
        <w:tc>
          <w:tcPr>
            <w:tcW w:type="dxa" w:w="6675"/>
            <w:shd w:fill="FFFFFF" w:val="clear"/>
            <w:tcMar>
              <w:top w:type="dxa" w:w="90"/>
              <w:left w:type="dxa" w:w="120"/>
              <w:bottom w:type="dxa" w:w="90"/>
              <w:right w:type="dxa" w:w="120"/>
            </w:tcMar>
            <w:vAlign w:val="center"/>
          </w:tcPr>
          <w:p>
            <w:r>
              <w:rPr>
                <w:sz w:val="19"/>
                <w:szCs w:val="19"/>
              </w:rPr>
              <w:t xml:space="preserve">Go-to-Market Strategy</w:t>
            </w:r>
          </w:p>
        </w:tc>
        <w:tc>
          <w:tcPr>
            <w:tcW w:type="dxa" w:w="2675"/>
            <w:shd w:fill="FFFFFF" w:val="clear"/>
            <w:tcMar>
              <w:top w:type="dxa" w:w="90"/>
              <w:left w:type="dxa" w:w="120"/>
              <w:bottom w:type="dxa" w:w="90"/>
              <w:right w:type="dxa" w:w="120"/>
            </w:tcMar>
            <w:vAlign w:val="center"/>
          </w:tcPr>
          <w:p>
            <w:r>
              <w:rPr>
                <w:sz w:val="19"/>
                <w:szCs w:val="19"/>
              </w:rPr>
              <w:t xml:space="preserve">9.3</w:t>
            </w:r>
          </w:p>
        </w:tc>
      </w:tr>
      <w:tr>
        <w:tc>
          <w:tcPr>
            <w:tcW w:type="dxa" w:w="6675"/>
            <w:shd w:fill="F2F2F2" w:val="clear"/>
            <w:tcMar>
              <w:top w:type="dxa" w:w="90"/>
              <w:left w:type="dxa" w:w="120"/>
              <w:bottom w:type="dxa" w:w="90"/>
              <w:right w:type="dxa" w:w="120"/>
            </w:tcMar>
            <w:vAlign w:val="center"/>
          </w:tcPr>
          <w:p>
            <w:r>
              <w:rPr>
                <w:sz w:val="19"/>
                <w:szCs w:val="19"/>
              </w:rPr>
              <w:t xml:space="preserve">Operational Design</w:t>
            </w:r>
          </w:p>
        </w:tc>
        <w:tc>
          <w:tcPr>
            <w:tcW w:type="dxa" w:w="2675"/>
            <w:shd w:fill="F2F2F2" w:val="clear"/>
            <w:tcMar>
              <w:top w:type="dxa" w:w="90"/>
              <w:left w:type="dxa" w:w="120"/>
              <w:bottom w:type="dxa" w:w="90"/>
              <w:right w:type="dxa" w:w="120"/>
            </w:tcMar>
            <w:vAlign w:val="center"/>
          </w:tcPr>
          <w:p>
            <w:r>
              <w:rPr>
                <w:sz w:val="19"/>
                <w:szCs w:val="19"/>
              </w:rPr>
              <w:t xml:space="preserve">8.7</w:t>
            </w:r>
          </w:p>
        </w:tc>
      </w:tr>
      <w:tr>
        <w:tc>
          <w:tcPr>
            <w:tcW w:type="dxa" w:w="6675"/>
            <w:shd w:fill="FFFFFF" w:val="clear"/>
            <w:tcMar>
              <w:top w:type="dxa" w:w="90"/>
              <w:left w:type="dxa" w:w="120"/>
              <w:bottom w:type="dxa" w:w="90"/>
              <w:right w:type="dxa" w:w="120"/>
            </w:tcMar>
            <w:vAlign w:val="center"/>
          </w:tcPr>
          <w:p>
            <w:r>
              <w:rPr>
                <w:sz w:val="19"/>
                <w:szCs w:val="19"/>
              </w:rPr>
              <w:t xml:space="preserve">Risk Management</w:t>
            </w:r>
          </w:p>
        </w:tc>
        <w:tc>
          <w:tcPr>
            <w:tcW w:type="dxa" w:w="2675"/>
            <w:shd w:fill="FFFFFF" w:val="clear"/>
            <w:tcMar>
              <w:top w:type="dxa" w:w="90"/>
              <w:left w:type="dxa" w:w="120"/>
              <w:bottom w:type="dxa" w:w="90"/>
              <w:right w:type="dxa" w:w="120"/>
            </w:tcMar>
            <w:vAlign w:val="center"/>
          </w:tcPr>
          <w:p>
            <w:r>
              <w:rPr>
                <w:sz w:val="19"/>
                <w:szCs w:val="19"/>
              </w:rPr>
              <w:t xml:space="preserve">8.4</w:t>
            </w:r>
          </w:p>
        </w:tc>
      </w:tr>
      <w:tr>
        <w:tc>
          <w:tcPr>
            <w:tcW w:type="dxa" w:w="6675"/>
            <w:shd w:fill="F2F2F2" w:val="clear"/>
            <w:tcMar>
              <w:top w:type="dxa" w:w="90"/>
              <w:left w:type="dxa" w:w="120"/>
              <w:bottom w:type="dxa" w:w="90"/>
              <w:right w:type="dxa" w:w="120"/>
            </w:tcMar>
            <w:vAlign w:val="center"/>
          </w:tcPr>
          <w:p>
            <w:r>
              <w:rPr>
                <w:sz w:val="19"/>
                <w:szCs w:val="19"/>
              </w:rPr>
              <w:t xml:space="preserve">Strategic Positioning</w:t>
            </w:r>
          </w:p>
        </w:tc>
        <w:tc>
          <w:tcPr>
            <w:tcW w:type="dxa" w:w="2675"/>
            <w:shd w:fill="F2F2F2" w:val="clear"/>
            <w:tcMar>
              <w:top w:type="dxa" w:w="90"/>
              <w:left w:type="dxa" w:w="120"/>
              <w:bottom w:type="dxa" w:w="90"/>
              <w:right w:type="dxa" w:w="120"/>
            </w:tcMar>
            <w:vAlign w:val="center"/>
          </w:tcPr>
          <w:p>
            <w:r>
              <w:rPr>
                <w:sz w:val="19"/>
                <w:szCs w:val="19"/>
              </w:rPr>
              <w:t xml:space="preserve">9.5</w:t>
            </w:r>
          </w:p>
        </w:tc>
      </w:tr>
      <w:tr>
        <w:tc>
          <w:tcPr>
            <w:tcW w:type="dxa" w:w="6675"/>
            <w:shd w:fill="FFFFFF" w:val="clear"/>
            <w:tcMar>
              <w:top w:type="dxa" w:w="90"/>
              <w:left w:type="dxa" w:w="120"/>
              <w:bottom w:type="dxa" w:w="90"/>
              <w:right w:type="dxa" w:w="120"/>
            </w:tcMar>
            <w:vAlign w:val="center"/>
          </w:tcPr>
          <w:p>
            <w:r>
              <w:rPr>
                <w:sz w:val="19"/>
                <w:szCs w:val="19"/>
              </w:rPr>
              <w:t xml:space="preserve">Long-term Defensibility</w:t>
            </w:r>
          </w:p>
        </w:tc>
        <w:tc>
          <w:tcPr>
            <w:tcW w:type="dxa" w:w="2675"/>
            <w:shd w:fill="FFFFFF" w:val="clear"/>
            <w:tcMar>
              <w:top w:type="dxa" w:w="90"/>
              <w:left w:type="dxa" w:w="120"/>
              <w:bottom w:type="dxa" w:w="90"/>
              <w:right w:type="dxa" w:w="120"/>
            </w:tcMar>
            <w:vAlign w:val="center"/>
          </w:tcPr>
          <w:p>
            <w:r>
              <w:rPr>
                <w:sz w:val="19"/>
                <w:szCs w:val="19"/>
              </w:rPr>
              <w:t xml:space="preserve">9.1</w:t>
            </w:r>
          </w:p>
        </w:tc>
      </w:tr>
    </w:tbl>
    <w:p>
      <w:r>
        <w:br w:type="page"/>
      </w:r>
    </w:p>
    <w:p>
      <w:pPr>
        <w:pStyle w:val="Heading1"/>
        <w:pBdr>
          <w:bottom w:val="single" w:color="1F2A44" w:sz="8" w:space="4"/>
        </w:pBdr>
        <w:spacing w:after="200" w:before="400"/>
      </w:pPr>
      <w:r>
        <w:rPr>
          <w:b/>
          <w:bCs/>
          <w:color w:val="1F2A44"/>
          <w:sz w:val="30"/>
          <w:szCs w:val="30"/>
        </w:rPr>
        <w:t xml:space="preserve">Part 4 — Phases 15–18: Final Investment Committee Report</w:t>
      </w:r>
    </w:p>
    <w:tbl>
      <w:tblPr>
        <w:tblW w:type="pct" w:w="100%"/>
        <w:tblBorders>
          <w:top w:val="single" w:color="1F2A44" w:sz="6"/>
          <w:left w:val="single" w:color="1F2A44" w:sz="6"/>
          <w:bottom w:val="single" w:color="1F2A44" w:sz="6"/>
          <w:right w:val="single" w:color="1F2A44"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1F2A44"/>
                <w:sz w:val="22"/>
                <w:szCs w:val="22"/>
              </w:rPr>
              <w:t xml:space="preserve">Evidence Base</w:t>
            </w:r>
          </w:p>
          <w:p>
            <w:pPr>
              <w:spacing w:after="60"/>
            </w:pPr>
            <w:r>
              <w:rPr>
                <w:sz w:val="20"/>
                <w:szCs w:val="20"/>
              </w:rPr>
              <w:t xml:space="preserve">• Facts from the video: The concept uses an app to invite consumers to nearby brand activations, distributes free product samples, collects feedback, and monetizes through brands.</w:t>
            </w:r>
          </w:p>
          <w:p>
            <w:pPr>
              <w:spacing w:after="60"/>
            </w:pPr>
            <w:r>
              <w:rPr>
                <w:sz w:val="20"/>
                <w:szCs w:val="20"/>
              </w:rPr>
              <w:t xml:space="preserve">• Externally verified: Public information about Samplia and comparable consumer sampling/research platforms.</w:t>
            </w:r>
          </w:p>
          <w:p>
            <w:pPr>
              <w:spacing w:after="60"/>
            </w:pPr>
            <w:r>
              <w:rPr>
                <w:sz w:val="20"/>
                <w:szCs w:val="20"/>
              </w:rPr>
              <w:t xml:space="preserve">• Everything else: Professional strategic analysis and market estimates for Egypt.</w:t>
            </w:r>
          </w:p>
        </w:tc>
      </w:tr>
    </w:tbl>
    <w:p>
      <w:pPr>
        <w:pStyle w:val="Heading2"/>
        <w:spacing w:after="140" w:before="280"/>
      </w:pPr>
      <w:r>
        <w:rPr>
          <w:b/>
          <w:bCs/>
          <w:color w:val="1F2A44"/>
          <w:sz w:val="24"/>
          <w:szCs w:val="24"/>
        </w:rPr>
        <w:t xml:space="preserve">Executive Conclusion</w:t>
      </w:r>
    </w:p>
    <w:p>
      <w:pPr>
        <w:bidi/>
        <w:spacing w:after="140" w:line="300"/>
        <w:jc w:val="right"/>
      </w:pPr>
      <w:r>
        <w:rPr>
          <w:sz w:val="22"/>
          <w:szCs w:val="22"/>
          <w:rtl/>
        </w:rPr>
        <w:t xml:space="preserve">بعد تحليل الفكرة من جميع الجوانب، وصلت إلى نتيجة مختلفة قليلاً عما قد يتوقعه معظم الناس.</w:t>
      </w:r>
    </w:p>
    <w:p>
      <w:pPr>
        <w:bidi/>
        <w:spacing w:after="140" w:line="300"/>
        <w:jc w:val="right"/>
      </w:pPr>
      <w:r>
        <w:rPr>
          <w:b/>
          <w:bCs/>
          <w:sz w:val="22"/>
          <w:szCs w:val="22"/>
          <w:rtl/>
        </w:rPr>
        <w:t xml:space="preserve">أنا لا أنصح ببناء "Samplia Egypt".</w:t>
      </w:r>
    </w:p>
    <w:p>
      <w:pPr>
        <w:bidi/>
        <w:spacing w:after="140" w:line="300"/>
        <w:jc w:val="right"/>
      </w:pPr>
      <w:r>
        <w:rPr>
          <w:b/>
          <w:bCs/>
          <w:sz w:val="22"/>
          <w:szCs w:val="22"/>
          <w:rtl/>
        </w:rPr>
        <w:t xml:space="preserve">لكن... أنصح بشدة ببناء الجيل القادم من Samplia.</w:t>
      </w:r>
    </w:p>
    <w:p>
      <w:pPr>
        <w:bidi/>
        <w:spacing w:after="140" w:line="300"/>
        <w:jc w:val="right"/>
      </w:pPr>
      <w:r>
        <w:rPr>
          <w:sz w:val="22"/>
          <w:szCs w:val="22"/>
          <w:rtl/>
        </w:rPr>
        <w:t xml:space="preserve">وهذا فرق ضخم.</w:t>
      </w:r>
    </w:p>
    <w:p>
      <w:pPr>
        <w:bidi/>
        <w:spacing w:after="140" w:line="300"/>
        <w:jc w:val="right"/>
      </w:pPr>
      <w:r>
        <w:rPr>
          <w:sz w:val="22"/>
          <w:szCs w:val="22"/>
          <w:rtl/>
        </w:rPr>
        <w:t xml:space="preserve">لو نفذت النسخة الإسبانية حرفياً... احتمال نجاحها متوسط.</w:t>
      </w:r>
    </w:p>
    <w:p>
      <w:pPr>
        <w:bidi/>
        <w:spacing w:after="140" w:line="300"/>
        <w:jc w:val="right"/>
      </w:pPr>
      <w:r>
        <w:rPr>
          <w:sz w:val="22"/>
          <w:szCs w:val="22"/>
          <w:rtl/>
        </w:rPr>
        <w:t xml:space="preserve">أما إذا بنيتها كمنصة بيانات وذكاء تسويقي... فقد تصبح شركة إقليمية كبيرة.</w:t>
      </w:r>
    </w:p>
    <w:p>
      <w:r>
        <w:br w:type="page"/>
      </w:r>
    </w:p>
    <w:p>
      <w:pPr>
        <w:pStyle w:val="Heading2"/>
        <w:spacing w:after="140" w:before="280"/>
      </w:pPr>
      <w:r>
        <w:rPr>
          <w:b/>
          <w:bCs/>
          <w:color w:val="1F2A44"/>
          <w:sz w:val="24"/>
          <w:szCs w:val="24"/>
        </w:rPr>
        <w:t xml:space="preserve">PHASE 15 — Implementation Roadmap</w:t>
      </w:r>
    </w:p>
    <w:p>
      <w:pPr>
        <w:pStyle w:val="Heading3"/>
        <w:spacing w:after="100" w:before="200"/>
      </w:pPr>
      <w:r>
        <w:rPr>
          <w:b/>
          <w:bCs/>
          <w:color w:val="374151"/>
          <w:sz w:val="21"/>
          <w:szCs w:val="21"/>
        </w:rPr>
        <w:t xml:space="preserve">Stage 1 — First 30 Days</w:t>
      </w:r>
    </w:p>
    <w:p>
      <w:pPr>
        <w:bidi/>
        <w:spacing w:after="140" w:line="300"/>
        <w:jc w:val="right"/>
      </w:pPr>
      <w:r>
        <w:rPr>
          <w:sz w:val="22"/>
          <w:szCs w:val="22"/>
          <w:rtl/>
        </w:rPr>
        <w:t xml:space="preserve">الهدف: عدم كتابة سطر كود. ابدأ بالتحقق من السوق.</w:t>
      </w:r>
    </w:p>
    <w:p>
      <w:pPr>
        <w:bidi/>
        <w:spacing w:after="140" w:line="300"/>
        <w:jc w:val="right"/>
      </w:pPr>
      <w:r>
        <w:rPr>
          <w:sz w:val="22"/>
          <w:szCs w:val="22"/>
          <w:rtl/>
        </w:rPr>
        <w:t xml:space="preserve">المطلوب:</w:t>
      </w:r>
    </w:p>
    <w:p>
      <w:pPr>
        <w:pStyle w:val="ListParagraph"/>
        <w:numPr>
          <w:ilvl w:val="0"/>
          <w:numId w:val="1"/>
        </w:numPr>
        <w:bidi/>
        <w:spacing w:after="70"/>
        <w:jc w:val="right"/>
      </w:pPr>
      <w:r>
        <w:rPr>
          <w:sz w:val="22"/>
          <w:szCs w:val="22"/>
          <w:rtl/>
        </w:rPr>
        <w:t xml:space="preserve">1. إجراء 50 مقابلة مع Brand Managers، Marketing Managers، Innovation Managers، Research Managers داخل شركات FMCG.</w:t>
      </w:r>
    </w:p>
    <w:p>
      <w:pPr>
        <w:pStyle w:val="ListParagraph"/>
        <w:numPr>
          <w:ilvl w:val="0"/>
          <w:numId w:val="1"/>
        </w:numPr>
        <w:bidi/>
        <w:spacing w:after="70"/>
        <w:jc w:val="right"/>
      </w:pPr>
      <w:r>
        <w:rPr>
          <w:sz w:val="22"/>
          <w:szCs w:val="22"/>
          <w:rtl/>
        </w:rPr>
        <w:t xml:space="preserve">2. اسألهم كم تنفقون على Sampling، Activations، Research، Launches.</w:t>
      </w:r>
    </w:p>
    <w:p>
      <w:pPr>
        <w:pStyle w:val="ListParagraph"/>
        <w:numPr>
          <w:ilvl w:val="0"/>
          <w:numId w:val="1"/>
        </w:numPr>
        <w:bidi/>
        <w:spacing w:after="70"/>
        <w:jc w:val="right"/>
      </w:pPr>
      <w:r>
        <w:rPr>
          <w:sz w:val="22"/>
          <w:szCs w:val="22"/>
          <w:rtl/>
        </w:rPr>
        <w:t xml:space="preserve">3. اسأل: ما أكثر شيء يزعجكم؟</w:t>
      </w:r>
    </w:p>
    <w:p>
      <w:pPr>
        <w:pStyle w:val="ListParagraph"/>
        <w:numPr>
          <w:ilvl w:val="0"/>
          <w:numId w:val="1"/>
        </w:numPr>
        <w:bidi/>
        <w:spacing w:after="70"/>
        <w:jc w:val="right"/>
      </w:pPr>
      <w:r>
        <w:rPr>
          <w:sz w:val="22"/>
          <w:szCs w:val="22"/>
          <w:rtl/>
        </w:rPr>
        <w:t xml:space="preserve">4. ابن Landing Page بدون تطبيق. اعرض الخدمة. اجمع Leads.</w:t>
      </w:r>
    </w:p>
    <w:p>
      <w:pPr>
        <w:pStyle w:val="ListParagraph"/>
        <w:numPr>
          <w:ilvl w:val="0"/>
          <w:numId w:val="1"/>
        </w:numPr>
        <w:bidi/>
        <w:spacing w:after="70"/>
        <w:jc w:val="right"/>
      </w:pPr>
      <w:r>
        <w:rPr>
          <w:sz w:val="22"/>
          <w:szCs w:val="22"/>
          <w:rtl/>
        </w:rPr>
        <w:t xml:space="preserve">5. احصل على LOIs (Letters of Intent) من أول 5 شركات.</w:t>
      </w:r>
    </w:p>
    <w:p>
      <w:pPr>
        <w:bidi/>
        <w:spacing w:after="140" w:line="300"/>
        <w:jc w:val="right"/>
      </w:pPr>
      <w:r>
        <w:rPr>
          <w:b/>
          <w:bCs/>
          <w:sz w:val="22"/>
          <w:szCs w:val="22"/>
          <w:rtl/>
        </w:rPr>
        <w:t xml:space="preserve">نجاح المرحلة: إذا لم تحصل على 5 شركات مهتمة، لا تبدأ البرمجة.</w:t>
      </w:r>
    </w:p>
    <w:p>
      <w:pPr>
        <w:pStyle w:val="Heading3"/>
        <w:spacing w:after="100" w:before="200"/>
      </w:pPr>
      <w:r>
        <w:rPr>
          <w:b/>
          <w:bCs/>
          <w:color w:val="374151"/>
          <w:sz w:val="21"/>
          <w:szCs w:val="21"/>
        </w:rPr>
        <w:t xml:space="preserve">Stage 2 — 90 Days</w:t>
      </w:r>
    </w:p>
    <w:p>
      <w:pPr>
        <w:bidi/>
        <w:spacing w:after="140" w:line="300"/>
        <w:jc w:val="right"/>
      </w:pPr>
      <w:r>
        <w:rPr>
          <w:sz w:val="22"/>
          <w:szCs w:val="22"/>
          <w:rtl/>
        </w:rPr>
        <w:t xml:space="preserve">ابدأ MVP. ليس تطبيقاً كاملاً. فقط: Admin Dashboard، Brand Dashboard، Consumer App، QR، Survey، Analytics.</w:t>
      </w:r>
    </w:p>
    <w:p>
      <w:pPr>
        <w:bidi/>
        <w:spacing w:after="140" w:line="300"/>
        <w:jc w:val="right"/>
      </w:pPr>
      <w:r>
        <w:rPr>
          <w:sz w:val="22"/>
          <w:szCs w:val="22"/>
          <w:rtl/>
        </w:rPr>
        <w:t xml:space="preserve">لا تبن: AI، Machine Learning، Advanced Dashboard — هذه تأتي لاحقاً.</w:t>
      </w:r>
    </w:p>
    <w:p>
      <w:pPr>
        <w:bidi/>
        <w:spacing w:after="140" w:line="300"/>
        <w:jc w:val="right"/>
      </w:pPr>
      <w:r>
        <w:rPr>
          <w:sz w:val="22"/>
          <w:szCs w:val="22"/>
          <w:rtl/>
        </w:rPr>
        <w:t xml:space="preserve">نفذ أول حملة، حتى لو فيها 200 مستخدم فقط.</w:t>
      </w:r>
    </w:p>
    <w:p>
      <w:pPr>
        <w:bidi/>
        <w:spacing w:after="140" w:line="300"/>
        <w:jc w:val="right"/>
      </w:pPr>
      <w:r>
        <w:rPr>
          <w:sz w:val="22"/>
          <w:szCs w:val="22"/>
          <w:rtl/>
        </w:rPr>
        <w:t xml:space="preserve">KPIs: 200 مستخدم، 5 شركات، 1000 Sample، 80% Survey Completion.</w:t>
      </w:r>
    </w:p>
    <w:p>
      <w:pPr>
        <w:pStyle w:val="Heading3"/>
        <w:spacing w:after="100" w:before="200"/>
      </w:pPr>
      <w:r>
        <w:rPr>
          <w:b/>
          <w:bCs/>
          <w:color w:val="374151"/>
          <w:sz w:val="21"/>
          <w:szCs w:val="21"/>
        </w:rPr>
        <w:t xml:space="preserve">Stage 3 — 6 Months</w:t>
      </w:r>
    </w:p>
    <w:p>
      <w:pPr>
        <w:bidi/>
        <w:spacing w:after="140" w:line="300"/>
        <w:jc w:val="right"/>
      </w:pPr>
      <w:r>
        <w:rPr>
          <w:sz w:val="22"/>
          <w:szCs w:val="22"/>
          <w:rtl/>
        </w:rPr>
        <w:t xml:space="preserve">الهدف: إثبات النموذج. الوصول إلى 10,000 مستخدم، 15 Brand، 30 حملة.</w:t>
      </w:r>
    </w:p>
    <w:p>
      <w:pPr>
        <w:bidi/>
        <w:spacing w:after="140" w:line="300"/>
        <w:jc w:val="right"/>
      </w:pPr>
      <w:r>
        <w:rPr>
          <w:sz w:val="22"/>
          <w:szCs w:val="22"/>
          <w:rtl/>
        </w:rPr>
        <w:t xml:space="preserve">إضافة: Gamification، Rewards، Referral، Coupons. ابدأ بيع Dashboard Subscription.</w:t>
      </w:r>
    </w:p>
    <w:p>
      <w:pPr>
        <w:pStyle w:val="Heading3"/>
        <w:spacing w:after="100" w:before="200"/>
      </w:pPr>
      <w:r>
        <w:rPr>
          <w:b/>
          <w:bCs/>
          <w:color w:val="374151"/>
          <w:sz w:val="21"/>
          <w:szCs w:val="21"/>
        </w:rPr>
        <w:t xml:space="preserve">Stage 4 — 12 Months</w:t>
      </w:r>
    </w:p>
    <w:p>
      <w:pPr>
        <w:bidi/>
        <w:spacing w:after="140" w:line="300"/>
        <w:jc w:val="right"/>
      </w:pPr>
      <w:r>
        <w:rPr>
          <w:sz w:val="22"/>
          <w:szCs w:val="22"/>
          <w:rtl/>
        </w:rPr>
        <w:t xml:space="preserve">ابدأ التوسع: الإسكندرية، الجيزة، القاهرة الجديدة، 6 أكتوبر.</w:t>
      </w:r>
    </w:p>
    <w:p>
      <w:pPr>
        <w:bidi/>
        <w:spacing w:after="140" w:line="300"/>
        <w:jc w:val="right"/>
      </w:pPr>
      <w:r>
        <w:rPr>
          <w:sz w:val="22"/>
          <w:szCs w:val="22"/>
          <w:rtl/>
        </w:rPr>
        <w:t xml:space="preserve">إضافة: AI Insights، Segmentation، Predictive Analytics، Purchase Prediction. الوصول إلى 100,000 مستخدم.</w:t>
      </w:r>
    </w:p>
    <w:p>
      <w:pPr>
        <w:pStyle w:val="Heading3"/>
        <w:spacing w:after="100" w:before="200"/>
      </w:pPr>
      <w:r>
        <w:rPr>
          <w:b/>
          <w:bCs/>
          <w:color w:val="374151"/>
          <w:sz w:val="21"/>
          <w:szCs w:val="21"/>
        </w:rPr>
        <w:t xml:space="preserve">Stage 5 — 24 Months</w:t>
      </w:r>
    </w:p>
    <w:p>
      <w:pPr>
        <w:bidi/>
        <w:spacing w:after="140" w:line="300"/>
        <w:jc w:val="right"/>
      </w:pPr>
      <w:r>
        <w:rPr>
          <w:sz w:val="22"/>
          <w:szCs w:val="22"/>
          <w:rtl/>
        </w:rPr>
        <w:t xml:space="preserve">ابدأ الخليج: السعودية، الإمارات، الكويت.</w:t>
      </w:r>
    </w:p>
    <w:p>
      <w:pPr>
        <w:bidi/>
        <w:spacing w:after="140" w:line="300"/>
        <w:jc w:val="right"/>
      </w:pPr>
      <w:r>
        <w:rPr>
          <w:sz w:val="22"/>
          <w:szCs w:val="22"/>
          <w:rtl/>
        </w:rPr>
        <w:t xml:space="preserve">أضف: Retail Media، Consumer Panel، Product Testing، Store Analytics، API، Enterprise.</w:t>
      </w:r>
    </w:p>
    <w:p>
      <w:r>
        <w:br w:type="page"/>
      </w:r>
    </w:p>
    <w:p>
      <w:pPr>
        <w:pStyle w:val="Heading2"/>
        <w:spacing w:after="140" w:before="280"/>
      </w:pPr>
      <w:r>
        <w:rPr>
          <w:b/>
          <w:bCs/>
          <w:color w:val="1F2A44"/>
          <w:sz w:val="24"/>
          <w:szCs w:val="24"/>
        </w:rPr>
        <w:t xml:space="preserve">PHASE 16 — Investment Decision</w:t>
      </w:r>
    </w:p>
    <w:p>
      <w:pPr>
        <w:bidi/>
        <w:spacing w:after="140" w:line="300"/>
        <w:jc w:val="right"/>
      </w:pPr>
      <w:r>
        <w:rPr>
          <w:sz w:val="22"/>
          <w:szCs w:val="22"/>
          <w:rtl/>
        </w:rPr>
        <w:t xml:space="preserve">سأجيب كأنني لجنة استثمار.</w:t>
      </w:r>
    </w:p>
    <w:p>
      <w:pPr>
        <w:pStyle w:val="Heading3"/>
        <w:spacing w:after="100" w:before="200"/>
      </w:pPr>
      <w:r>
        <w:rPr>
          <w:b/>
          <w:bCs/>
          <w:color w:val="374151"/>
          <w:sz w:val="21"/>
          <w:szCs w:val="21"/>
        </w:rPr>
        <w:t xml:space="preserve">هل سأستثمر؟</w:t>
      </w:r>
    </w:p>
    <w:p>
      <w:pPr>
        <w:bidi/>
        <w:spacing w:after="140" w:line="300"/>
        <w:jc w:val="right"/>
      </w:pPr>
      <w:r>
        <w:rPr>
          <w:b/>
          <w:bCs/>
          <w:sz w:val="22"/>
          <w:szCs w:val="22"/>
          <w:rtl/>
        </w:rPr>
        <w:t xml:space="preserve">الإجابة: نعم... ولكن بشروط.</w:t>
      </w:r>
    </w:p>
    <w:p>
      <w:pPr>
        <w:bidi/>
        <w:spacing w:after="140" w:line="300"/>
        <w:jc w:val="right"/>
      </w:pPr>
      <w:r>
        <w:rPr>
          <w:sz w:val="22"/>
          <w:szCs w:val="22"/>
          <w:rtl/>
        </w:rPr>
        <w:t xml:space="preserve">لن أستثمر في Sampling Company. سأستثمر في Consumer Intelligence Platform.</w:t>
      </w:r>
    </w:p>
    <w:p>
      <w:pPr>
        <w:bidi/>
        <w:spacing w:after="140" w:line="300"/>
        <w:jc w:val="right"/>
      </w:pPr>
      <w:r>
        <w:rPr>
          <w:sz w:val="22"/>
          <w:szCs w:val="22"/>
          <w:rtl/>
        </w:rPr>
        <w:t xml:space="preserve">إذا جاء Founder وقال "سنوزع عينات" — سأرفض.</w:t>
      </w:r>
    </w:p>
    <w:p>
      <w:pPr>
        <w:bidi/>
        <w:spacing w:after="140" w:line="300"/>
        <w:jc w:val="right"/>
      </w:pPr>
      <w:r>
        <w:rPr>
          <w:sz w:val="22"/>
          <w:szCs w:val="22"/>
          <w:rtl/>
        </w:rPr>
        <w:t xml:space="preserve">إذا قال "سنبني أكبر قاعدة بيانات لسلوك المستهلك المصري" — سأكمل الاجتماع.</w:t>
      </w:r>
    </w:p>
    <w:p>
      <w:pPr>
        <w:bidi/>
        <w:spacing w:after="140" w:line="300"/>
        <w:jc w:val="right"/>
      </w:pPr>
      <w:r>
        <w:rPr>
          <w:sz w:val="22"/>
          <w:szCs w:val="22"/>
          <w:rtl/>
        </w:rPr>
        <w:t xml:space="preserve">لماذا؟ لأن قيمة الشركة ستكون في البيانات، وليس المنتجات.</w:t>
      </w:r>
    </w:p>
    <w:p>
      <w:pPr>
        <w:pStyle w:val="Heading3"/>
        <w:spacing w:after="100" w:before="200"/>
      </w:pPr>
      <w:r>
        <w:rPr>
          <w:b/>
          <w:bCs/>
          <w:color w:val="374151"/>
          <w:sz w:val="21"/>
          <w:szCs w:val="21"/>
        </w:rPr>
        <w:t xml:space="preserve">هل أطلقها في مصر؟</w:t>
      </w:r>
    </w:p>
    <w:p>
      <w:pPr>
        <w:bidi/>
        <w:spacing w:after="140" w:line="300"/>
        <w:jc w:val="right"/>
      </w:pPr>
      <w:r>
        <w:rPr>
          <w:b/>
          <w:bCs/>
          <w:sz w:val="22"/>
          <w:szCs w:val="22"/>
          <w:rtl/>
        </w:rPr>
        <w:t xml:space="preserve">الإجابة: نعم.</w:t>
      </w:r>
    </w:p>
    <w:p>
      <w:pPr>
        <w:bidi/>
        <w:spacing w:after="140" w:line="300"/>
        <w:jc w:val="right"/>
      </w:pPr>
      <w:r>
        <w:rPr>
          <w:sz w:val="22"/>
          <w:szCs w:val="22"/>
          <w:rtl/>
        </w:rPr>
        <w:t xml:space="preserve">لكن: ابدأ بالقاهرة فقط.</w:t>
      </w:r>
    </w:p>
    <w:p>
      <w:pPr>
        <w:pStyle w:val="Heading3"/>
        <w:spacing w:after="100" w:before="200"/>
      </w:pPr>
      <w:r>
        <w:rPr>
          <w:b/>
          <w:bCs/>
          <w:color w:val="374151"/>
          <w:sz w:val="21"/>
          <w:szCs w:val="21"/>
        </w:rPr>
        <w:t xml:space="preserve">هل أعدل الفكرة؟</w:t>
      </w:r>
    </w:p>
    <w:p>
      <w:pPr>
        <w:bidi/>
        <w:spacing w:after="140" w:line="300"/>
        <w:jc w:val="right"/>
      </w:pPr>
      <w:r>
        <w:rPr>
          <w:sz w:val="22"/>
          <w:szCs w:val="22"/>
          <w:rtl/>
        </w:rPr>
        <w:t xml:space="preserve">بالتأكيد. تعديلات كبيرة.</w:t>
      </w:r>
    </w:p>
    <w:p>
      <w:pPr>
        <w:bidi/>
        <w:spacing w:after="140" w:line="300"/>
        <w:jc w:val="right"/>
      </w:pPr>
      <w:r>
        <w:rPr>
          <w:sz w:val="22"/>
          <w:szCs w:val="22"/>
          <w:rtl/>
        </w:rPr>
        <w:t xml:space="preserve">أهم التعديلات:</w:t>
      </w:r>
    </w:p>
    <w:p>
      <w:pPr>
        <w:pStyle w:val="ListParagraph"/>
        <w:numPr>
          <w:ilvl w:val="0"/>
          <w:numId w:val="1"/>
        </w:numPr>
        <w:bidi/>
        <w:spacing w:after="70"/>
        <w:jc w:val="right"/>
      </w:pPr>
      <w:r>
        <w:rPr>
          <w:sz w:val="22"/>
          <w:szCs w:val="22"/>
          <w:rtl/>
        </w:rPr>
        <w:t xml:space="preserve">1. احذف فكرة الأكشاك الدائمة.</w:t>
      </w:r>
    </w:p>
    <w:p>
      <w:pPr>
        <w:pStyle w:val="ListParagraph"/>
        <w:numPr>
          <w:ilvl w:val="0"/>
          <w:numId w:val="1"/>
        </w:numPr>
        <w:bidi/>
        <w:spacing w:after="70"/>
        <w:jc w:val="right"/>
      </w:pPr>
      <w:r>
        <w:rPr>
          <w:sz w:val="22"/>
          <w:szCs w:val="22"/>
          <w:rtl/>
        </w:rPr>
        <w:t xml:space="preserve">2. اعتمد على Partner Stores.</w:t>
      </w:r>
    </w:p>
    <w:p>
      <w:pPr>
        <w:pStyle w:val="ListParagraph"/>
        <w:numPr>
          <w:ilvl w:val="0"/>
          <w:numId w:val="1"/>
        </w:numPr>
        <w:bidi/>
        <w:spacing w:after="70"/>
        <w:jc w:val="right"/>
      </w:pPr>
      <w:r>
        <w:rPr>
          <w:sz w:val="22"/>
          <w:szCs w:val="22"/>
          <w:rtl/>
        </w:rPr>
        <w:t xml:space="preserve">3. حوّل التطبيق إلى Rewards Platform.</w:t>
      </w:r>
    </w:p>
    <w:p>
      <w:pPr>
        <w:pStyle w:val="ListParagraph"/>
        <w:numPr>
          <w:ilvl w:val="0"/>
          <w:numId w:val="1"/>
        </w:numPr>
        <w:bidi/>
        <w:spacing w:after="70"/>
        <w:jc w:val="right"/>
      </w:pPr>
      <w:r>
        <w:rPr>
          <w:sz w:val="22"/>
          <w:szCs w:val="22"/>
          <w:rtl/>
        </w:rPr>
        <w:t xml:space="preserve">4. اجعل AI هو المنتج.</w:t>
      </w:r>
    </w:p>
    <w:p>
      <w:pPr>
        <w:pStyle w:val="ListParagraph"/>
        <w:numPr>
          <w:ilvl w:val="0"/>
          <w:numId w:val="1"/>
        </w:numPr>
        <w:bidi/>
        <w:spacing w:after="70"/>
        <w:jc w:val="right"/>
      </w:pPr>
      <w:r>
        <w:rPr>
          <w:sz w:val="22"/>
          <w:szCs w:val="22"/>
          <w:rtl/>
        </w:rPr>
        <w:t xml:space="preserve">5. اجعل Dashboard أهم من التطبيق.</w:t>
      </w:r>
    </w:p>
    <w:p>
      <w:pPr>
        <w:pStyle w:val="Heading3"/>
        <w:spacing w:after="100" w:before="200"/>
      </w:pPr>
      <w:r>
        <w:rPr>
          <w:b/>
          <w:bCs/>
          <w:color w:val="374151"/>
          <w:sz w:val="21"/>
          <w:szCs w:val="21"/>
        </w:rPr>
        <w:t xml:space="preserve">هل أقوم Pivot؟</w:t>
      </w:r>
    </w:p>
    <w:p>
      <w:pPr>
        <w:bidi/>
        <w:spacing w:after="140" w:line="300"/>
        <w:jc w:val="right"/>
      </w:pPr>
      <w:r>
        <w:rPr>
          <w:sz w:val="22"/>
          <w:szCs w:val="22"/>
          <w:rtl/>
        </w:rPr>
        <w:t xml:space="preserve">نعم. من Sampling إلى Consumer Intelligence.</w:t>
      </w:r>
    </w:p>
    <w:p>
      <w:r>
        <w:br w:type="page"/>
      </w:r>
    </w:p>
    <w:p>
      <w:pPr>
        <w:pStyle w:val="Heading2"/>
        <w:spacing w:after="140" w:before="280"/>
      </w:pPr>
      <w:r>
        <w:rPr>
          <w:b/>
          <w:bCs/>
          <w:color w:val="1F2A44"/>
          <w:sz w:val="24"/>
          <w:szCs w:val="24"/>
        </w:rPr>
        <w:t xml:space="preserve">PHASE 17 — Challenge the Idea</w:t>
      </w:r>
    </w:p>
    <w:p>
      <w:pPr>
        <w:bidi/>
        <w:spacing w:after="140" w:line="300"/>
        <w:jc w:val="right"/>
      </w:pPr>
      <w:r>
        <w:rPr>
          <w:i/>
          <w:iCs/>
          <w:sz w:val="22"/>
          <w:szCs w:val="22"/>
          <w:rtl/>
        </w:rPr>
        <w:t xml:space="preserve">هذه أهم مرحلة. هنا سأحاول قتل المشروع.</w:t>
      </w:r>
    </w:p>
    <w:p>
      <w:pPr>
        <w:pStyle w:val="Heading3"/>
        <w:spacing w:after="100" w:before="200"/>
      </w:pPr>
      <w:r>
        <w:rPr>
          <w:b/>
          <w:bCs/>
          <w:color w:val="374151"/>
          <w:sz w:val="21"/>
          <w:szCs w:val="21"/>
        </w:rPr>
        <w:t xml:space="preserve">السبب الأول</w:t>
      </w:r>
    </w:p>
    <w:p>
      <w:pPr>
        <w:bidi/>
        <w:spacing w:after="140" w:line="300"/>
        <w:jc w:val="right"/>
      </w:pPr>
      <w:r>
        <w:rPr>
          <w:sz w:val="22"/>
          <w:szCs w:val="22"/>
          <w:rtl/>
        </w:rPr>
        <w:t xml:space="preserve">الناس لا يهتمون بالاستبيانات. الحقيقة: الناس يحبون العينات، لكن لا يحبون الاستبيانات الطويلة. الحل: 30 ثانية فقط.</w:t>
      </w:r>
    </w:p>
    <w:p>
      <w:pPr>
        <w:pStyle w:val="Heading3"/>
        <w:spacing w:after="100" w:before="200"/>
      </w:pPr>
      <w:r>
        <w:rPr>
          <w:b/>
          <w:bCs/>
          <w:color w:val="374151"/>
          <w:sz w:val="21"/>
          <w:szCs w:val="21"/>
        </w:rPr>
        <w:t xml:space="preserve">السبب الثاني</w:t>
      </w:r>
    </w:p>
    <w:p>
      <w:pPr>
        <w:bidi/>
        <w:spacing w:after="140" w:line="300"/>
        <w:jc w:val="right"/>
      </w:pPr>
      <w:r>
        <w:rPr>
          <w:sz w:val="22"/>
          <w:szCs w:val="22"/>
          <w:rtl/>
        </w:rPr>
        <w:t xml:space="preserve">الشركات قد تقول: لدينا Nielsen، لماذا نحتاجكم؟ يجب أن تثبت أنك أسرع وأرخص وأدق.</w:t>
      </w:r>
    </w:p>
    <w:p>
      <w:pPr>
        <w:pStyle w:val="Heading3"/>
        <w:spacing w:after="100" w:before="200"/>
      </w:pPr>
      <w:r>
        <w:rPr>
          <w:b/>
          <w:bCs/>
          <w:color w:val="374151"/>
          <w:sz w:val="21"/>
          <w:szCs w:val="21"/>
        </w:rPr>
        <w:t xml:space="preserve">السبب الثالث</w:t>
      </w:r>
    </w:p>
    <w:p>
      <w:pPr>
        <w:bidi/>
        <w:spacing w:after="140" w:line="300"/>
        <w:jc w:val="right"/>
      </w:pPr>
      <w:r>
        <w:rPr>
          <w:sz w:val="22"/>
          <w:szCs w:val="22"/>
          <w:rtl/>
        </w:rPr>
        <w:t xml:space="preserve">اللوجستيات قد تستهلك كل الأرباح. إذا امتلكت مخازن وسيارات وموظفين سيصبح المشروع شركة توزيع — وهذا ليس ما نريد.</w:t>
      </w:r>
    </w:p>
    <w:p>
      <w:pPr>
        <w:pStyle w:val="Heading3"/>
        <w:spacing w:after="100" w:before="200"/>
      </w:pPr>
      <w:r>
        <w:rPr>
          <w:b/>
          <w:bCs/>
          <w:color w:val="374151"/>
          <w:sz w:val="21"/>
          <w:szCs w:val="21"/>
        </w:rPr>
        <w:t xml:space="preserve">السبب الرابع</w:t>
      </w:r>
    </w:p>
    <w:p>
      <w:pPr>
        <w:bidi/>
        <w:spacing w:after="140" w:line="300"/>
        <w:jc w:val="right"/>
      </w:pPr>
      <w:r>
        <w:rPr>
          <w:sz w:val="22"/>
          <w:szCs w:val="22"/>
          <w:rtl/>
        </w:rPr>
        <w:t xml:space="preserve">CAC للمستهلك قد يصبح مرتفعاً جداً. إذا احتجت $10 لكل مستخدم فالمشروع سينهار.</w:t>
      </w:r>
    </w:p>
    <w:p>
      <w:pPr>
        <w:pStyle w:val="Heading3"/>
        <w:spacing w:after="100" w:before="200"/>
      </w:pPr>
      <w:r>
        <w:rPr>
          <w:b/>
          <w:bCs/>
          <w:color w:val="374151"/>
          <w:sz w:val="21"/>
          <w:szCs w:val="21"/>
        </w:rPr>
        <w:t xml:space="preserve">السبب الخامس</w:t>
      </w:r>
    </w:p>
    <w:p>
      <w:pPr>
        <w:bidi/>
        <w:spacing w:after="140" w:line="300"/>
        <w:jc w:val="right"/>
      </w:pPr>
      <w:r>
        <w:rPr>
          <w:sz w:val="22"/>
          <w:szCs w:val="22"/>
          <w:rtl/>
        </w:rPr>
        <w:t xml:space="preserve">العلامات التجارية قد تنسخ الفكرة. مثلاً Unilever تبني منصة داخلية — فتفقد أكبر عميل.</w:t>
      </w:r>
    </w:p>
    <w:p>
      <w:pPr>
        <w:pStyle w:val="Heading3"/>
        <w:spacing w:after="100" w:before="200"/>
      </w:pPr>
      <w:r>
        <w:rPr>
          <w:b/>
          <w:bCs/>
          <w:color w:val="374151"/>
          <w:sz w:val="21"/>
          <w:szCs w:val="21"/>
        </w:rPr>
        <w:t xml:space="preserve">السبب السادس</w:t>
      </w:r>
    </w:p>
    <w:p>
      <w:pPr>
        <w:bidi/>
        <w:spacing w:after="140" w:line="300"/>
        <w:jc w:val="right"/>
      </w:pPr>
      <w:r>
        <w:rPr>
          <w:sz w:val="22"/>
          <w:szCs w:val="22"/>
          <w:rtl/>
        </w:rPr>
        <w:t xml:space="preserve">المستخدم يسجل ثم يختفي. Retention منخفض. يجب أن يكون هناك سبب أسبوعي لفتح التطبيق.</w:t>
      </w:r>
    </w:p>
    <w:p>
      <w:pPr>
        <w:pStyle w:val="Heading3"/>
        <w:spacing w:after="100" w:before="200"/>
      </w:pPr>
      <w:r>
        <w:rPr>
          <w:b/>
          <w:bCs/>
          <w:color w:val="374151"/>
          <w:sz w:val="21"/>
          <w:szCs w:val="21"/>
        </w:rPr>
        <w:t xml:space="preserve">السبب السابع</w:t>
      </w:r>
    </w:p>
    <w:p>
      <w:pPr>
        <w:bidi/>
        <w:spacing w:after="140" w:line="300"/>
        <w:jc w:val="right"/>
      </w:pPr>
      <w:r>
        <w:rPr>
          <w:sz w:val="22"/>
          <w:szCs w:val="22"/>
          <w:rtl/>
        </w:rPr>
        <w:t xml:space="preserve">البيانات قد تكون غير صادقة. بعض الناس سيجيبون بسرعة للحصول على المكافأة. الحل: AI Fraud Detection.</w:t>
      </w:r>
    </w:p>
    <w:p>
      <w:pPr>
        <w:pStyle w:val="Heading3"/>
        <w:spacing w:after="100" w:before="200"/>
      </w:pPr>
      <w:r>
        <w:rPr>
          <w:b/>
          <w:bCs/>
          <w:color w:val="374151"/>
          <w:sz w:val="21"/>
          <w:szCs w:val="21"/>
        </w:rPr>
        <w:t xml:space="preserve">السبب الثامن</w:t>
      </w:r>
    </w:p>
    <w:p>
      <w:pPr>
        <w:bidi/>
        <w:spacing w:after="140" w:line="300"/>
        <w:jc w:val="right"/>
      </w:pPr>
      <w:r>
        <w:rPr>
          <w:sz w:val="22"/>
          <w:szCs w:val="22"/>
          <w:rtl/>
        </w:rPr>
        <w:t xml:space="preserve">قد تصبح مجرد BTL Agency — وهذا أخطر شيء. إذا أصبحت Activation Company فالتقييم سيكون منخفضاً. أما إذا أصبحت Data Company فالتقييم قد يصبح 10× أعلى.</w:t>
      </w:r>
    </w:p>
    <w:p>
      <w:pPr>
        <w:pStyle w:val="Heading3"/>
        <w:spacing w:after="100" w:before="200"/>
      </w:pPr>
      <w:r>
        <w:rPr>
          <w:b/>
          <w:bCs/>
          <w:color w:val="374151"/>
          <w:sz w:val="21"/>
          <w:szCs w:val="21"/>
        </w:rPr>
        <w:t xml:space="preserve">أكبر Blind Spot</w:t>
      </w:r>
    </w:p>
    <w:p>
      <w:pPr>
        <w:bidi/>
        <w:spacing w:after="140" w:line="300"/>
        <w:jc w:val="right"/>
      </w:pPr>
      <w:r>
        <w:rPr>
          <w:b/>
          <w:bCs/>
          <w:sz w:val="22"/>
          <w:szCs w:val="22"/>
          <w:rtl/>
        </w:rPr>
        <w:t xml:space="preserve">الجميع يعتقد أن العميل هو المستهلك. الحقيقة: المستهلك ليس العميل، هو المنتج. العميل الحقيقي هو Brand Manager. إذا لم يفهم الفريق هذه النقطة سيفشل المشروع.</w:t>
      </w:r>
    </w:p>
    <w:p>
      <w:pPr>
        <w:pStyle w:val="Heading3"/>
        <w:spacing w:after="100" w:before="200"/>
      </w:pPr>
      <w:r>
        <w:rPr>
          <w:b/>
          <w:bCs/>
          <w:color w:val="374151"/>
          <w:sz w:val="21"/>
          <w:szCs w:val="21"/>
        </w:rPr>
        <w:t xml:space="preserve">أكبر فرصة غير مستغلة</w:t>
      </w:r>
    </w:p>
    <w:p>
      <w:pPr>
        <w:bidi/>
        <w:spacing w:after="140" w:line="300"/>
        <w:jc w:val="right"/>
      </w:pPr>
      <w:r>
        <w:rPr>
          <w:sz w:val="22"/>
          <w:szCs w:val="22"/>
          <w:rtl/>
        </w:rPr>
        <w:t xml:space="preserve">ليس FMCG. بل: Healthcare، Insurance، Banking، Telecom، Automotive، Government، Education. كلهم يحتاجون Consumer Panels.</w:t>
      </w:r>
    </w:p>
    <w:p>
      <w:pPr>
        <w:pStyle w:val="Heading3"/>
        <w:spacing w:after="100" w:before="200"/>
      </w:pPr>
      <w:r>
        <w:rPr>
          <w:b/>
          <w:bCs/>
          <w:color w:val="374151"/>
          <w:sz w:val="21"/>
          <w:szCs w:val="21"/>
        </w:rPr>
        <w:t xml:space="preserve">أهم Pivot</w:t>
      </w:r>
    </w:p>
    <w:p>
      <w:pPr>
        <w:bidi/>
        <w:spacing w:after="140" w:line="300"/>
        <w:jc w:val="right"/>
      </w:pPr>
      <w:r>
        <w:rPr>
          <w:sz w:val="22"/>
          <w:szCs w:val="22"/>
          <w:rtl/>
        </w:rPr>
        <w:t xml:space="preserve">بعد سنتين قد تتوقف تماماً عن Sampling، وتبيع فقط Consumer Intelligence. وهذا يزيد قيمة الشركة.</w:t>
      </w:r>
    </w:p>
    <w:p>
      <w:r>
        <w:br w:type="page"/>
      </w:r>
    </w:p>
    <w:p>
      <w:pPr>
        <w:pStyle w:val="Heading2"/>
        <w:spacing w:after="140" w:before="280"/>
      </w:pPr>
      <w:r>
        <w:rPr>
          <w:b/>
          <w:bCs/>
          <w:color w:val="1F2A44"/>
          <w:sz w:val="24"/>
          <w:szCs w:val="24"/>
        </w:rPr>
        <w:t xml:space="preserve">PHASE 18 — Final Verdict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675"/>
        <w:gridCol w:w="2675"/>
      </w:tblGrid>
      <w:tr>
        <w:trPr>
          <w:tblHeader/>
        </w:trPr>
        <w:tc>
          <w:tcPr>
            <w:tcW w:type="dxa" w:w="6675"/>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2675"/>
            <w:shd w:fill="1F2A44" w:val="clear"/>
            <w:tcMar>
              <w:top w:type="dxa" w:w="100"/>
              <w:left w:type="dxa" w:w="120"/>
              <w:bottom w:type="dxa" w:w="100"/>
              <w:right w:type="dxa" w:w="120"/>
            </w:tcMar>
            <w:vAlign w:val="center"/>
          </w:tcPr>
          <w:p>
            <w:r>
              <w:rPr>
                <w:b/>
                <w:bCs/>
                <w:color w:val="FFFFFF"/>
                <w:sz w:val="19"/>
                <w:szCs w:val="19"/>
              </w:rPr>
              <w:t xml:space="preserve">Score</w:t>
            </w:r>
          </w:p>
        </w:tc>
      </w:tr>
      <w:tr>
        <w:tc>
          <w:tcPr>
            <w:tcW w:type="dxa" w:w="6675"/>
            <w:shd w:fill="FFFFFF" w:val="clear"/>
            <w:tcMar>
              <w:top w:type="dxa" w:w="90"/>
              <w:left w:type="dxa" w:w="120"/>
              <w:bottom w:type="dxa" w:w="90"/>
              <w:right w:type="dxa" w:w="120"/>
            </w:tcMar>
            <w:vAlign w:val="center"/>
          </w:tcPr>
          <w:p>
            <w:r>
              <w:rPr>
                <w:sz w:val="19"/>
                <w:szCs w:val="19"/>
              </w:rPr>
              <w:t xml:space="preserve">Investment Score</w:t>
            </w:r>
          </w:p>
        </w:tc>
        <w:tc>
          <w:tcPr>
            <w:tcW w:type="dxa" w:w="2675"/>
            <w:shd w:fill="FFFFFF" w:val="clear"/>
            <w:tcMar>
              <w:top w:type="dxa" w:w="90"/>
              <w:left w:type="dxa" w:w="120"/>
              <w:bottom w:type="dxa" w:w="90"/>
              <w:right w:type="dxa" w:w="120"/>
            </w:tcMar>
            <w:vAlign w:val="center"/>
          </w:tcPr>
          <w:p>
            <w:r>
              <w:rPr>
                <w:sz w:val="19"/>
                <w:szCs w:val="19"/>
              </w:rPr>
              <w:t xml:space="preserve">89 /100</w:t>
            </w:r>
          </w:p>
        </w:tc>
      </w:tr>
      <w:tr>
        <w:tc>
          <w:tcPr>
            <w:tcW w:type="dxa" w:w="6675"/>
            <w:shd w:fill="F2F2F2" w:val="clear"/>
            <w:tcMar>
              <w:top w:type="dxa" w:w="90"/>
              <w:left w:type="dxa" w:w="120"/>
              <w:bottom w:type="dxa" w:w="90"/>
              <w:right w:type="dxa" w:w="120"/>
            </w:tcMar>
            <w:vAlign w:val="center"/>
          </w:tcPr>
          <w:p>
            <w:r>
              <w:rPr>
                <w:sz w:val="19"/>
                <w:szCs w:val="19"/>
              </w:rPr>
              <w:t xml:space="preserve">Market Readiness</w:t>
            </w:r>
          </w:p>
        </w:tc>
        <w:tc>
          <w:tcPr>
            <w:tcW w:type="dxa" w:w="2675"/>
            <w:shd w:fill="F2F2F2" w:val="clear"/>
            <w:tcMar>
              <w:top w:type="dxa" w:w="90"/>
              <w:left w:type="dxa" w:w="120"/>
              <w:bottom w:type="dxa" w:w="90"/>
              <w:right w:type="dxa" w:w="120"/>
            </w:tcMar>
            <w:vAlign w:val="center"/>
          </w:tcPr>
          <w:p>
            <w:r>
              <w:rPr>
                <w:sz w:val="19"/>
                <w:szCs w:val="19"/>
              </w:rPr>
              <w:t xml:space="preserve">87 /100</w:t>
            </w:r>
          </w:p>
        </w:tc>
      </w:tr>
      <w:tr>
        <w:tc>
          <w:tcPr>
            <w:tcW w:type="dxa" w:w="6675"/>
            <w:shd w:fill="FFFFFF" w:val="clear"/>
            <w:tcMar>
              <w:top w:type="dxa" w:w="90"/>
              <w:left w:type="dxa" w:w="120"/>
              <w:bottom w:type="dxa" w:w="90"/>
              <w:right w:type="dxa" w:w="120"/>
            </w:tcMar>
            <w:vAlign w:val="center"/>
          </w:tcPr>
          <w:p>
            <w:r>
              <w:rPr>
                <w:sz w:val="19"/>
                <w:szCs w:val="19"/>
              </w:rPr>
              <w:t xml:space="preserve">Execution Difficulty</w:t>
            </w:r>
          </w:p>
        </w:tc>
        <w:tc>
          <w:tcPr>
            <w:tcW w:type="dxa" w:w="2675"/>
            <w:shd w:fill="FFFFFF" w:val="clear"/>
            <w:tcMar>
              <w:top w:type="dxa" w:w="90"/>
              <w:left w:type="dxa" w:w="120"/>
              <w:bottom w:type="dxa" w:w="90"/>
              <w:right w:type="dxa" w:w="120"/>
            </w:tcMar>
            <w:vAlign w:val="center"/>
          </w:tcPr>
          <w:p>
            <w:r>
              <w:rPr>
                <w:sz w:val="19"/>
                <w:szCs w:val="19"/>
              </w:rPr>
              <w:t xml:space="preserve">91 /100  (higher = harder)</w:t>
            </w:r>
          </w:p>
        </w:tc>
      </w:tr>
      <w:tr>
        <w:tc>
          <w:tcPr>
            <w:tcW w:type="dxa" w:w="6675"/>
            <w:shd w:fill="F2F2F2" w:val="clear"/>
            <w:tcMar>
              <w:top w:type="dxa" w:w="90"/>
              <w:left w:type="dxa" w:w="120"/>
              <w:bottom w:type="dxa" w:w="90"/>
              <w:right w:type="dxa" w:w="120"/>
            </w:tcMar>
            <w:vAlign w:val="center"/>
          </w:tcPr>
          <w:p>
            <w:r>
              <w:rPr>
                <w:sz w:val="19"/>
                <w:szCs w:val="19"/>
              </w:rPr>
              <w:t xml:space="preserve">Financial Attractiveness</w:t>
            </w:r>
          </w:p>
        </w:tc>
        <w:tc>
          <w:tcPr>
            <w:tcW w:type="dxa" w:w="2675"/>
            <w:shd w:fill="F2F2F2" w:val="clear"/>
            <w:tcMar>
              <w:top w:type="dxa" w:w="90"/>
              <w:left w:type="dxa" w:w="120"/>
              <w:bottom w:type="dxa" w:w="90"/>
              <w:right w:type="dxa" w:w="120"/>
            </w:tcMar>
            <w:vAlign w:val="center"/>
          </w:tcPr>
          <w:p>
            <w:r>
              <w:rPr>
                <w:sz w:val="19"/>
                <w:szCs w:val="19"/>
              </w:rPr>
              <w:t xml:space="preserve">84 /100</w:t>
            </w:r>
          </w:p>
        </w:tc>
      </w:tr>
      <w:tr>
        <w:tc>
          <w:tcPr>
            <w:tcW w:type="dxa" w:w="6675"/>
            <w:shd w:fill="FFFFFF" w:val="clear"/>
            <w:tcMar>
              <w:top w:type="dxa" w:w="90"/>
              <w:left w:type="dxa" w:w="120"/>
              <w:bottom w:type="dxa" w:w="90"/>
              <w:right w:type="dxa" w:w="120"/>
            </w:tcMar>
            <w:vAlign w:val="center"/>
          </w:tcPr>
          <w:p>
            <w:r>
              <w:rPr>
                <w:sz w:val="19"/>
                <w:szCs w:val="19"/>
              </w:rPr>
              <w:t xml:space="preserve">Scalability</w:t>
            </w:r>
          </w:p>
        </w:tc>
        <w:tc>
          <w:tcPr>
            <w:tcW w:type="dxa" w:w="2675"/>
            <w:shd w:fill="FFFFFF" w:val="clear"/>
            <w:tcMar>
              <w:top w:type="dxa" w:w="90"/>
              <w:left w:type="dxa" w:w="120"/>
              <w:bottom w:type="dxa" w:w="90"/>
              <w:right w:type="dxa" w:w="120"/>
            </w:tcMar>
            <w:vAlign w:val="center"/>
          </w:tcPr>
          <w:p>
            <w:r>
              <w:rPr>
                <w:sz w:val="19"/>
                <w:szCs w:val="19"/>
              </w:rPr>
              <w:t xml:space="preserve">95 /100</w:t>
            </w:r>
          </w:p>
        </w:tc>
      </w:tr>
      <w:tr>
        <w:tc>
          <w:tcPr>
            <w:tcW w:type="dxa" w:w="6675"/>
            <w:shd w:fill="F2F2F2" w:val="clear"/>
            <w:tcMar>
              <w:top w:type="dxa" w:w="90"/>
              <w:left w:type="dxa" w:w="120"/>
              <w:bottom w:type="dxa" w:w="90"/>
              <w:right w:type="dxa" w:w="120"/>
            </w:tcMar>
            <w:vAlign w:val="center"/>
          </w:tcPr>
          <w:p>
            <w:r>
              <w:rPr>
                <w:sz w:val="19"/>
                <w:szCs w:val="19"/>
              </w:rPr>
              <w:t xml:space="preserve">Competitive Advantage — current</w:t>
            </w:r>
          </w:p>
        </w:tc>
        <w:tc>
          <w:tcPr>
            <w:tcW w:type="dxa" w:w="2675"/>
            <w:shd w:fill="F2F2F2" w:val="clear"/>
            <w:tcMar>
              <w:top w:type="dxa" w:w="90"/>
              <w:left w:type="dxa" w:w="120"/>
              <w:bottom w:type="dxa" w:w="90"/>
              <w:right w:type="dxa" w:w="120"/>
            </w:tcMar>
            <w:vAlign w:val="center"/>
          </w:tcPr>
          <w:p>
            <w:r>
              <w:rPr>
                <w:sz w:val="19"/>
                <w:szCs w:val="19"/>
              </w:rPr>
              <w:t xml:space="preserve">65 /100</w:t>
            </w:r>
          </w:p>
        </w:tc>
      </w:tr>
      <w:tr>
        <w:tc>
          <w:tcPr>
            <w:tcW w:type="dxa" w:w="6675"/>
            <w:shd w:fill="FFFFFF" w:val="clear"/>
            <w:tcMar>
              <w:top w:type="dxa" w:w="90"/>
              <w:left w:type="dxa" w:w="120"/>
              <w:bottom w:type="dxa" w:w="90"/>
              <w:right w:type="dxa" w:w="120"/>
            </w:tcMar>
            <w:vAlign w:val="center"/>
          </w:tcPr>
          <w:p>
            <w:r>
              <w:rPr>
                <w:sz w:val="19"/>
                <w:szCs w:val="19"/>
              </w:rPr>
              <w:t xml:space="preserve">Competitive Advantage — after building data base</w:t>
            </w:r>
          </w:p>
        </w:tc>
        <w:tc>
          <w:tcPr>
            <w:tcW w:type="dxa" w:w="2675"/>
            <w:shd w:fill="FFFFFF" w:val="clear"/>
            <w:tcMar>
              <w:top w:type="dxa" w:w="90"/>
              <w:left w:type="dxa" w:w="120"/>
              <w:bottom w:type="dxa" w:w="90"/>
              <w:right w:type="dxa" w:w="120"/>
            </w:tcMar>
            <w:vAlign w:val="center"/>
          </w:tcPr>
          <w:p>
            <w:r>
              <w:rPr>
                <w:sz w:val="19"/>
                <w:szCs w:val="19"/>
              </w:rPr>
              <w:t xml:space="preserve">92 /100</w:t>
            </w:r>
          </w:p>
        </w:tc>
      </w:tr>
      <w:tr>
        <w:tc>
          <w:tcPr>
            <w:tcW w:type="dxa" w:w="6675"/>
            <w:shd w:fill="F2F2F2" w:val="clear"/>
            <w:tcMar>
              <w:top w:type="dxa" w:w="90"/>
              <w:left w:type="dxa" w:w="120"/>
              <w:bottom w:type="dxa" w:w="90"/>
              <w:right w:type="dxa" w:w="120"/>
            </w:tcMar>
            <w:vAlign w:val="center"/>
          </w:tcPr>
          <w:p>
            <w:r>
              <w:rPr>
                <w:sz w:val="19"/>
                <w:szCs w:val="19"/>
              </w:rPr>
              <w:t xml:space="preserve">Technology Complexity</w:t>
            </w:r>
          </w:p>
        </w:tc>
        <w:tc>
          <w:tcPr>
            <w:tcW w:type="dxa" w:w="2675"/>
            <w:shd w:fill="F2F2F2" w:val="clear"/>
            <w:tcMar>
              <w:top w:type="dxa" w:w="90"/>
              <w:left w:type="dxa" w:w="120"/>
              <w:bottom w:type="dxa" w:w="90"/>
              <w:right w:type="dxa" w:w="120"/>
            </w:tcMar>
            <w:vAlign w:val="center"/>
          </w:tcPr>
          <w:p>
            <w:r>
              <w:rPr>
                <w:sz w:val="19"/>
                <w:szCs w:val="19"/>
              </w:rPr>
              <w:t xml:space="preserve">84 /100</w:t>
            </w:r>
          </w:p>
        </w:tc>
      </w:tr>
      <w:tr>
        <w:tc>
          <w:tcPr>
            <w:tcW w:type="dxa" w:w="6675"/>
            <w:shd w:fill="FFFFFF" w:val="clear"/>
            <w:tcMar>
              <w:top w:type="dxa" w:w="90"/>
              <w:left w:type="dxa" w:w="120"/>
              <w:bottom w:type="dxa" w:w="90"/>
              <w:right w:type="dxa" w:w="120"/>
            </w:tcMar>
            <w:vAlign w:val="center"/>
          </w:tcPr>
          <w:p>
            <w:r>
              <w:rPr>
                <w:sz w:val="19"/>
                <w:szCs w:val="19"/>
              </w:rPr>
              <w:t xml:space="preserve">Operational Complexity</w:t>
            </w:r>
          </w:p>
        </w:tc>
        <w:tc>
          <w:tcPr>
            <w:tcW w:type="dxa" w:w="2675"/>
            <w:shd w:fill="FFFFFF" w:val="clear"/>
            <w:tcMar>
              <w:top w:type="dxa" w:w="90"/>
              <w:left w:type="dxa" w:w="120"/>
              <w:bottom w:type="dxa" w:w="90"/>
              <w:right w:type="dxa" w:w="120"/>
            </w:tcMar>
            <w:vAlign w:val="center"/>
          </w:tcPr>
          <w:p>
            <w:r>
              <w:rPr>
                <w:sz w:val="19"/>
                <w:szCs w:val="19"/>
              </w:rPr>
              <w:t xml:space="preserve">93 /100</w:t>
            </w:r>
          </w:p>
        </w:tc>
      </w:tr>
      <w:tr>
        <w:tc>
          <w:tcPr>
            <w:tcW w:type="dxa" w:w="6675"/>
            <w:shd w:fill="F2F2F2" w:val="clear"/>
            <w:tcMar>
              <w:top w:type="dxa" w:w="90"/>
              <w:left w:type="dxa" w:w="120"/>
              <w:bottom w:type="dxa" w:w="90"/>
              <w:right w:type="dxa" w:w="120"/>
            </w:tcMar>
            <w:vAlign w:val="center"/>
          </w:tcPr>
          <w:p>
            <w:r>
              <w:rPr>
                <w:sz w:val="19"/>
                <w:szCs w:val="19"/>
              </w:rPr>
              <w:t xml:space="preserve">Fundability</w:t>
            </w:r>
          </w:p>
        </w:tc>
        <w:tc>
          <w:tcPr>
            <w:tcW w:type="dxa" w:w="2675"/>
            <w:shd w:fill="F2F2F2" w:val="clear"/>
            <w:tcMar>
              <w:top w:type="dxa" w:w="90"/>
              <w:left w:type="dxa" w:w="120"/>
              <w:bottom w:type="dxa" w:w="90"/>
              <w:right w:type="dxa" w:w="120"/>
            </w:tcMar>
            <w:vAlign w:val="center"/>
          </w:tcPr>
          <w:p>
            <w:r>
              <w:rPr>
                <w:sz w:val="19"/>
                <w:szCs w:val="19"/>
              </w:rPr>
              <w:t xml:space="preserve">88 /100</w:t>
            </w:r>
          </w:p>
        </w:tc>
      </w:tr>
    </w:tbl>
    <w:p>
      <w:pPr>
        <w:spacing w:after="140" w:line="276"/>
      </w:pPr>
      <w:r>
        <w:rPr>
          <w:sz w:val="21"/>
          <w:szCs w:val="21"/>
        </w:rPr>
        <w:t xml:space="preserve">VC Interest: مرتفع، إذا أثبتت Network Effects.</w:t>
      </w:r>
    </w:p>
    <w:p>
      <w:pPr>
        <w:pStyle w:val="Heading3"/>
        <w:spacing w:after="100" w:before="200"/>
      </w:pPr>
      <w:r>
        <w:rPr>
          <w:b/>
          <w:bCs/>
          <w:color w:val="374151"/>
          <w:sz w:val="21"/>
          <w:szCs w:val="21"/>
        </w:rPr>
        <w:t xml:space="preserve">احتمالية النجاح</w:t>
      </w:r>
    </w:p>
    <w:p>
      <w:pPr>
        <w:bidi/>
        <w:spacing w:after="140" w:line="300"/>
        <w:jc w:val="right"/>
      </w:pPr>
      <w:r>
        <w:rPr>
          <w:sz w:val="22"/>
          <w:szCs w:val="22"/>
          <w:rtl/>
        </w:rPr>
        <w:t xml:space="preserve">إذا نفذت النسخة الإسبانية: ≈40–50%.</w:t>
      </w:r>
    </w:p>
    <w:p>
      <w:pPr>
        <w:bidi/>
        <w:spacing w:after="140" w:line="300"/>
        <w:jc w:val="right"/>
      </w:pPr>
      <w:r>
        <w:rPr>
          <w:sz w:val="22"/>
          <w:szCs w:val="22"/>
          <w:rtl/>
        </w:rPr>
        <w:t xml:space="preserve">إذا نفذت النسخة المطورة: ≈70–80%.</w:t>
      </w:r>
    </w:p>
    <w:p>
      <w:pPr>
        <w:bidi/>
        <w:spacing w:after="140" w:line="300"/>
        <w:jc w:val="right"/>
      </w:pPr>
      <w:r>
        <w:rPr>
          <w:sz w:val="22"/>
          <w:szCs w:val="22"/>
          <w:rtl/>
        </w:rPr>
        <w:t xml:space="preserve">إذا بنيت منصة بيانات كاملة، قد تتجاوز 85% مع تنفيذ ممتاز.</w:t>
      </w:r>
    </w:p>
    <w:p>
      <w:pPr>
        <w:pStyle w:val="Heading3"/>
        <w:spacing w:after="100" w:before="200"/>
      </w:pPr>
      <w:r>
        <w:rPr>
          <w:b/>
          <w:bCs/>
          <w:color w:val="374151"/>
          <w:sz w:val="21"/>
          <w:szCs w:val="21"/>
        </w:rPr>
        <w:t xml:space="preserve">القرار النهائي</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القرار</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النتيجة</w:t>
            </w:r>
          </w:p>
        </w:tc>
      </w:tr>
      <w:tr>
        <w:tc>
          <w:tcPr>
            <w:tcW w:type="dxa" w:w="4675"/>
            <w:shd w:fill="FFFFFF" w:val="clear"/>
            <w:tcMar>
              <w:top w:type="dxa" w:w="90"/>
              <w:left w:type="dxa" w:w="120"/>
              <w:bottom w:type="dxa" w:w="90"/>
              <w:right w:type="dxa" w:w="120"/>
            </w:tcMar>
            <w:vAlign w:val="center"/>
          </w:tcPr>
          <w:p>
            <w:r>
              <w:rPr>
                <w:sz w:val="19"/>
                <w:szCs w:val="19"/>
              </w:rPr>
              <w:t xml:space="preserve">Build Immediately</w:t>
            </w:r>
          </w:p>
        </w:tc>
        <w:tc>
          <w:tcPr>
            <w:tcW w:type="dxa" w:w="4675"/>
            <w:shd w:fill="FFFFFF" w:val="clear"/>
            <w:tcMar>
              <w:top w:type="dxa" w:w="90"/>
              <w:left w:type="dxa" w:w="120"/>
              <w:bottom w:type="dxa" w:w="90"/>
              <w:right w:type="dxa" w:w="120"/>
            </w:tcMar>
            <w:vAlign w:val="center"/>
          </w:tcPr>
          <w:p>
            <w:r>
              <w:rPr>
                <w:sz w:val="19"/>
                <w:szCs w:val="19"/>
              </w:rPr>
              <w:t xml:space="preserve">❌</w:t>
            </w:r>
          </w:p>
        </w:tc>
      </w:tr>
      <w:tr>
        <w:tc>
          <w:tcPr>
            <w:tcW w:type="dxa" w:w="4675"/>
            <w:shd w:fill="F2F2F2" w:val="clear"/>
            <w:tcMar>
              <w:top w:type="dxa" w:w="90"/>
              <w:left w:type="dxa" w:w="120"/>
              <w:bottom w:type="dxa" w:w="90"/>
              <w:right w:type="dxa" w:w="120"/>
            </w:tcMar>
            <w:vAlign w:val="center"/>
          </w:tcPr>
          <w:p>
            <w:r>
              <w:rPr>
                <w:sz w:val="19"/>
                <w:szCs w:val="19"/>
              </w:rPr>
              <w:t xml:space="preserve">Build With Modifications</w:t>
            </w:r>
          </w:p>
        </w:tc>
        <w:tc>
          <w:tcPr>
            <w:tcW w:type="dxa" w:w="4675"/>
            <w:shd w:fill="F2F2F2" w:val="clear"/>
            <w:tcMar>
              <w:top w:type="dxa" w:w="90"/>
              <w:left w:type="dxa" w:w="120"/>
              <w:bottom w:type="dxa" w:w="90"/>
              <w:right w:type="dxa" w:w="120"/>
            </w:tcMar>
            <w:vAlign w:val="center"/>
          </w:tcPr>
          <w:p>
            <w:r>
              <w:rPr>
                <w:sz w:val="19"/>
                <w:szCs w:val="19"/>
              </w:rPr>
              <w:t xml:space="preserve">✅ Recommended</w:t>
            </w:r>
          </w:p>
        </w:tc>
      </w:tr>
      <w:tr>
        <w:tc>
          <w:tcPr>
            <w:tcW w:type="dxa" w:w="4675"/>
            <w:shd w:fill="FFFFFF" w:val="clear"/>
            <w:tcMar>
              <w:top w:type="dxa" w:w="90"/>
              <w:left w:type="dxa" w:w="120"/>
              <w:bottom w:type="dxa" w:w="90"/>
              <w:right w:type="dxa" w:w="120"/>
            </w:tcMar>
            <w:vAlign w:val="center"/>
          </w:tcPr>
          <w:p>
            <w:r>
              <w:rPr>
                <w:sz w:val="19"/>
                <w:szCs w:val="19"/>
              </w:rPr>
              <w:t xml:space="preserve">Build Later</w:t>
            </w:r>
          </w:p>
        </w:tc>
        <w:tc>
          <w:tcPr>
            <w:tcW w:type="dxa" w:w="4675"/>
            <w:shd w:fill="FFFFFF" w:val="clear"/>
            <w:tcMar>
              <w:top w:type="dxa" w:w="90"/>
              <w:left w:type="dxa" w:w="120"/>
              <w:bottom w:type="dxa" w:w="90"/>
              <w:right w:type="dxa" w:w="120"/>
            </w:tcMar>
            <w:vAlign w:val="center"/>
          </w:tcPr>
          <w:p>
            <w:r>
              <w:rPr>
                <w:sz w:val="19"/>
                <w:szCs w:val="19"/>
              </w:rPr>
              <w:t xml:space="preserve">❌</w:t>
            </w:r>
          </w:p>
        </w:tc>
      </w:tr>
      <w:tr>
        <w:tc>
          <w:tcPr>
            <w:tcW w:type="dxa" w:w="4675"/>
            <w:shd w:fill="F2F2F2" w:val="clear"/>
            <w:tcMar>
              <w:top w:type="dxa" w:w="90"/>
              <w:left w:type="dxa" w:w="120"/>
              <w:bottom w:type="dxa" w:w="90"/>
              <w:right w:type="dxa" w:w="120"/>
            </w:tcMar>
            <w:vAlign w:val="center"/>
          </w:tcPr>
          <w:p>
            <w:r>
              <w:rPr>
                <w:sz w:val="19"/>
                <w:szCs w:val="19"/>
              </w:rPr>
              <w:t xml:space="preserve">Reject</w:t>
            </w:r>
          </w:p>
        </w:tc>
        <w:tc>
          <w:tcPr>
            <w:tcW w:type="dxa" w:w="4675"/>
            <w:shd w:fill="F2F2F2" w:val="clear"/>
            <w:tcMar>
              <w:top w:type="dxa" w:w="90"/>
              <w:left w:type="dxa" w:w="120"/>
              <w:bottom w:type="dxa" w:w="90"/>
              <w:right w:type="dxa" w:w="120"/>
            </w:tcMar>
            <w:vAlign w:val="center"/>
          </w:tcPr>
          <w:p>
            <w:r>
              <w:rPr>
                <w:sz w:val="19"/>
                <w:szCs w:val="19"/>
              </w:rPr>
              <w:t xml:space="preserve">❌</w:t>
            </w:r>
          </w:p>
        </w:tc>
      </w:tr>
    </w:tbl>
    <w:p>
      <w:pPr>
        <w:pStyle w:val="Heading2"/>
        <w:spacing w:after="140" w:before="280"/>
      </w:pPr>
      <w:r>
        <w:rPr>
          <w:b/>
          <w:bCs/>
          <w:color w:val="1F2A44"/>
          <w:sz w:val="24"/>
          <w:szCs w:val="24"/>
        </w:rPr>
        <w:t xml:space="preserve">أكبر اكتشاف في الدراسة</w:t>
      </w:r>
    </w:p>
    <w:p>
      <w:pPr>
        <w:bidi/>
        <w:spacing w:after="140" w:line="300"/>
        <w:jc w:val="right"/>
      </w:pPr>
      <w:r>
        <w:rPr>
          <w:sz w:val="22"/>
          <w:szCs w:val="22"/>
          <w:rtl/>
        </w:rPr>
        <w:t xml:space="preserve">بعد مراجعة الفكرة، أرى أن توزيع العينات ليس النشاط الأساسي.</w:t>
      </w:r>
    </w:p>
    <w:p>
      <w:pPr>
        <w:bidi/>
        <w:spacing w:after="140" w:line="300"/>
        <w:jc w:val="right"/>
      </w:pPr>
      <w:r>
        <w:rPr>
          <w:b/>
          <w:bCs/>
          <w:sz w:val="22"/>
          <w:szCs w:val="22"/>
          <w:rtl/>
        </w:rPr>
        <w:t xml:space="preserve">النشاط الحقيقي هو إنشاء أكبر طبقة بيانات استهلاكية (Consumer Data Layer) في مصر.</w:t>
      </w:r>
    </w:p>
    <w:p>
      <w:pPr>
        <w:bidi/>
        <w:spacing w:after="140" w:line="300"/>
        <w:jc w:val="right"/>
      </w:pPr>
      <w:r>
        <w:rPr>
          <w:sz w:val="22"/>
          <w:szCs w:val="22"/>
          <w:rtl/>
        </w:rPr>
        <w:t xml:space="preserve">بمجرد وصول المنصة إلى مئات الآلاف من المستخدمين الموثقين مع سجل مستمر من تفضيلاتهم وسلوكهم، تتحول إلى أصل استراتيجي يصعب على المنافسين تقليده.</w:t>
      </w:r>
    </w:p>
    <w:p>
      <w:pPr>
        <w:pStyle w:val="Heading3"/>
        <w:spacing w:after="100" w:before="200"/>
      </w:pPr>
      <w:r>
        <w:rPr>
          <w:b/>
          <w:bCs/>
          <w:color w:val="374151"/>
          <w:sz w:val="21"/>
          <w:szCs w:val="21"/>
        </w:rPr>
        <w:t xml:space="preserve">إذا كنت أنا المؤسس...</w:t>
      </w:r>
    </w:p>
    <w:p>
      <w:pPr>
        <w:bidi/>
        <w:spacing w:after="140" w:line="300"/>
        <w:jc w:val="right"/>
      </w:pPr>
      <w:r>
        <w:rPr>
          <w:sz w:val="22"/>
          <w:szCs w:val="22"/>
          <w:rtl/>
        </w:rPr>
        <w:t xml:space="preserve">لن أسمي الشركة: منصة توزيع عينات. بل سأعرفها بأنها:</w:t>
      </w:r>
    </w:p>
    <w:p>
      <w:pPr>
        <w:spacing w:after="140" w:line="276"/>
      </w:pPr>
      <w:r>
        <w:rPr>
          <w:b/>
          <w:bCs/>
          <w:color w:val="1F2A44"/>
          <w:sz w:val="21"/>
          <w:szCs w:val="21"/>
        </w:rPr>
        <w:t xml:space="preserve">AI Consumer Intelligence Platform for the MENA Region</w:t>
      </w:r>
    </w:p>
    <w:p>
      <w:pPr>
        <w:bidi/>
        <w:spacing w:after="140" w:line="300"/>
        <w:jc w:val="right"/>
      </w:pPr>
      <w:r>
        <w:rPr>
          <w:sz w:val="22"/>
          <w:szCs w:val="22"/>
          <w:rtl/>
        </w:rPr>
        <w:t xml:space="preserve">وسيكون توزيع العينات مجرد وسيلة منخفضة التكلفة لاكتساب بيانات عالية القيمة، وليس المنتج النهائي.</w:t>
      </w:r>
    </w:p>
    <w:p>
      <w:pPr>
        <w:pStyle w:val="Heading2"/>
        <w:spacing w:after="140" w:before="280"/>
      </w:pPr>
      <w:r>
        <w:rPr>
          <w:b/>
          <w:bCs/>
          <w:color w:val="1F2A44"/>
          <w:sz w:val="24"/>
          <w:szCs w:val="24"/>
        </w:rPr>
        <w:t xml:space="preserve">الخلاصة كرئيس لجنة استثمار</w:t>
      </w:r>
    </w:p>
    <w:p>
      <w:pPr>
        <w:bidi/>
        <w:spacing w:after="140" w:line="300"/>
        <w:jc w:val="right"/>
      </w:pPr>
      <w:r>
        <w:rPr>
          <w:sz w:val="22"/>
          <w:szCs w:val="22"/>
          <w:rtl/>
        </w:rPr>
        <w:t xml:space="preserve">لو وصل هذا المشروع إلى لجنة استثمار، فلن أوصي بتمويله في صورته الحالية، لكنني سأوصي بتمويله بعد إعادة تصميمه كنظام بيانات وتحليلات مدعوم بالذكاء الاصطناعي مع إثبات أولي لطلب السوق من الشركات.</w:t>
      </w:r>
    </w:p>
    <w:tbl>
      <w:tblPr>
        <w:tblW w:type="pct" w:w="100%"/>
        <w:tblBorders>
          <w:top w:val="single" w:color="1F2A44" w:sz="6"/>
          <w:left w:val="single" w:color="1F2A44" w:sz="6"/>
          <w:bottom w:val="single" w:color="1F2A44" w:sz="6"/>
          <w:right w:val="single" w:color="1F2A44"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bidi/>
              <w:spacing w:after="100"/>
              <w:jc w:val="right"/>
            </w:pPr>
            <w:r>
              <w:rPr>
                <w:b/>
                <w:bCs/>
                <w:color w:val="1F2A44"/>
                <w:sz w:val="23"/>
                <w:szCs w:val="23"/>
                <w:rtl/>
              </w:rPr>
              <w:t xml:space="preserve">التقييم النهائي للمشروع</w:t>
            </w:r>
          </w:p>
          <w:p>
            <w:pPr>
              <w:bidi/>
              <w:spacing w:after="60"/>
              <w:jc w:val="right"/>
            </w:pPr>
            <w:r>
              <w:rPr>
                <w:sz w:val="21"/>
                <w:szCs w:val="21"/>
                <w:rtl/>
              </w:rPr>
              <w:t xml:space="preserve">• A- (Strong Opportunity with High Execution Risk)</w:t>
            </w:r>
          </w:p>
        </w:tc>
      </w:tr>
    </w:tbl>
    <w:p>
      <w:pPr>
        <w:pStyle w:val="Heading3"/>
        <w:spacing w:after="100" w:before="200"/>
      </w:pPr>
      <w:r>
        <w:rPr>
          <w:b/>
          <w:bCs/>
          <w:color w:val="374151"/>
          <w:sz w:val="21"/>
          <w:szCs w:val="21"/>
        </w:rPr>
        <w:t xml:space="preserve">توصية إضافية</w:t>
      </w:r>
    </w:p>
    <w:p>
      <w:pPr>
        <w:bidi/>
        <w:spacing w:after="140" w:line="300"/>
        <w:jc w:val="right"/>
      </w:pPr>
      <w:r>
        <w:rPr>
          <w:b/>
          <w:bCs/>
          <w:sz w:val="22"/>
          <w:szCs w:val="22"/>
          <w:rtl/>
        </w:rPr>
        <w:t xml:space="preserve">هناك نقطة واحدة لم نتعمق فيها بعد، وأعتقد أنها قد تضاعف قيمة المشروع إذا نُفذت جيدًا: تصميم نسخة مصرية أفضل من Samplia منذ اليوم الأول، بدلًا من محاولة تقليدها.</w:t>
      </w:r>
    </w:p>
    <w:p>
      <w:pPr>
        <w:bidi/>
        <w:spacing w:after="140" w:line="300"/>
        <w:jc w:val="right"/>
      </w:pPr>
      <w:r>
        <w:rPr>
          <w:sz w:val="22"/>
          <w:szCs w:val="22"/>
          <w:rtl/>
        </w:rPr>
        <w:t xml:space="preserve">هذا يشمل:</w:t>
      </w:r>
    </w:p>
    <w:p>
      <w:pPr>
        <w:pStyle w:val="ListParagraph"/>
        <w:numPr>
          <w:ilvl w:val="0"/>
          <w:numId w:val="1"/>
        </w:numPr>
        <w:bidi/>
        <w:spacing w:after="70"/>
        <w:jc w:val="right"/>
      </w:pPr>
      <w:r>
        <w:rPr>
          <w:sz w:val="22"/>
          <w:szCs w:val="22"/>
          <w:rtl/>
        </w:rPr>
        <w:t xml:space="preserve">ابتكار ميزات لا تملكها Samplia.</w:t>
      </w:r>
    </w:p>
    <w:p>
      <w:pPr>
        <w:pStyle w:val="ListParagraph"/>
        <w:numPr>
          <w:ilvl w:val="0"/>
          <w:numId w:val="1"/>
        </w:numPr>
        <w:bidi/>
        <w:spacing w:after="70"/>
        <w:jc w:val="right"/>
      </w:pPr>
      <w:r>
        <w:rPr>
          <w:sz w:val="22"/>
          <w:szCs w:val="22"/>
          <w:rtl/>
        </w:rPr>
        <w:t xml:space="preserve">بناء نموذج إيرادات أقوى.</w:t>
      </w:r>
    </w:p>
    <w:p>
      <w:pPr>
        <w:pStyle w:val="ListParagraph"/>
        <w:numPr>
          <w:ilvl w:val="0"/>
          <w:numId w:val="1"/>
        </w:numPr>
        <w:bidi/>
        <w:spacing w:after="70"/>
        <w:jc w:val="right"/>
      </w:pPr>
      <w:r>
        <w:rPr>
          <w:sz w:val="22"/>
          <w:szCs w:val="22"/>
          <w:rtl/>
        </w:rPr>
        <w:t xml:space="preserve">إنشاء حواجز تنافسية يصعب نسخها.</w:t>
      </w:r>
    </w:p>
    <w:p>
      <w:pPr>
        <w:pStyle w:val="ListParagraph"/>
        <w:numPr>
          <w:ilvl w:val="0"/>
          <w:numId w:val="1"/>
        </w:numPr>
        <w:bidi/>
        <w:spacing w:after="70"/>
        <w:jc w:val="right"/>
      </w:pPr>
      <w:r>
        <w:rPr>
          <w:sz w:val="22"/>
          <w:szCs w:val="22"/>
          <w:rtl/>
        </w:rPr>
        <w:t xml:space="preserve">وضع خطة تجعل المشروع قابلاً للتوسع في الشرق الأوسط وليس مصر فقط.</w:t>
      </w:r>
    </w:p>
    <w:p>
      <w:pPr>
        <w:bidi/>
        <w:spacing w:after="140" w:line="300"/>
        <w:jc w:val="right"/>
      </w:pPr>
      <w:r>
        <w:rPr>
          <w:i/>
          <w:iCs/>
          <w:sz w:val="22"/>
          <w:szCs w:val="22"/>
          <w:rtl/>
        </w:rPr>
        <w:t xml:space="preserve">هذه الدراسة ستكون أقرب إلى تصميم شركة Unicorn محتملة، وليس مجرد إطلاق نسخة محلية من نموذج موجود.</w:t>
      </w:r>
    </w:p>
    <w:p>
      <w:r>
        <w:br w:type="page"/>
      </w:r>
    </w:p>
    <w:p>
      <w:pPr>
        <w:pStyle w:val="Heading1"/>
        <w:pBdr>
          <w:bottom w:val="single" w:color="1F2A44" w:sz="8" w:space="4"/>
        </w:pBdr>
        <w:spacing w:after="200" w:before="400"/>
      </w:pPr>
      <w:r>
        <w:rPr>
          <w:b/>
          <w:bCs/>
          <w:color w:val="1F2A44"/>
          <w:sz w:val="30"/>
          <w:szCs w:val="30"/>
        </w:rPr>
        <w:t xml:space="preserve">Investment Committee Review — Independent Critique of the Due Diligence Report</w:t>
      </w:r>
    </w:p>
    <w:p>
      <w:pPr>
        <w:spacing w:after="140" w:line="276"/>
      </w:pPr>
      <w:r>
        <w:rPr>
          <w:b/>
          <w:bCs/>
          <w:sz w:val="21"/>
          <w:szCs w:val="21"/>
        </w:rPr>
        <w:t xml:space="preserve">Role: Independent Investment Committee (IC).</w:t>
      </w:r>
    </w:p>
    <w:p>
      <w:pPr>
        <w:spacing w:after="140" w:line="276"/>
      </w:pPr>
      <w:r>
        <w:rPr>
          <w:sz w:val="21"/>
          <w:szCs w:val="21"/>
        </w:rPr>
        <w:t xml:space="preserve">Objective: Challenge the previous report as if it were submitted to an institutional investment committee. The goal is to identify weaknesses, unsupported assumptions, missing evidence, and additional work required before an investment decision.</w:t>
      </w:r>
    </w:p>
    <w:p>
      <w:pPr>
        <w:pStyle w:val="Heading2"/>
        <w:spacing w:after="140" w:before="280"/>
      </w:pPr>
      <w:r>
        <w:rPr>
          <w:b/>
          <w:bCs/>
          <w:color w:val="1F2A44"/>
          <w:sz w:val="24"/>
          <w:szCs w:val="24"/>
        </w:rPr>
        <w:t xml:space="preserve">Overall Assessment</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D68910"/>
                <w:sz w:val="22"/>
                <w:szCs w:val="22"/>
              </w:rPr>
              <w:t xml:space="preserve">Committee Opinion</w:t>
            </w:r>
          </w:p>
          <w:p>
            <w:pPr>
              <w:spacing w:after="60"/>
            </w:pPr>
            <w:r>
              <w:rPr>
                <w:sz w:val="20"/>
                <w:szCs w:val="20"/>
              </w:rPr>
              <w:t xml:space="preserve">• The report is strategically strong and correctly identifies that the opportunity is fundamentally a Consumer Intelligence Platform rather than a sampling company.</w:t>
            </w:r>
          </w:p>
          <w:p>
            <w:pPr>
              <w:spacing w:after="60"/>
            </w:pPr>
            <w:r>
              <w:rPr>
                <w:sz w:val="20"/>
                <w:szCs w:val="20"/>
              </w:rPr>
              <w:t xml:space="preserve">• However, the report is not yet investment-grade. It is currently closer to a Strategy Memo than a complete Investment Committee Memo.</w:t>
            </w:r>
          </w:p>
          <w:p>
            <w:pPr>
              <w:spacing w:after="60"/>
            </w:pPr>
            <w:r>
              <w:rPr>
                <w:sz w:val="20"/>
                <w:szCs w:val="20"/>
              </w:rPr>
              <w:t xml:space="preserve">• Our confidence in the conclusions is Moderate, not High.</w:t>
            </w:r>
          </w:p>
        </w:tc>
      </w:tr>
    </w:tbl>
    <w:p>
      <w:pPr>
        <w:pStyle w:val="Heading3"/>
        <w:spacing w:after="100" w:before="200"/>
      </w:pPr>
      <w:r>
        <w:rPr>
          <w:b/>
          <w:bCs/>
          <w:color w:val="374151"/>
          <w:sz w:val="21"/>
          <w:szCs w:val="21"/>
        </w:rPr>
        <w:t xml:space="preserve">1. Market Size Analysis Is Too Qualitative</w:t>
      </w:r>
    </w:p>
    <w:p>
      <w:pPr>
        <w:spacing w:after="140" w:line="276"/>
      </w:pPr>
      <w:r>
        <w:rPr>
          <w:sz w:val="21"/>
          <w:szCs w:val="21"/>
        </w:rPr>
        <w:t xml:space="preserve">TAM/SAM/SOM were discussed conceptually but not calculated rigorously. An IC would expect: total FMCG marketing spend in Egypt; estimated sampling budget; market research spending; activation spending; number of annual product launches; number of addressable brands; average campaign frequency; share realistically capturable by a new entrant. Without those numbers, the TAM remains an opinion, not an investment metric.</w:t>
      </w:r>
    </w:p>
    <w:p>
      <w:pPr>
        <w:spacing w:after="140" w:line="276"/>
      </w:pPr>
      <w:r>
        <w:rPr>
          <w:sz w:val="21"/>
          <w:szCs w:val="21"/>
        </w:rPr>
        <w:t xml:space="preserve">Required: a bottom-up market model — number of FMCG companies × campaigns/company/year × average campaign budget × sampling allocation × consumer insight allocation — then calculate TAM mathematically.</w:t>
      </w:r>
    </w:p>
    <w:p>
      <w:pPr>
        <w:pStyle w:val="Heading3"/>
        <w:spacing w:after="100" w:before="200"/>
      </w:pPr>
      <w:r>
        <w:rPr>
          <w:b/>
          <w:bCs/>
          <w:color w:val="374151"/>
          <w:sz w:val="21"/>
          <w:szCs w:val="21"/>
        </w:rPr>
        <w:t xml:space="preserve">2. Customer Discovery Is Missing</w:t>
      </w:r>
    </w:p>
    <w:p>
      <w:pPr>
        <w:spacing w:after="140" w:line="276"/>
      </w:pPr>
      <w:r>
        <w:rPr>
          <w:sz w:val="21"/>
          <w:szCs w:val="21"/>
        </w:rPr>
        <w:t xml:space="preserve">Probably the biggest weakness. The report assumed that brand managers want this but never proved it. A VC would immediately ask: "Which Egyptian brand managers did you interview?" Answer: none. Customer demand remains a hypothesis.</w:t>
      </w:r>
    </w:p>
    <w:p>
      <w:pPr>
        <w:spacing w:after="140" w:line="276"/>
      </w:pPr>
      <w:r>
        <w:rPr>
          <w:sz w:val="21"/>
          <w:szCs w:val="21"/>
        </w:rPr>
        <w:t xml:space="preserve">Required: 30–50 interviews with FMCG Marketing Directors, Innovation Managers, Consumer Insight Managers, and Brand Managers — before writing code.</w:t>
      </w:r>
    </w:p>
    <w:p>
      <w:pPr>
        <w:pStyle w:val="Heading3"/>
        <w:spacing w:after="100" w:before="200"/>
      </w:pPr>
      <w:r>
        <w:rPr>
          <w:b/>
          <w:bCs/>
          <w:color w:val="374151"/>
          <w:sz w:val="21"/>
          <w:szCs w:val="21"/>
        </w:rPr>
        <w:t xml:space="preserve">3. Pricing Is Speculative</w:t>
      </w:r>
    </w:p>
    <w:p>
      <w:pPr>
        <w:spacing w:after="140" w:line="276"/>
      </w:pPr>
      <w:r>
        <w:rPr>
          <w:sz w:val="21"/>
          <w:szCs w:val="21"/>
        </w:rPr>
        <w:t xml:space="preserve">The report suggests pricing ranges, but pricing should come from willingness-to-pay research. Unanswered: would Egyptian companies pay $3,000? $10,000? $20,000? We don't know.</w:t>
      </w:r>
    </w:p>
    <w:p>
      <w:pPr>
        <w:spacing w:after="140" w:line="276"/>
      </w:pPr>
      <w:r>
        <w:rPr>
          <w:sz w:val="21"/>
          <w:szCs w:val="21"/>
        </w:rPr>
        <w:t xml:space="preserve">Need: pricing interviews.</w:t>
      </w:r>
    </w:p>
    <w:p>
      <w:pPr>
        <w:pStyle w:val="Heading3"/>
        <w:spacing w:after="100" w:before="200"/>
      </w:pPr>
      <w:r>
        <w:rPr>
          <w:b/>
          <w:bCs/>
          <w:color w:val="374151"/>
          <w:sz w:val="21"/>
          <w:szCs w:val="21"/>
        </w:rPr>
        <w:t xml:space="preserve">4. Competition Was Underestimated</w:t>
      </w:r>
    </w:p>
    <w:p>
      <w:pPr>
        <w:spacing w:after="140" w:line="276"/>
      </w:pPr>
      <w:r>
        <w:rPr>
          <w:sz w:val="21"/>
          <w:szCs w:val="21"/>
        </w:rPr>
        <w:t xml:space="preserve">The report mainly analyzed NielsenIQ, Kantar, BTL agencies, and surveys. The real competitive landscape is much broader: retail loyalty programs, Carrefour loyalty ecosystem, Talabat and food delivery platforms (consumer data), TikTok Shop and commerce platforms, CRM/CDP vendors, Retail Media Networks, POS analytics providers, e-commerce marketplaces, large advertising holding companies, global customer experience platforms. Many already own valuable consumer data — this significantly increases competitive pressure.</w:t>
      </w:r>
    </w:p>
    <w:p>
      <w:pPr>
        <w:pStyle w:val="Heading3"/>
        <w:spacing w:after="100" w:before="200"/>
      </w:pPr>
      <w:r>
        <w:rPr>
          <w:b/>
          <w:bCs/>
          <w:color w:val="374151"/>
          <w:sz w:val="21"/>
          <w:szCs w:val="21"/>
        </w:rPr>
        <w:t xml:space="preserve">5. Consumer Acquisition Cost Was Too Optimistic</w:t>
      </w:r>
    </w:p>
    <w:p>
      <w:pPr>
        <w:spacing w:after="140" w:line="276"/>
      </w:pPr>
      <w:r>
        <w:rPr>
          <w:sz w:val="21"/>
          <w:szCs w:val="21"/>
        </w:rPr>
        <w:t xml:space="preserve">The report estimated a low CAC with no supporting evidence. Egyptian users may require advertising, rewards, referral bonuses, cashback. Real acquisition cost could be several times higher, and retention cost may also be significant.</w:t>
      </w:r>
    </w:p>
    <w:p>
      <w:pPr>
        <w:pStyle w:val="Heading3"/>
        <w:spacing w:after="100" w:before="200"/>
      </w:pPr>
      <w:r>
        <w:rPr>
          <w:b/>
          <w:bCs/>
          <w:color w:val="374151"/>
          <w:sz w:val="21"/>
          <w:szCs w:val="21"/>
        </w:rPr>
        <w:t xml:space="preserve">6. Network Effects Need Proof</w:t>
      </w:r>
    </w:p>
    <w:p>
      <w:pPr>
        <w:spacing w:after="140" w:line="276"/>
      </w:pPr>
      <w:r>
        <w:rPr>
          <w:sz w:val="21"/>
          <w:szCs w:val="21"/>
        </w:rPr>
        <w:t xml:space="preserve">The report repeatedly references network effects, but not every marketplace develops defensible network effects. Unanswered: does every new consumer significantly increase value? Does every new brand attract more consumers? Is the network local, national, or category-specific? This needs evidence.</w:t>
      </w:r>
    </w:p>
    <w:p>
      <w:pPr>
        <w:pStyle w:val="Heading3"/>
        <w:spacing w:after="100" w:before="200"/>
      </w:pPr>
      <w:r>
        <w:rPr>
          <w:b/>
          <w:bCs/>
          <w:color w:val="374151"/>
          <w:sz w:val="21"/>
          <w:szCs w:val="21"/>
        </w:rPr>
        <w:t xml:space="preserve">7. Operations Complexity Was Underestimated</w:t>
      </w:r>
    </w:p>
    <w:p>
      <w:pPr>
        <w:spacing w:after="140" w:line="276"/>
      </w:pPr>
      <w:r>
        <w:rPr>
          <w:sz w:val="21"/>
          <w:szCs w:val="21"/>
        </w:rPr>
        <w:t xml:space="preserve">The report states operations are difficult but still understates the challenge. Operational layers include: inventory, packaging, warehousing, expiry management, staff scheduling, field operations, event permits, retail coordination, fraud monitoring, customer support, brand reporting. This resembles operating a logistics company — the cost structure deserves much deeper modeling.</w:t>
      </w:r>
    </w:p>
    <w:p>
      <w:pPr>
        <w:pStyle w:val="Heading3"/>
        <w:spacing w:after="100" w:before="200"/>
      </w:pPr>
      <w:r>
        <w:rPr>
          <w:b/>
          <w:bCs/>
          <w:color w:val="374151"/>
          <w:sz w:val="21"/>
          <w:szCs w:val="21"/>
        </w:rPr>
        <w:t xml:space="preserve">8. Unit Economics Were Missing</w:t>
      </w:r>
    </w:p>
    <w:p>
      <w:pPr>
        <w:spacing w:after="140" w:line="276"/>
      </w:pPr>
      <w:r>
        <w:rPr>
          <w:sz w:val="21"/>
          <w:szCs w:val="21"/>
        </w:rPr>
        <w:t xml:space="preserve">Probably the largest quantitative gap. Investment committees expect: CAC, LTV, Gross Margin per Campaign, Contribution Margin, Payback Period, Campaign Profitability, Average Revenue Per Brand, Consumer Retention, Repeat Campaign Rate. Without unit economics, financial projections are difficult to validate.</w:t>
      </w:r>
    </w:p>
    <w:p>
      <w:pPr>
        <w:pStyle w:val="Heading3"/>
        <w:spacing w:after="100" w:before="200"/>
      </w:pPr>
      <w:r>
        <w:rPr>
          <w:b/>
          <w:bCs/>
          <w:color w:val="374151"/>
          <w:sz w:val="21"/>
          <w:szCs w:val="21"/>
        </w:rPr>
        <w:t xml:space="preserve">9. Financial Model Needs More Scenarios</w:t>
      </w:r>
    </w:p>
    <w:p>
      <w:pPr>
        <w:spacing w:after="140" w:line="276"/>
      </w:pPr>
      <w:r>
        <w:rPr>
          <w:sz w:val="21"/>
          <w:szCs w:val="21"/>
        </w:rPr>
        <w:t xml:space="preserve">The report only presented one general scenario. Investment-grade analysis requires at least Conservative (slow adoption), Base (expected adoption), and Aggressive (high adoption) scenarios — each including Revenue, Expenses, Burn, Cash runway, Funding requirement, Break-even.</w:t>
      </w:r>
    </w:p>
    <w:p>
      <w:pPr>
        <w:pStyle w:val="Heading3"/>
        <w:spacing w:after="100" w:before="200"/>
      </w:pPr>
      <w:r>
        <w:rPr>
          <w:b/>
          <w:bCs/>
          <w:color w:val="374151"/>
          <w:sz w:val="21"/>
          <w:szCs w:val="21"/>
        </w:rPr>
        <w:t xml:space="preserve">10. Exit Strategy Missing</w:t>
      </w:r>
    </w:p>
    <w:p>
      <w:pPr>
        <w:spacing w:after="140" w:line="276"/>
      </w:pPr>
      <w:r>
        <w:rPr>
          <w:sz w:val="21"/>
          <w:szCs w:val="21"/>
        </w:rPr>
        <w:t xml:space="preserve">A VC immediately asks: who buys this company? Possible acquirers: NielsenIQ, Kantar, Circana, retail groups, global activation agencies, marketing cloud providers, consumer data companies, large FMCG companies, regional technology platforms. The report did not analyze exit opportunities.</w:t>
      </w:r>
    </w:p>
    <w:p>
      <w:pPr>
        <w:pStyle w:val="Heading3"/>
        <w:spacing w:after="100" w:before="200"/>
      </w:pPr>
      <w:r>
        <w:rPr>
          <w:b/>
          <w:bCs/>
          <w:color w:val="374151"/>
          <w:sz w:val="21"/>
          <w:szCs w:val="21"/>
        </w:rPr>
        <w:t xml:space="preserve">11. Regulatory Analysis Needs Greater Depth</w:t>
      </w:r>
    </w:p>
    <w:p>
      <w:pPr>
        <w:spacing w:after="140" w:line="276"/>
      </w:pPr>
      <w:r>
        <w:rPr>
          <w:sz w:val="21"/>
          <w:szCs w:val="21"/>
        </w:rPr>
        <w:t xml:space="preserve">The legal section identified privacy risk correctly but omitted practical implementation questions: cross-border data transfers, consent management, data retention periods, children's data, security obligations, vendor management, incident response.</w:t>
      </w:r>
    </w:p>
    <w:p>
      <w:pPr>
        <w:pStyle w:val="Heading3"/>
        <w:spacing w:after="100" w:before="200"/>
      </w:pPr>
      <w:r>
        <w:rPr>
          <w:b/>
          <w:bCs/>
          <w:color w:val="374151"/>
          <w:sz w:val="21"/>
          <w:szCs w:val="21"/>
        </w:rPr>
        <w:t xml:space="preserve">12. Technology Assessment Was Too High-Level</w:t>
      </w:r>
    </w:p>
    <w:p>
      <w:pPr>
        <w:spacing w:after="140" w:line="276"/>
      </w:pPr>
      <w:r>
        <w:rPr>
          <w:sz w:val="21"/>
          <w:szCs w:val="21"/>
        </w:rPr>
        <w:t xml:space="preserve">A technology stack was proposed but not analyzed for: scalability requirements, API architecture, multi-tenant design, analytics pipeline, real-time reporting, AI model lifecycle, fraud detection architecture, offline functionality for field activations.</w:t>
      </w:r>
    </w:p>
    <w:p>
      <w:pPr>
        <w:pStyle w:val="Heading3"/>
        <w:spacing w:after="100" w:before="200"/>
      </w:pPr>
      <w:r>
        <w:rPr>
          <w:b/>
          <w:bCs/>
          <w:color w:val="374151"/>
          <w:sz w:val="21"/>
          <w:szCs w:val="21"/>
        </w:rPr>
        <w:t xml:space="preserve">13. AI Was Slightly Overemphasized</w:t>
      </w:r>
    </w:p>
    <w:p>
      <w:pPr>
        <w:spacing w:after="140" w:line="276"/>
      </w:pPr>
      <w:r>
        <w:rPr>
          <w:sz w:val="21"/>
          <w:szCs w:val="21"/>
        </w:rPr>
        <w:t xml:space="preserve">The report repeatedly positions AI as the moat. Reality: AI alone is rarely a durable competitive advantage. The defensible assets are more likely: proprietary consumer data, long-term brand relationships, distribution partnerships, execution capability, consumer trust, historical behavioral datasets. AI is an enabler — not necessarily the moat.</w:t>
      </w:r>
    </w:p>
    <w:p>
      <w:pPr>
        <w:pStyle w:val="Heading3"/>
        <w:spacing w:after="100" w:before="200"/>
      </w:pPr>
      <w:r>
        <w:rPr>
          <w:b/>
          <w:bCs/>
          <w:color w:val="374151"/>
          <w:sz w:val="21"/>
          <w:szCs w:val="21"/>
        </w:rPr>
        <w:t xml:space="preserve">14. International Expansion Was Assumed Too Early</w:t>
      </w:r>
    </w:p>
    <w:p>
      <w:pPr>
        <w:spacing w:after="140" w:line="276"/>
      </w:pPr>
      <w:r>
        <w:rPr>
          <w:sz w:val="21"/>
          <w:szCs w:val="21"/>
        </w:rPr>
        <w:t xml:space="preserve">The roadmap proposed GCC expansion after two years. Committee view: premature. Expansion should occur only after proving strong unit economics, positive cash flow (or a well-defined funding strategy), high customer retention, repeat enterprise contracts, repeatable operations.</w:t>
      </w:r>
    </w:p>
    <w:p>
      <w:pPr>
        <w:pStyle w:val="Heading3"/>
        <w:spacing w:after="100" w:before="200"/>
      </w:pPr>
      <w:r>
        <w:rPr>
          <w:b/>
          <w:bCs/>
          <w:color w:val="374151"/>
          <w:sz w:val="21"/>
          <w:szCs w:val="21"/>
        </w:rPr>
        <w:t xml:space="preserve">15. Probability of Success May Be Too Optimistic</w:t>
      </w:r>
    </w:p>
    <w:p>
      <w:pPr>
        <w:spacing w:after="140" w:line="276"/>
      </w:pPr>
      <w:r>
        <w:rPr>
          <w:sz w:val="21"/>
          <w:szCs w:val="21"/>
        </w:rPr>
        <w:t xml:space="preserve">The report estimated 70–80%. Committee opinion: too optimistic for an early-stage, execution-heavy business. A more conservative framing: Concept viability — High; Commercial success in Egypt — Moderate; Regional scaling — Uncertain. The actual outcome depends heavily on execution quality, funding, and enterprise sales.</w:t>
      </w:r>
    </w:p>
    <w:p>
      <w:r>
        <w:br w:type="page"/>
      </w:r>
    </w:p>
    <w:p>
      <w:pPr>
        <w:pStyle w:val="Heading2"/>
        <w:spacing w:after="140" w:before="280"/>
      </w:pPr>
      <w:r>
        <w:rPr>
          <w:b/>
          <w:bCs/>
          <w:color w:val="1F2A44"/>
          <w:sz w:val="24"/>
          <w:szCs w:val="24"/>
        </w:rPr>
        <w:t xml:space="preserve">Additional Data Required Before Investment</w:t>
      </w:r>
    </w:p>
    <w:p>
      <w:pPr>
        <w:pStyle w:val="Heading3"/>
        <w:spacing w:after="100" w:before="200"/>
      </w:pPr>
      <w:r>
        <w:rPr>
          <w:b/>
          <w:bCs/>
          <w:color w:val="374151"/>
          <w:sz w:val="21"/>
          <w:szCs w:val="21"/>
        </w:rPr>
        <w:t xml:space="preserve">Commercial Validation</w:t>
      </w:r>
    </w:p>
    <w:p>
      <w:pPr>
        <w:pStyle w:val="ListParagraph"/>
        <w:numPr>
          <w:ilvl w:val="0"/>
          <w:numId w:val="1"/>
        </w:numPr>
        <w:spacing w:after="70"/>
      </w:pPr>
      <w:r>
        <w:rPr>
          <w:sz w:val="21"/>
          <w:szCs w:val="21"/>
        </w:rPr>
        <w:t xml:space="preserve">30–50 interviews with Egyptian brand decision-makers.</w:t>
      </w:r>
    </w:p>
    <w:p>
      <w:pPr>
        <w:pStyle w:val="ListParagraph"/>
        <w:numPr>
          <w:ilvl w:val="0"/>
          <w:numId w:val="1"/>
        </w:numPr>
        <w:spacing w:after="70"/>
      </w:pPr>
      <w:r>
        <w:rPr>
          <w:sz w:val="21"/>
          <w:szCs w:val="21"/>
        </w:rPr>
        <w:t xml:space="preserve">Letters of Intent (LOIs) or pilot commitments.</w:t>
      </w:r>
    </w:p>
    <w:p>
      <w:pPr>
        <w:pStyle w:val="ListParagraph"/>
        <w:numPr>
          <w:ilvl w:val="0"/>
          <w:numId w:val="1"/>
        </w:numPr>
        <w:spacing w:after="70"/>
      </w:pPr>
      <w:r>
        <w:rPr>
          <w:sz w:val="21"/>
          <w:szCs w:val="21"/>
        </w:rPr>
        <w:t xml:space="preserve">Evidence of willingness to pay.</w:t>
      </w:r>
    </w:p>
    <w:p>
      <w:pPr>
        <w:pStyle w:val="Heading3"/>
        <w:spacing w:after="100" w:before="200"/>
      </w:pPr>
      <w:r>
        <w:rPr>
          <w:b/>
          <w:bCs/>
          <w:color w:val="374151"/>
          <w:sz w:val="21"/>
          <w:szCs w:val="21"/>
        </w:rPr>
        <w:t xml:space="preserve">Market Sizing</w:t>
      </w:r>
    </w:p>
    <w:p>
      <w:pPr>
        <w:pStyle w:val="ListParagraph"/>
        <w:numPr>
          <w:ilvl w:val="0"/>
          <w:numId w:val="1"/>
        </w:numPr>
        <w:spacing w:after="70"/>
      </w:pPr>
      <w:r>
        <w:rPr>
          <w:sz w:val="21"/>
          <w:szCs w:val="21"/>
        </w:rPr>
        <w:t xml:space="preserve">Bottom-up TAM/SAM/SOM.</w:t>
      </w:r>
    </w:p>
    <w:p>
      <w:pPr>
        <w:pStyle w:val="ListParagraph"/>
        <w:numPr>
          <w:ilvl w:val="0"/>
          <w:numId w:val="1"/>
        </w:numPr>
        <w:spacing w:after="70"/>
      </w:pPr>
      <w:r>
        <w:rPr>
          <w:sz w:val="21"/>
          <w:szCs w:val="21"/>
        </w:rPr>
        <w:t xml:space="preserve">Market research spend.</w:t>
      </w:r>
    </w:p>
    <w:p>
      <w:pPr>
        <w:pStyle w:val="ListParagraph"/>
        <w:numPr>
          <w:ilvl w:val="0"/>
          <w:numId w:val="1"/>
        </w:numPr>
        <w:spacing w:after="70"/>
      </w:pPr>
      <w:r>
        <w:rPr>
          <w:sz w:val="21"/>
          <w:szCs w:val="21"/>
        </w:rPr>
        <w:t xml:space="preserve">Activation spend.</w:t>
      </w:r>
    </w:p>
    <w:p>
      <w:pPr>
        <w:pStyle w:val="ListParagraph"/>
        <w:numPr>
          <w:ilvl w:val="0"/>
          <w:numId w:val="1"/>
        </w:numPr>
        <w:spacing w:after="70"/>
      </w:pPr>
      <w:r>
        <w:rPr>
          <w:sz w:val="21"/>
          <w:szCs w:val="21"/>
        </w:rPr>
        <w:t xml:space="preserve">Sampling spend.</w:t>
      </w:r>
    </w:p>
    <w:p>
      <w:pPr>
        <w:pStyle w:val="Heading3"/>
        <w:spacing w:after="100" w:before="200"/>
      </w:pPr>
      <w:r>
        <w:rPr>
          <w:b/>
          <w:bCs/>
          <w:color w:val="374151"/>
          <w:sz w:val="21"/>
          <w:szCs w:val="21"/>
        </w:rPr>
        <w:t xml:space="preserve">Financial Validation</w:t>
      </w:r>
    </w:p>
    <w:p>
      <w:pPr>
        <w:pStyle w:val="ListParagraph"/>
        <w:numPr>
          <w:ilvl w:val="0"/>
          <w:numId w:val="1"/>
        </w:numPr>
        <w:spacing w:after="70"/>
      </w:pPr>
      <w:r>
        <w:rPr>
          <w:sz w:val="21"/>
          <w:szCs w:val="21"/>
        </w:rPr>
        <w:t xml:space="preserve">Detailed unit economics.</w:t>
      </w:r>
    </w:p>
    <w:p>
      <w:pPr>
        <w:pStyle w:val="ListParagraph"/>
        <w:numPr>
          <w:ilvl w:val="0"/>
          <w:numId w:val="1"/>
        </w:numPr>
        <w:spacing w:after="70"/>
      </w:pPr>
      <w:r>
        <w:rPr>
          <w:sz w:val="21"/>
          <w:szCs w:val="21"/>
        </w:rPr>
        <w:t xml:space="preserve">Sensitivity analysis.</w:t>
      </w:r>
    </w:p>
    <w:p>
      <w:pPr>
        <w:pStyle w:val="ListParagraph"/>
        <w:numPr>
          <w:ilvl w:val="0"/>
          <w:numId w:val="1"/>
        </w:numPr>
        <w:spacing w:after="70"/>
      </w:pPr>
      <w:r>
        <w:rPr>
          <w:sz w:val="21"/>
          <w:szCs w:val="21"/>
        </w:rPr>
        <w:t xml:space="preserve">Three financial scenarios.</w:t>
      </w:r>
    </w:p>
    <w:p>
      <w:pPr>
        <w:pStyle w:val="ListParagraph"/>
        <w:numPr>
          <w:ilvl w:val="0"/>
          <w:numId w:val="1"/>
        </w:numPr>
        <w:spacing w:after="70"/>
      </w:pPr>
      <w:r>
        <w:rPr>
          <w:sz w:val="21"/>
          <w:szCs w:val="21"/>
        </w:rPr>
        <w:t xml:space="preserve">Cash runway.</w:t>
      </w:r>
    </w:p>
    <w:p>
      <w:pPr>
        <w:pStyle w:val="ListParagraph"/>
        <w:numPr>
          <w:ilvl w:val="0"/>
          <w:numId w:val="1"/>
        </w:numPr>
        <w:spacing w:after="70"/>
      </w:pPr>
      <w:r>
        <w:rPr>
          <w:sz w:val="21"/>
          <w:szCs w:val="21"/>
        </w:rPr>
        <w:t xml:space="preserve">Funding milestones.</w:t>
      </w:r>
    </w:p>
    <w:p>
      <w:pPr>
        <w:pStyle w:val="Heading3"/>
        <w:spacing w:after="100" w:before="200"/>
      </w:pPr>
      <w:r>
        <w:rPr>
          <w:b/>
          <w:bCs/>
          <w:color w:val="374151"/>
          <w:sz w:val="21"/>
          <w:szCs w:val="21"/>
        </w:rPr>
        <w:t xml:space="preserve">Operational Validation</w:t>
      </w:r>
    </w:p>
    <w:p>
      <w:pPr>
        <w:pStyle w:val="ListParagraph"/>
        <w:numPr>
          <w:ilvl w:val="0"/>
          <w:numId w:val="1"/>
        </w:numPr>
        <w:spacing w:after="70"/>
      </w:pPr>
      <w:r>
        <w:rPr>
          <w:sz w:val="21"/>
          <w:szCs w:val="21"/>
        </w:rPr>
        <w:t xml:space="preserve">Pilot logistics.</w:t>
      </w:r>
    </w:p>
    <w:p>
      <w:pPr>
        <w:pStyle w:val="ListParagraph"/>
        <w:numPr>
          <w:ilvl w:val="0"/>
          <w:numId w:val="1"/>
        </w:numPr>
        <w:spacing w:after="70"/>
      </w:pPr>
      <w:r>
        <w:rPr>
          <w:sz w:val="21"/>
          <w:szCs w:val="21"/>
        </w:rPr>
        <w:t xml:space="preserve">Campaign execution metrics.</w:t>
      </w:r>
    </w:p>
    <w:p>
      <w:pPr>
        <w:pStyle w:val="ListParagraph"/>
        <w:numPr>
          <w:ilvl w:val="0"/>
          <w:numId w:val="1"/>
        </w:numPr>
        <w:spacing w:after="70"/>
      </w:pPr>
      <w:r>
        <w:rPr>
          <w:sz w:val="21"/>
          <w:szCs w:val="21"/>
        </w:rPr>
        <w:t xml:space="preserve">Survey completion rates.</w:t>
      </w:r>
    </w:p>
    <w:p>
      <w:pPr>
        <w:pStyle w:val="ListParagraph"/>
        <w:numPr>
          <w:ilvl w:val="0"/>
          <w:numId w:val="1"/>
        </w:numPr>
        <w:spacing w:after="70"/>
      </w:pPr>
      <w:r>
        <w:rPr>
          <w:sz w:val="21"/>
          <w:szCs w:val="21"/>
        </w:rPr>
        <w:t xml:space="preserve">Consumer retention.</w:t>
      </w:r>
    </w:p>
    <w:p>
      <w:pPr>
        <w:pStyle w:val="ListParagraph"/>
        <w:numPr>
          <w:ilvl w:val="0"/>
          <w:numId w:val="1"/>
        </w:numPr>
        <w:spacing w:after="70"/>
      </w:pPr>
      <w:r>
        <w:rPr>
          <w:sz w:val="21"/>
          <w:szCs w:val="21"/>
        </w:rPr>
        <w:t xml:space="preserve">Fraud rates.</w:t>
      </w:r>
    </w:p>
    <w:p>
      <w:pPr>
        <w:pStyle w:val="Heading3"/>
        <w:spacing w:after="100" w:before="200"/>
      </w:pPr>
      <w:r>
        <w:rPr>
          <w:b/>
          <w:bCs/>
          <w:color w:val="374151"/>
          <w:sz w:val="21"/>
          <w:szCs w:val="21"/>
        </w:rPr>
        <w:t xml:space="preserve">Legal Validation</w:t>
      </w:r>
    </w:p>
    <w:p>
      <w:pPr>
        <w:pStyle w:val="ListParagraph"/>
        <w:numPr>
          <w:ilvl w:val="0"/>
          <w:numId w:val="1"/>
        </w:numPr>
        <w:spacing w:after="70"/>
      </w:pPr>
      <w:r>
        <w:rPr>
          <w:sz w:val="21"/>
          <w:szCs w:val="21"/>
        </w:rPr>
        <w:t xml:space="preserve">Privacy impact assessment.</w:t>
      </w:r>
    </w:p>
    <w:p>
      <w:pPr>
        <w:pStyle w:val="ListParagraph"/>
        <w:numPr>
          <w:ilvl w:val="0"/>
          <w:numId w:val="1"/>
        </w:numPr>
        <w:spacing w:after="70"/>
      </w:pPr>
      <w:r>
        <w:rPr>
          <w:sz w:val="21"/>
          <w:szCs w:val="21"/>
        </w:rPr>
        <w:t xml:space="preserve">Draft customer agreements.</w:t>
      </w:r>
    </w:p>
    <w:p>
      <w:pPr>
        <w:pStyle w:val="ListParagraph"/>
        <w:numPr>
          <w:ilvl w:val="0"/>
          <w:numId w:val="1"/>
        </w:numPr>
        <w:spacing w:after="70"/>
      </w:pPr>
      <w:r>
        <w:rPr>
          <w:sz w:val="21"/>
          <w:szCs w:val="21"/>
        </w:rPr>
        <w:t xml:space="preserve">Data governance framework.</w:t>
      </w:r>
    </w:p>
    <w:p>
      <w:pPr>
        <w:pStyle w:val="Heading2"/>
        <w:spacing w:after="140" w:before="280"/>
      </w:pPr>
      <w:r>
        <w:rPr>
          <w:b/>
          <w:bCs/>
          <w:color w:val="1F2A44"/>
          <w:sz w:val="24"/>
          <w:szCs w:val="24"/>
        </w:rPr>
        <w:t xml:space="preserve">Revised Investment Scores</w:t>
      </w:r>
    </w:p>
    <w:p>
      <w:pPr>
        <w:spacing w:after="140" w:line="276"/>
      </w:pPr>
      <w:r>
        <w:rPr>
          <w:sz w:val="21"/>
          <w:szCs w:val="21"/>
        </w:rPr>
        <w:t xml:space="preserve">After applying a stricter institutional standard: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116"/>
        <w:gridCol w:w="3117"/>
        <w:gridCol w:w="3117"/>
      </w:tblGrid>
      <w:tr>
        <w:trPr>
          <w:tblHeader/>
        </w:trPr>
        <w:tc>
          <w:tcPr>
            <w:tcW w:type="dxa" w:w="3116"/>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117"/>
            <w:shd w:fill="1F2A44" w:val="clear"/>
            <w:tcMar>
              <w:top w:type="dxa" w:w="100"/>
              <w:left w:type="dxa" w:w="120"/>
              <w:bottom w:type="dxa" w:w="100"/>
              <w:right w:type="dxa" w:w="120"/>
            </w:tcMar>
            <w:vAlign w:val="center"/>
          </w:tcPr>
          <w:p>
            <w:r>
              <w:rPr>
                <w:b/>
                <w:bCs/>
                <w:color w:val="FFFFFF"/>
                <w:sz w:val="19"/>
                <w:szCs w:val="19"/>
              </w:rPr>
              <w:t xml:space="preserve">Previous</w:t>
            </w:r>
          </w:p>
        </w:tc>
        <w:tc>
          <w:tcPr>
            <w:tcW w:type="dxa" w:w="3117"/>
            <w:shd w:fill="1F2A44" w:val="clear"/>
            <w:tcMar>
              <w:top w:type="dxa" w:w="100"/>
              <w:left w:type="dxa" w:w="120"/>
              <w:bottom w:type="dxa" w:w="100"/>
              <w:right w:type="dxa" w:w="120"/>
            </w:tcMar>
            <w:vAlign w:val="center"/>
          </w:tcPr>
          <w:p>
            <w:r>
              <w:rPr>
                <w:b/>
                <w:bCs/>
                <w:color w:val="FFFFFF"/>
                <w:sz w:val="19"/>
                <w:szCs w:val="19"/>
              </w:rPr>
              <w:t xml:space="preserve">Committee Review</w:t>
            </w:r>
          </w:p>
        </w:tc>
      </w:tr>
      <w:tr>
        <w:tc>
          <w:tcPr>
            <w:tcW w:type="dxa" w:w="3116"/>
            <w:shd w:fill="FFFFFF" w:val="clear"/>
            <w:tcMar>
              <w:top w:type="dxa" w:w="90"/>
              <w:left w:type="dxa" w:w="120"/>
              <w:bottom w:type="dxa" w:w="90"/>
              <w:right w:type="dxa" w:w="120"/>
            </w:tcMar>
            <w:vAlign w:val="center"/>
          </w:tcPr>
          <w:p>
            <w:r>
              <w:rPr>
                <w:sz w:val="19"/>
                <w:szCs w:val="19"/>
              </w:rPr>
              <w:t xml:space="preserve">Investment Score</w:t>
            </w:r>
          </w:p>
        </w:tc>
        <w:tc>
          <w:tcPr>
            <w:tcW w:type="dxa" w:w="3117"/>
            <w:shd w:fill="FFFFFF" w:val="clear"/>
            <w:tcMar>
              <w:top w:type="dxa" w:w="90"/>
              <w:left w:type="dxa" w:w="120"/>
              <w:bottom w:type="dxa" w:w="90"/>
              <w:right w:type="dxa" w:w="120"/>
            </w:tcMar>
            <w:vAlign w:val="center"/>
          </w:tcPr>
          <w:p>
            <w:r>
              <w:rPr>
                <w:sz w:val="19"/>
                <w:szCs w:val="19"/>
              </w:rPr>
              <w:t xml:space="preserve">89</w:t>
            </w:r>
          </w:p>
        </w:tc>
        <w:tc>
          <w:tcPr>
            <w:tcW w:type="dxa" w:w="3117"/>
            <w:shd w:fill="FFFFFF" w:val="clear"/>
            <w:tcMar>
              <w:top w:type="dxa" w:w="90"/>
              <w:left w:type="dxa" w:w="120"/>
              <w:bottom w:type="dxa" w:w="90"/>
              <w:right w:type="dxa" w:w="120"/>
            </w:tcMar>
            <w:vAlign w:val="center"/>
          </w:tcPr>
          <w:p>
            <w:r>
              <w:rPr>
                <w:sz w:val="19"/>
                <w:szCs w:val="19"/>
              </w:rPr>
              <w:t xml:space="preserve">84</w:t>
            </w:r>
          </w:p>
        </w:tc>
      </w:tr>
      <w:tr>
        <w:tc>
          <w:tcPr>
            <w:tcW w:type="dxa" w:w="3116"/>
            <w:shd w:fill="F2F2F2" w:val="clear"/>
            <w:tcMar>
              <w:top w:type="dxa" w:w="90"/>
              <w:left w:type="dxa" w:w="120"/>
              <w:bottom w:type="dxa" w:w="90"/>
              <w:right w:type="dxa" w:w="120"/>
            </w:tcMar>
            <w:vAlign w:val="center"/>
          </w:tcPr>
          <w:p>
            <w:r>
              <w:rPr>
                <w:sz w:val="19"/>
                <w:szCs w:val="19"/>
              </w:rPr>
              <w:t xml:space="preserve">Market Readiness</w:t>
            </w:r>
          </w:p>
        </w:tc>
        <w:tc>
          <w:tcPr>
            <w:tcW w:type="dxa" w:w="3117"/>
            <w:shd w:fill="F2F2F2" w:val="clear"/>
            <w:tcMar>
              <w:top w:type="dxa" w:w="90"/>
              <w:left w:type="dxa" w:w="120"/>
              <w:bottom w:type="dxa" w:w="90"/>
              <w:right w:type="dxa" w:w="120"/>
            </w:tcMar>
            <w:vAlign w:val="center"/>
          </w:tcPr>
          <w:p>
            <w:r>
              <w:rPr>
                <w:sz w:val="19"/>
                <w:szCs w:val="19"/>
              </w:rPr>
              <w:t xml:space="preserve">87</w:t>
            </w:r>
          </w:p>
        </w:tc>
        <w:tc>
          <w:tcPr>
            <w:tcW w:type="dxa" w:w="3117"/>
            <w:shd w:fill="F2F2F2" w:val="clear"/>
            <w:tcMar>
              <w:top w:type="dxa" w:w="90"/>
              <w:left w:type="dxa" w:w="120"/>
              <w:bottom w:type="dxa" w:w="90"/>
              <w:right w:type="dxa" w:w="120"/>
            </w:tcMar>
            <w:vAlign w:val="center"/>
          </w:tcPr>
          <w:p>
            <w:r>
              <w:rPr>
                <w:sz w:val="19"/>
                <w:szCs w:val="19"/>
              </w:rPr>
              <w:t xml:space="preserve">82</w:t>
            </w:r>
          </w:p>
        </w:tc>
      </w:tr>
      <w:tr>
        <w:tc>
          <w:tcPr>
            <w:tcW w:type="dxa" w:w="3116"/>
            <w:shd w:fill="FFFFFF" w:val="clear"/>
            <w:tcMar>
              <w:top w:type="dxa" w:w="90"/>
              <w:left w:type="dxa" w:w="120"/>
              <w:bottom w:type="dxa" w:w="90"/>
              <w:right w:type="dxa" w:w="120"/>
            </w:tcMar>
            <w:vAlign w:val="center"/>
          </w:tcPr>
          <w:p>
            <w:r>
              <w:rPr>
                <w:sz w:val="19"/>
                <w:szCs w:val="19"/>
              </w:rPr>
              <w:t xml:space="preserve">Financial Attractiveness</w:t>
            </w:r>
          </w:p>
        </w:tc>
        <w:tc>
          <w:tcPr>
            <w:tcW w:type="dxa" w:w="3117"/>
            <w:shd w:fill="FFFFFF" w:val="clear"/>
            <w:tcMar>
              <w:top w:type="dxa" w:w="90"/>
              <w:left w:type="dxa" w:w="120"/>
              <w:bottom w:type="dxa" w:w="90"/>
              <w:right w:type="dxa" w:w="120"/>
            </w:tcMar>
            <w:vAlign w:val="center"/>
          </w:tcPr>
          <w:p>
            <w:r>
              <w:rPr>
                <w:sz w:val="19"/>
                <w:szCs w:val="19"/>
              </w:rPr>
              <w:t xml:space="preserve">84</w:t>
            </w:r>
          </w:p>
        </w:tc>
        <w:tc>
          <w:tcPr>
            <w:tcW w:type="dxa" w:w="3117"/>
            <w:shd w:fill="FFFFFF" w:val="clear"/>
            <w:tcMar>
              <w:top w:type="dxa" w:w="90"/>
              <w:left w:type="dxa" w:w="120"/>
              <w:bottom w:type="dxa" w:w="90"/>
              <w:right w:type="dxa" w:w="120"/>
            </w:tcMar>
            <w:vAlign w:val="center"/>
          </w:tcPr>
          <w:p>
            <w:r>
              <w:rPr>
                <w:sz w:val="19"/>
                <w:szCs w:val="19"/>
              </w:rPr>
              <w:t xml:space="preserve">79</w:t>
            </w:r>
          </w:p>
        </w:tc>
      </w:tr>
      <w:tr>
        <w:tc>
          <w:tcPr>
            <w:tcW w:type="dxa" w:w="3116"/>
            <w:shd w:fill="F2F2F2" w:val="clear"/>
            <w:tcMar>
              <w:top w:type="dxa" w:w="90"/>
              <w:left w:type="dxa" w:w="120"/>
              <w:bottom w:type="dxa" w:w="90"/>
              <w:right w:type="dxa" w:w="120"/>
            </w:tcMar>
            <w:vAlign w:val="center"/>
          </w:tcPr>
          <w:p>
            <w:r>
              <w:rPr>
                <w:sz w:val="19"/>
                <w:szCs w:val="19"/>
              </w:rPr>
              <w:t xml:space="preserve">Competitive Advantage</w:t>
            </w:r>
          </w:p>
        </w:tc>
        <w:tc>
          <w:tcPr>
            <w:tcW w:type="dxa" w:w="3117"/>
            <w:shd w:fill="F2F2F2" w:val="clear"/>
            <w:tcMar>
              <w:top w:type="dxa" w:w="90"/>
              <w:left w:type="dxa" w:w="120"/>
              <w:bottom w:type="dxa" w:w="90"/>
              <w:right w:type="dxa" w:w="120"/>
            </w:tcMar>
            <w:vAlign w:val="center"/>
          </w:tcPr>
          <w:p>
            <w:r>
              <w:rPr>
                <w:sz w:val="19"/>
                <w:szCs w:val="19"/>
              </w:rPr>
              <w:t xml:space="preserve">92 (future)</w:t>
            </w:r>
          </w:p>
        </w:tc>
        <w:tc>
          <w:tcPr>
            <w:tcW w:type="dxa" w:w="3117"/>
            <w:shd w:fill="F2F2F2" w:val="clear"/>
            <w:tcMar>
              <w:top w:type="dxa" w:w="90"/>
              <w:left w:type="dxa" w:w="120"/>
              <w:bottom w:type="dxa" w:w="90"/>
              <w:right w:type="dxa" w:w="120"/>
            </w:tcMar>
            <w:vAlign w:val="center"/>
          </w:tcPr>
          <w:p>
            <w:r>
              <w:rPr>
                <w:sz w:val="19"/>
                <w:szCs w:val="19"/>
              </w:rPr>
              <w:t xml:space="preserve">80 (pending proof)</w:t>
            </w:r>
          </w:p>
        </w:tc>
      </w:tr>
      <w:tr>
        <w:tc>
          <w:tcPr>
            <w:tcW w:type="dxa" w:w="3116"/>
            <w:shd w:fill="FFFFFF" w:val="clear"/>
            <w:tcMar>
              <w:top w:type="dxa" w:w="90"/>
              <w:left w:type="dxa" w:w="120"/>
              <w:bottom w:type="dxa" w:w="90"/>
              <w:right w:type="dxa" w:w="120"/>
            </w:tcMar>
            <w:vAlign w:val="center"/>
          </w:tcPr>
          <w:p>
            <w:r>
              <w:rPr>
                <w:sz w:val="19"/>
                <w:szCs w:val="19"/>
              </w:rPr>
              <w:t xml:space="preserve">Scalability</w:t>
            </w:r>
          </w:p>
        </w:tc>
        <w:tc>
          <w:tcPr>
            <w:tcW w:type="dxa" w:w="3117"/>
            <w:shd w:fill="FFFFFF" w:val="clear"/>
            <w:tcMar>
              <w:top w:type="dxa" w:w="90"/>
              <w:left w:type="dxa" w:w="120"/>
              <w:bottom w:type="dxa" w:w="90"/>
              <w:right w:type="dxa" w:w="120"/>
            </w:tcMar>
            <w:vAlign w:val="center"/>
          </w:tcPr>
          <w:p>
            <w:r>
              <w:rPr>
                <w:sz w:val="19"/>
                <w:szCs w:val="19"/>
              </w:rPr>
              <w:t xml:space="preserve">95</w:t>
            </w:r>
          </w:p>
        </w:tc>
        <w:tc>
          <w:tcPr>
            <w:tcW w:type="dxa" w:w="3117"/>
            <w:shd w:fill="FFFFFF" w:val="clear"/>
            <w:tcMar>
              <w:top w:type="dxa" w:w="90"/>
              <w:left w:type="dxa" w:w="120"/>
              <w:bottom w:type="dxa" w:w="90"/>
              <w:right w:type="dxa" w:w="120"/>
            </w:tcMar>
            <w:vAlign w:val="center"/>
          </w:tcPr>
          <w:p>
            <w:r>
              <w:rPr>
                <w:sz w:val="19"/>
                <w:szCs w:val="19"/>
              </w:rPr>
              <w:t xml:space="preserve">90</w:t>
            </w:r>
          </w:p>
        </w:tc>
      </w:tr>
      <w:tr>
        <w:tc>
          <w:tcPr>
            <w:tcW w:type="dxa" w:w="3116"/>
            <w:shd w:fill="F2F2F2" w:val="clear"/>
            <w:tcMar>
              <w:top w:type="dxa" w:w="90"/>
              <w:left w:type="dxa" w:w="120"/>
              <w:bottom w:type="dxa" w:w="90"/>
              <w:right w:type="dxa" w:w="120"/>
            </w:tcMar>
            <w:vAlign w:val="center"/>
          </w:tcPr>
          <w:p>
            <w:r>
              <w:rPr>
                <w:sz w:val="19"/>
                <w:szCs w:val="19"/>
              </w:rPr>
              <w:t xml:space="preserve">Execution Difficulty</w:t>
            </w:r>
          </w:p>
        </w:tc>
        <w:tc>
          <w:tcPr>
            <w:tcW w:type="dxa" w:w="3117"/>
            <w:shd w:fill="F2F2F2" w:val="clear"/>
            <w:tcMar>
              <w:top w:type="dxa" w:w="90"/>
              <w:left w:type="dxa" w:w="120"/>
              <w:bottom w:type="dxa" w:w="90"/>
              <w:right w:type="dxa" w:w="120"/>
            </w:tcMar>
            <w:vAlign w:val="center"/>
          </w:tcPr>
          <w:p>
            <w:r>
              <w:rPr>
                <w:sz w:val="19"/>
                <w:szCs w:val="19"/>
              </w:rPr>
              <w:t xml:space="preserve">91</w:t>
            </w:r>
          </w:p>
        </w:tc>
        <w:tc>
          <w:tcPr>
            <w:tcW w:type="dxa" w:w="3117"/>
            <w:shd w:fill="F2F2F2" w:val="clear"/>
            <w:tcMar>
              <w:top w:type="dxa" w:w="90"/>
              <w:left w:type="dxa" w:w="120"/>
              <w:bottom w:type="dxa" w:w="90"/>
              <w:right w:type="dxa" w:w="120"/>
            </w:tcMar>
            <w:vAlign w:val="center"/>
          </w:tcPr>
          <w:p>
            <w:r>
              <w:rPr>
                <w:sz w:val="19"/>
                <w:szCs w:val="19"/>
              </w:rPr>
              <w:t xml:space="preserve">94</w:t>
            </w:r>
          </w:p>
        </w:tc>
      </w:tr>
    </w:tbl>
    <w:p>
      <w:pPr>
        <w:pStyle w:val="Heading2"/>
        <w:spacing w:after="140" w:before="280"/>
      </w:pPr>
      <w:r>
        <w:rPr>
          <w:b/>
          <w:bCs/>
          <w:color w:val="1F2A44"/>
          <w:sz w:val="24"/>
          <w:szCs w:val="24"/>
        </w:rPr>
        <w:t xml:space="preserve">Final Committee Opinion</w:t>
      </w:r>
    </w:p>
    <w:p>
      <w:pPr>
        <w:spacing w:after="140" w:line="276"/>
      </w:pPr>
      <w:r>
        <w:rPr>
          <w:b/>
          <w:bCs/>
          <w:sz w:val="21"/>
          <w:szCs w:val="21"/>
        </w:rPr>
        <w:t xml:space="preserve">The committee does not reject the opportunity. Instead, it changes the recommendation from "Build with modifications" to "Validate first, then build with modifications."</w:t>
      </w:r>
    </w:p>
    <w:p>
      <w:pPr>
        <w:spacing w:after="140" w:line="276"/>
      </w:pPr>
      <w:r>
        <w:rPr>
          <w:sz w:val="21"/>
          <w:szCs w:val="21"/>
        </w:rPr>
        <w:t xml:space="preserve">The distinction is important. At this stage, the largest uncertainty is not the technology. It is commercial validation. If Egyptian brands confirm that they have a recurring, measurable need for this service and are willing to pay sustainable prices, the opportunity becomes substantially stronger.</w:t>
      </w:r>
    </w:p>
    <w:p>
      <w:pPr>
        <w:pStyle w:val="Heading2"/>
        <w:spacing w:after="140" w:before="280"/>
      </w:pPr>
      <w:r>
        <w:rPr>
          <w:b/>
          <w:bCs/>
          <w:color w:val="1F2A44"/>
          <w:sz w:val="24"/>
          <w:szCs w:val="24"/>
        </w:rPr>
        <w:t xml:space="preserve">Confidence Assessment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1900"/>
        <w:gridCol w:w="52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Dimension</w:t>
            </w:r>
          </w:p>
        </w:tc>
        <w:tc>
          <w:tcPr>
            <w:tcW w:type="dxa" w:w="1900"/>
            <w:shd w:fill="1F2A44" w:val="clear"/>
            <w:tcMar>
              <w:top w:type="dxa" w:w="100"/>
              <w:left w:type="dxa" w:w="120"/>
              <w:bottom w:type="dxa" w:w="100"/>
              <w:right w:type="dxa" w:w="120"/>
            </w:tcMar>
            <w:vAlign w:val="center"/>
          </w:tcPr>
          <w:p>
            <w:r>
              <w:rPr>
                <w:b/>
                <w:bCs/>
                <w:color w:val="FFFFFF"/>
                <w:sz w:val="19"/>
                <w:szCs w:val="19"/>
              </w:rPr>
              <w:t xml:space="preserve">Confidence</w:t>
            </w:r>
          </w:p>
        </w:tc>
        <w:tc>
          <w:tcPr>
            <w:tcW w:type="dxa" w:w="5250"/>
            <w:shd w:fill="1F2A44" w:val="clear"/>
            <w:tcMar>
              <w:top w:type="dxa" w:w="100"/>
              <w:left w:type="dxa" w:w="120"/>
              <w:bottom w:type="dxa" w:w="100"/>
              <w:right w:type="dxa" w:w="120"/>
            </w:tcMar>
            <w:vAlign w:val="center"/>
          </w:tcPr>
          <w:p>
            <w:r>
              <w:rPr>
                <w:b/>
                <w:bCs/>
                <w:color w:val="FFFFFF"/>
                <w:sz w:val="19"/>
                <w:szCs w:val="19"/>
              </w:rPr>
              <w:t xml:space="preserve">Rationale</w:t>
            </w:r>
          </w:p>
        </w:tc>
      </w:tr>
      <w:tr>
        <w:tc>
          <w:tcPr>
            <w:tcW w:type="dxa" w:w="2200"/>
            <w:shd w:fill="FFFFFF" w:val="clear"/>
            <w:tcMar>
              <w:top w:type="dxa" w:w="90"/>
              <w:left w:type="dxa" w:w="120"/>
              <w:bottom w:type="dxa" w:w="90"/>
              <w:right w:type="dxa" w:w="120"/>
            </w:tcMar>
            <w:vAlign w:val="center"/>
          </w:tcPr>
          <w:p>
            <w:r>
              <w:rPr>
                <w:sz w:val="19"/>
                <w:szCs w:val="19"/>
              </w:rPr>
              <w:t xml:space="preserve">Strategic direction</w:t>
            </w:r>
          </w:p>
        </w:tc>
        <w:tc>
          <w:tcPr>
            <w:tcW w:type="dxa" w:w="1900"/>
            <w:shd w:fill="FFFFFF" w:val="clear"/>
            <w:tcMar>
              <w:top w:type="dxa" w:w="90"/>
              <w:left w:type="dxa" w:w="120"/>
              <w:bottom w:type="dxa" w:w="90"/>
              <w:right w:type="dxa" w:w="120"/>
            </w:tcMar>
            <w:vAlign w:val="center"/>
          </w:tcPr>
          <w:p>
            <w:r>
              <w:rPr>
                <w:sz w:val="19"/>
                <w:szCs w:val="19"/>
              </w:rPr>
              <w:t xml:space="preserve">High</w:t>
            </w:r>
          </w:p>
        </w:tc>
        <w:tc>
          <w:tcPr>
            <w:tcW w:type="dxa" w:w="5250"/>
            <w:shd w:fill="FFFFFF" w:val="clear"/>
            <w:tcMar>
              <w:top w:type="dxa" w:w="90"/>
              <w:left w:type="dxa" w:w="120"/>
              <w:bottom w:type="dxa" w:w="90"/>
              <w:right w:type="dxa" w:w="120"/>
            </w:tcMar>
            <w:vAlign w:val="center"/>
          </w:tcPr>
          <w:p>
            <w:r>
              <w:rPr>
                <w:sz w:val="19"/>
                <w:szCs w:val="19"/>
              </w:rPr>
              <w:t xml:space="preserve">The reframing from a "sampling platform" to a "consumer intelligence platform" is well supported by both the video's business model and industry dynamics.</w:t>
            </w:r>
          </w:p>
        </w:tc>
      </w:tr>
      <w:tr>
        <w:tc>
          <w:tcPr>
            <w:tcW w:type="dxa" w:w="2200"/>
            <w:shd w:fill="F2F2F2" w:val="clear"/>
            <w:tcMar>
              <w:top w:type="dxa" w:w="90"/>
              <w:left w:type="dxa" w:w="120"/>
              <w:bottom w:type="dxa" w:w="90"/>
              <w:right w:type="dxa" w:w="120"/>
            </w:tcMar>
            <w:vAlign w:val="center"/>
          </w:tcPr>
          <w:p>
            <w:r>
              <w:rPr>
                <w:sz w:val="19"/>
                <w:szCs w:val="19"/>
              </w:rPr>
              <w:t xml:space="preserve">Financial projections</w:t>
            </w:r>
          </w:p>
        </w:tc>
        <w:tc>
          <w:tcPr>
            <w:tcW w:type="dxa" w:w="1900"/>
            <w:shd w:fill="F2F2F2" w:val="clear"/>
            <w:tcMar>
              <w:top w:type="dxa" w:w="90"/>
              <w:left w:type="dxa" w:w="120"/>
              <w:bottom w:type="dxa" w:w="90"/>
              <w:right w:type="dxa" w:w="120"/>
            </w:tcMar>
            <w:vAlign w:val="center"/>
          </w:tcPr>
          <w:p>
            <w:r>
              <w:rPr>
                <w:sz w:val="19"/>
                <w:szCs w:val="19"/>
              </w:rPr>
              <w:t xml:space="preserve">Moderate–Low</w:t>
            </w:r>
          </w:p>
        </w:tc>
        <w:tc>
          <w:tcPr>
            <w:tcW w:type="dxa" w:w="5250"/>
            <w:shd w:fill="F2F2F2" w:val="clear"/>
            <w:tcMar>
              <w:top w:type="dxa" w:w="90"/>
              <w:left w:type="dxa" w:w="120"/>
              <w:bottom w:type="dxa" w:w="90"/>
              <w:right w:type="dxa" w:w="120"/>
            </w:tcMar>
            <w:vAlign w:val="center"/>
          </w:tcPr>
          <w:p>
            <w:r>
              <w:rPr>
                <w:sz w:val="19"/>
                <w:szCs w:val="19"/>
              </w:rPr>
              <w:t xml:space="preserve">Illustrative because they were not built from validated market interviews, verified pricing, or audited industry spending data.</w:t>
            </w:r>
          </w:p>
        </w:tc>
      </w:tr>
      <w:tr>
        <w:tc>
          <w:tcPr>
            <w:tcW w:type="dxa" w:w="2200"/>
            <w:shd w:fill="FFFFFF" w:val="clear"/>
            <w:tcMar>
              <w:top w:type="dxa" w:w="90"/>
              <w:left w:type="dxa" w:w="120"/>
              <w:bottom w:type="dxa" w:w="90"/>
              <w:right w:type="dxa" w:w="120"/>
            </w:tcMar>
            <w:vAlign w:val="center"/>
          </w:tcPr>
          <w:p>
            <w:r>
              <w:rPr>
                <w:sz w:val="19"/>
                <w:szCs w:val="19"/>
              </w:rPr>
              <w:t xml:space="preserve">Investment recommendation</w:t>
            </w:r>
          </w:p>
        </w:tc>
        <w:tc>
          <w:tcPr>
            <w:tcW w:type="dxa" w:w="1900"/>
            <w:shd w:fill="FFFFFF" w:val="clear"/>
            <w:tcMar>
              <w:top w:type="dxa" w:w="90"/>
              <w:left w:type="dxa" w:w="120"/>
              <w:bottom w:type="dxa" w:w="90"/>
              <w:right w:type="dxa" w:w="120"/>
            </w:tcMar>
            <w:vAlign w:val="center"/>
          </w:tcPr>
          <w:p>
            <w:r>
              <w:rPr>
                <w:sz w:val="19"/>
                <w:szCs w:val="19"/>
              </w:rPr>
              <w:t xml:space="preserve">Moderate</w:t>
            </w:r>
          </w:p>
        </w:tc>
        <w:tc>
          <w:tcPr>
            <w:tcW w:type="dxa" w:w="5250"/>
            <w:shd w:fill="FFFFFF" w:val="clear"/>
            <w:tcMar>
              <w:top w:type="dxa" w:w="90"/>
              <w:left w:type="dxa" w:w="120"/>
              <w:bottom w:type="dxa" w:w="90"/>
              <w:right w:type="dxa" w:w="120"/>
            </w:tcMar>
            <w:vAlign w:val="center"/>
          </w:tcPr>
          <w:p>
            <w:r>
              <w:rPr>
                <w:sz w:val="19"/>
                <w:szCs w:val="19"/>
              </w:rPr>
              <w:t xml:space="preserve">Would not recommend committing significant capital based only on this analysis. Would recommend funding a structured discovery phase (customer interviews, pilots, unit economics) before approving a full-scale launch.</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Investment Due Diligence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2026-07-26T16:41:21.870Z</dcterms:created>
  <dcterms:modified xsi:type="dcterms:W3CDTF">2026-07-26T16:41:21.888Z</dcterms:modified>
</cp:coreProperties>
</file>

<file path=docProps/custom.xml><?xml version="1.0" encoding="utf-8"?>
<Properties xmlns="http://schemas.openxmlformats.org/officeDocument/2006/custom-properties" xmlns:vt="http://schemas.openxmlformats.org/officeDocument/2006/docPropsVTypes"/>
</file>