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80"/>
        <w:jc w:val="center"/>
      </w:pPr>
      <w:r>
        <w:rPr>
          <w:b/>
          <w:bCs/>
          <w:color w:val="1F2A44"/>
          <w:sz w:val="42"/>
          <w:szCs w:val="42"/>
        </w:rPr>
        <w:t xml:space="preserve">INVESTMENT COMMITTEE MEMO</w:t>
      </w:r>
    </w:p>
    <w:p>
      <w:pPr>
        <w:spacing w:after="60"/>
        <w:jc w:val="center"/>
      </w:pPr>
      <w:r>
        <w:rPr>
          <w:b/>
          <w:bCs/>
          <w:color w:val="D68910"/>
          <w:sz w:val="24"/>
          <w:szCs w:val="24"/>
        </w:rPr>
        <w:t xml:space="preserve">FINAL EDITION — VERSION 1.0</w:t>
      </w:r>
    </w:p>
    <w:p>
      <w:pPr>
        <w:spacing w:after="350"/>
        <w:jc w:val="center"/>
      </w:pPr>
      <w:r>
        <w:rPr>
          <w:color w:val="6B7280"/>
          <w:sz w:val="24"/>
          <w:szCs w:val="24"/>
        </w:rPr>
        <w:t xml:space="preserve">Consumer Sampling &amp; Intelligence Platform — Egypt Market Entry</w:t>
      </w:r>
    </w:p>
    <w:p>
      <w:pPr>
        <w:spacing w:after="60"/>
        <w:jc w:val="center"/>
      </w:pPr>
      <w:r>
        <w:rPr>
          <w:i/>
          <w:iCs/>
          <w:sz w:val="21"/>
          <w:szCs w:val="21"/>
        </w:rPr>
        <w:t xml:space="preserve">Reference Case: Samplia (Barcelona/Madrid, Spain)</w:t>
      </w:r>
    </w:p>
    <w:p>
      <w:pPr>
        <w:spacing w:before="5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6550"/>
      </w:tblGrid>
      <w:tr>
        <w:trPr>
          <w:tblHeader/>
        </w:trPr>
        <w:tc>
          <w:tcPr>
            <w:tcW w:type="dxa" w:w="2800"/>
            <w:shd w:fill="1F2A44" w:val="clear"/>
            <w:tcMar>
              <w:top w:type="dxa" w:w="100"/>
              <w:left w:type="dxa" w:w="120"/>
              <w:bottom w:type="dxa" w:w="100"/>
              <w:right w:type="dxa" w:w="120"/>
            </w:tcMar>
            <w:vAlign w:val="center"/>
          </w:tcPr>
          <w:p>
            <w:r>
              <w:rPr>
                <w:b/>
                <w:bCs/>
                <w:color w:val="FFFFFF"/>
                <w:sz w:val="19"/>
                <w:szCs w:val="19"/>
              </w:rPr>
              <w:t xml:space="preserve">Field</w:t>
            </w:r>
          </w:p>
        </w:tc>
        <w:tc>
          <w:tcPr>
            <w:tcW w:type="dxa" w:w="6550"/>
            <w:shd w:fill="1F2A44" w:val="clear"/>
            <w:tcMar>
              <w:top w:type="dxa" w:w="100"/>
              <w:left w:type="dxa" w:w="120"/>
              <w:bottom w:type="dxa" w:w="100"/>
              <w:right w:type="dxa" w:w="120"/>
            </w:tcMar>
            <w:vAlign w:val="center"/>
          </w:tcPr>
          <w:p>
            <w:r>
              <w:rPr>
                <w:b/>
                <w:bCs/>
                <w:color w:val="FFFFFF"/>
                <w:sz w:val="19"/>
                <w:szCs w:val="19"/>
              </w:rPr>
              <w:t xml:space="preserve">Detail</w:t>
            </w:r>
          </w:p>
        </w:tc>
      </w:tr>
      <w:tr>
        <w:tc>
          <w:tcPr>
            <w:tcW w:type="dxa" w:w="2800"/>
            <w:shd w:fill="FFFFFF" w:val="clear"/>
            <w:tcMar>
              <w:top w:type="dxa" w:w="90"/>
              <w:left w:type="dxa" w:w="120"/>
              <w:bottom w:type="dxa" w:w="90"/>
              <w:right w:type="dxa" w:w="120"/>
            </w:tcMar>
            <w:vAlign w:val="center"/>
          </w:tcPr>
          <w:p>
            <w:r>
              <w:rPr>
                <w:sz w:val="19"/>
                <w:szCs w:val="19"/>
              </w:rPr>
              <w:t xml:space="preserve">Project</w:t>
            </w:r>
          </w:p>
        </w:tc>
        <w:tc>
          <w:tcPr>
            <w:tcW w:type="dxa" w:w="6550"/>
            <w:shd w:fill="FFFFFF" w:val="clear"/>
            <w:tcMar>
              <w:top w:type="dxa" w:w="90"/>
              <w:left w:type="dxa" w:w="120"/>
              <w:bottom w:type="dxa" w:w="90"/>
              <w:right w:type="dxa" w:w="120"/>
            </w:tcMar>
            <w:vAlign w:val="center"/>
          </w:tcPr>
          <w:p>
            <w:r>
              <w:rPr>
                <w:sz w:val="19"/>
                <w:szCs w:val="19"/>
              </w:rPr>
              <w:t xml:space="preserve">Egypt Market Entry — Consumer Sampling &amp; Intelligence Platform</w:t>
            </w:r>
          </w:p>
        </w:tc>
      </w:tr>
      <w:tr>
        <w:tc>
          <w:tcPr>
            <w:tcW w:type="dxa" w:w="2800"/>
            <w:shd w:fill="F2F2F2" w:val="clear"/>
            <w:tcMar>
              <w:top w:type="dxa" w:w="90"/>
              <w:left w:type="dxa" w:w="120"/>
              <w:bottom w:type="dxa" w:w="90"/>
              <w:right w:type="dxa" w:w="120"/>
            </w:tcMar>
            <w:vAlign w:val="center"/>
          </w:tcPr>
          <w:p>
            <w:r>
              <w:rPr>
                <w:sz w:val="19"/>
                <w:szCs w:val="19"/>
              </w:rPr>
              <w:t xml:space="preserve">Reference Company</w:t>
            </w:r>
          </w:p>
        </w:tc>
        <w:tc>
          <w:tcPr>
            <w:tcW w:type="dxa" w:w="6550"/>
            <w:shd w:fill="F2F2F2" w:val="clear"/>
            <w:tcMar>
              <w:top w:type="dxa" w:w="90"/>
              <w:left w:type="dxa" w:w="120"/>
              <w:bottom w:type="dxa" w:w="90"/>
              <w:right w:type="dxa" w:w="120"/>
            </w:tcMar>
            <w:vAlign w:val="center"/>
          </w:tcPr>
          <w:p>
            <w:r>
              <w:rPr>
                <w:sz w:val="19"/>
                <w:szCs w:val="19"/>
              </w:rPr>
              <w:t xml:space="preserve">Samplia (Spain)</w:t>
            </w:r>
          </w:p>
        </w:tc>
      </w:tr>
      <w:tr>
        <w:tc>
          <w:tcPr>
            <w:tcW w:type="dxa" w:w="2800"/>
            <w:shd w:fill="FFFFFF" w:val="clear"/>
            <w:tcMar>
              <w:top w:type="dxa" w:w="90"/>
              <w:left w:type="dxa" w:w="120"/>
              <w:bottom w:type="dxa" w:w="90"/>
              <w:right w:type="dxa" w:w="120"/>
            </w:tcMar>
            <w:vAlign w:val="center"/>
          </w:tcPr>
          <w:p>
            <w:r>
              <w:rPr>
                <w:sz w:val="19"/>
                <w:szCs w:val="19"/>
              </w:rPr>
              <w:t xml:space="preserve">Country of Analysis</w:t>
            </w:r>
          </w:p>
        </w:tc>
        <w:tc>
          <w:tcPr>
            <w:tcW w:type="dxa" w:w="6550"/>
            <w:shd w:fill="FFFFFF" w:val="clear"/>
            <w:tcMar>
              <w:top w:type="dxa" w:w="90"/>
              <w:left w:type="dxa" w:w="120"/>
              <w:bottom w:type="dxa" w:w="90"/>
              <w:right w:type="dxa" w:w="120"/>
            </w:tcMar>
            <w:vAlign w:val="center"/>
          </w:tcPr>
          <w:p>
            <w:r>
              <w:rPr>
                <w:sz w:val="19"/>
                <w:szCs w:val="19"/>
              </w:rPr>
              <w:t xml:space="preserve">Arab Republic of Egypt</w:t>
            </w:r>
          </w:p>
        </w:tc>
      </w:tr>
      <w:tr>
        <w:tc>
          <w:tcPr>
            <w:tcW w:type="dxa" w:w="2800"/>
            <w:shd w:fill="F2F2F2" w:val="clear"/>
            <w:tcMar>
              <w:top w:type="dxa" w:w="90"/>
              <w:left w:type="dxa" w:w="120"/>
              <w:bottom w:type="dxa" w:w="90"/>
              <w:right w:type="dxa" w:w="120"/>
            </w:tcMar>
            <w:vAlign w:val="center"/>
          </w:tcPr>
          <w:p>
            <w:r>
              <w:rPr>
                <w:sz w:val="19"/>
                <w:szCs w:val="19"/>
              </w:rPr>
              <w:t xml:space="preserve">Document Status</w:t>
            </w:r>
          </w:p>
        </w:tc>
        <w:tc>
          <w:tcPr>
            <w:tcW w:type="dxa" w:w="6550"/>
            <w:shd w:fill="F2F2F2" w:val="clear"/>
            <w:tcMar>
              <w:top w:type="dxa" w:w="90"/>
              <w:left w:type="dxa" w:w="120"/>
              <w:bottom w:type="dxa" w:w="90"/>
              <w:right w:type="dxa" w:w="120"/>
            </w:tcMar>
            <w:vAlign w:val="center"/>
          </w:tcPr>
          <w:p>
            <w:r>
              <w:rPr>
                <w:sz w:val="19"/>
                <w:szCs w:val="19"/>
              </w:rPr>
              <w:t xml:space="preserve">FINAL — supersedes all prior drafts and working notes on this opportunity</w:t>
            </w:r>
          </w:p>
        </w:tc>
      </w:tr>
      <w:tr>
        <w:tc>
          <w:tcPr>
            <w:tcW w:type="dxa" w:w="2800"/>
            <w:shd w:fill="FFFFFF" w:val="clear"/>
            <w:tcMar>
              <w:top w:type="dxa" w:w="90"/>
              <w:left w:type="dxa" w:w="120"/>
              <w:bottom w:type="dxa" w:w="90"/>
              <w:right w:type="dxa" w:w="120"/>
            </w:tcMar>
            <w:vAlign w:val="center"/>
          </w:tcPr>
          <w:p>
            <w:r>
              <w:rPr>
                <w:sz w:val="19"/>
                <w:szCs w:val="19"/>
              </w:rPr>
              <w:t xml:space="preserve">Date</w:t>
            </w:r>
          </w:p>
        </w:tc>
        <w:tc>
          <w:tcPr>
            <w:tcW w:type="dxa" w:w="6550"/>
            <w:shd w:fill="FFFFFF" w:val="clear"/>
            <w:tcMar>
              <w:top w:type="dxa" w:w="90"/>
              <w:left w:type="dxa" w:w="120"/>
              <w:bottom w:type="dxa" w:w="90"/>
              <w:right w:type="dxa" w:w="120"/>
            </w:tcMar>
            <w:vAlign w:val="center"/>
          </w:tcPr>
          <w:p>
            <w:r>
              <w:rPr>
                <w:sz w:val="19"/>
                <w:szCs w:val="19"/>
              </w:rPr>
              <w:t xml:space="preserve">26 July 2026</w:t>
            </w:r>
          </w:p>
        </w:tc>
      </w:tr>
      <w:tr>
        <w:tc>
          <w:tcPr>
            <w:tcW w:type="dxa" w:w="2800"/>
            <w:shd w:fill="F2F2F2" w:val="clear"/>
            <w:tcMar>
              <w:top w:type="dxa" w:w="90"/>
              <w:left w:type="dxa" w:w="120"/>
              <w:bottom w:type="dxa" w:w="90"/>
              <w:right w:type="dxa" w:w="120"/>
            </w:tcMar>
            <w:vAlign w:val="center"/>
          </w:tcPr>
          <w:p>
            <w:r>
              <w:rPr>
                <w:sz w:val="19"/>
                <w:szCs w:val="19"/>
              </w:rPr>
              <w:t xml:space="preserve">Prepared For</w:t>
            </w:r>
          </w:p>
        </w:tc>
        <w:tc>
          <w:tcPr>
            <w:tcW w:type="dxa" w:w="6550"/>
            <w:shd w:fill="F2F2F2" w:val="clear"/>
            <w:tcMar>
              <w:top w:type="dxa" w:w="90"/>
              <w:left w:type="dxa" w:w="120"/>
              <w:bottom w:type="dxa" w:w="90"/>
              <w:right w:type="dxa" w:w="120"/>
            </w:tcMar>
            <w:vAlign w:val="center"/>
          </w:tcPr>
          <w:p>
            <w:r>
              <w:rPr>
                <w:sz w:val="19"/>
                <w:szCs w:val="19"/>
              </w:rPr>
              <w:t xml:space="preserve">Investment Committee</w:t>
            </w:r>
          </w:p>
        </w:tc>
      </w:tr>
      <w:tr>
        <w:tc>
          <w:tcPr>
            <w:tcW w:type="dxa" w:w="2800"/>
            <w:shd w:fill="FFFFFF" w:val="clear"/>
            <w:tcMar>
              <w:top w:type="dxa" w:w="90"/>
              <w:left w:type="dxa" w:w="120"/>
              <w:bottom w:type="dxa" w:w="90"/>
              <w:right w:type="dxa" w:w="120"/>
            </w:tcMar>
            <w:vAlign w:val="center"/>
          </w:tcPr>
          <w:p>
            <w:r>
              <w:rPr>
                <w:sz w:val="19"/>
                <w:szCs w:val="19"/>
              </w:rPr>
              <w:t xml:space="preserve">Version</w:t>
            </w:r>
          </w:p>
        </w:tc>
        <w:tc>
          <w:tcPr>
            <w:tcW w:type="dxa" w:w="6550"/>
            <w:shd w:fill="FFFFFF" w:val="clear"/>
            <w:tcMar>
              <w:top w:type="dxa" w:w="90"/>
              <w:left w:type="dxa" w:w="120"/>
              <w:bottom w:type="dxa" w:w="90"/>
              <w:right w:type="dxa" w:w="120"/>
            </w:tcMar>
            <w:vAlign w:val="center"/>
          </w:tcPr>
          <w:p>
            <w:r>
              <w:rPr>
                <w:sz w:val="19"/>
                <w:szCs w:val="19"/>
              </w:rPr>
              <w:t xml:space="preserve">1.0 (Final)</w:t>
            </w:r>
          </w:p>
        </w:tc>
      </w:tr>
    </w:tbl>
    <w:p>
      <w:pPr>
        <w:spacing w:before="400"/>
      </w:pP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100"/>
            </w:pPr>
            <w:r>
              <w:rPr>
                <w:b/>
                <w:bCs/>
                <w:color w:val="C0392B"/>
                <w:sz w:val="23"/>
                <w:szCs w:val="23"/>
              </w:rPr>
              <w:t xml:space="preserve">COMMITTEE DECISION — AT A GLANCE</w:t>
            </w:r>
          </w:p>
          <w:p>
            <w:pPr>
              <w:spacing w:after="60"/>
            </w:pPr>
            <w:r>
              <w:rPr>
                <w:sz w:val="20"/>
                <w:szCs w:val="20"/>
              </w:rPr>
              <w:t xml:space="preserve">• Recommendation: CONDITIONAL APPROVAL — Fund a bounded discovery phase, not a full launch.</w:t>
            </w:r>
          </w:p>
          <w:p>
            <w:pPr>
              <w:spacing w:after="60"/>
            </w:pPr>
            <w:r>
              <w:rPr>
                <w:sz w:val="20"/>
                <w:szCs w:val="20"/>
              </w:rPr>
              <w:t xml:space="preserve">• Do not fund the full build ($303k) or the lean MVP ($90–120k) yet. Fund a $15–25k, 60-day commercial validation sprint first (see Section 11).</w:t>
            </w:r>
          </w:p>
          <w:p>
            <w:pPr>
              <w:spacing w:after="60"/>
            </w:pPr>
            <w:r>
              <w:rPr>
                <w:sz w:val="20"/>
                <w:szCs w:val="20"/>
              </w:rPr>
              <w:t xml:space="preserve">• Overall Investment Score: 78/100 (Moderate). Full scorecard in Section 10.</w:t>
            </w:r>
          </w:p>
          <w:p>
            <w:pPr>
              <w:spacing w:after="60"/>
            </w:pPr>
            <w:r>
              <w:rPr>
                <w:sz w:val="20"/>
                <w:szCs w:val="20"/>
              </w:rPr>
              <w:t xml:space="preserve">• This is a strategy-stage opportunity, not a diligence-complete one: the core thesis is sound, the commercial evidence is not yet there.</w:t>
            </w:r>
          </w:p>
        </w:tc>
      </w:tr>
    </w:tbl>
    <w:p>
      <w:pPr>
        <w:sectPr>
          <w:pgSz w:w="11906" w:h="16838" w:orient="portrait"/>
          <w:pgMar w:top="1080" w:right="1080" w:bottom="1080" w:left="1080" w:header="708" w:footer="708" w:gutter="0"/>
          <w:pgNumType/>
          <w:docGrid w:linePitch="360"/>
        </w:sectPr>
      </w:pPr>
    </w:p>
    <w:p>
      <w:pPr>
        <w:pStyle w:val="Heading1"/>
        <w:pBdr>
          <w:bottom w:val="single" w:color="1F2A44" w:sz="8" w:space="4"/>
        </w:pBdr>
        <w:spacing w:after="200" w:before="400"/>
      </w:pPr>
      <w:r>
        <w:rPr>
          <w:b/>
          <w:bCs/>
          <w:color w:val="1F2A4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080" w:right="1080" w:bottom="1080" w:left="1080" w:header="708" w:footer="708" w:gutter="0"/>
          <w:pgNumType/>
          <w:docGrid w:linePitch="360"/>
        </w:sectPr>
      </w:pPr>
    </w:p>
    <w:p>
      <w:pPr>
        <w:pStyle w:val="Heading1"/>
        <w:pBdr>
          <w:bottom w:val="single" w:color="1F2A44" w:sz="8" w:space="4"/>
        </w:pBdr>
        <w:spacing w:after="200" w:before="400"/>
      </w:pPr>
      <w:r>
        <w:rPr>
          <w:b/>
          <w:bCs/>
          <w:color w:val="1F2A44"/>
          <w:sz w:val="30"/>
          <w:szCs w:val="30"/>
        </w:rPr>
        <w:t xml:space="preserve">1. Executive Summary</w:t>
      </w:r>
    </w:p>
    <w:p>
      <w:pPr>
        <w:spacing w:after="140" w:line="276"/>
      </w:pPr>
      <w:r>
        <w:rPr>
          <w:sz w:val="21"/>
          <w:szCs w:val="21"/>
        </w:rPr>
        <w:t xml:space="preserve">The opportunity is not a free-sample distribution app. The product is a consumer-data and brand-intelligence layer; free sampling is the low-cost mechanic that earns the right to collect permissioned, structured consumer data at scale. The paying customer is the FMCG/beauty/pharma brand manager — not the consumer who receives the sample. This reframing is the single most important strategic insight in this memo and is the basis for the entire business model recommended below.</w:t>
      </w:r>
    </w:p>
    <w:p>
      <w:pPr>
        <w:spacing w:after="140" w:line="276"/>
      </w:pPr>
      <w:r>
        <w:rPr>
          <w:sz w:val="21"/>
          <w:szCs w:val="21"/>
        </w:rPr>
        <w:t xml:space="preserve">The reference model, Samplia (Spain), is a decade-old company (founded 2013) that has reached meaningful scale — tens of millions of samples distributed, 300–400+ brands served, roughly 2 million app users — without any public record of institutional funding. That combination (durable, bootstrapped, mid-scale) points to a solid regional services business, not a proven venture-scale outcome. Egypt planning should be anchored to that base case, with platform/data-scale upside treated as stretch potential rather than the default scenario.</w:t>
      </w:r>
    </w:p>
    <w:p>
      <w:pPr>
        <w:spacing w:after="140" w:line="276"/>
      </w:pPr>
      <w:r>
        <w:rPr>
          <w:sz w:val="21"/>
          <w:szCs w:val="21"/>
        </w:rPr>
        <w:t xml:space="preserve">A literal copy of the Spanish model is not recommended. An Egypt-first redesign — portable retail-partner kiosks instead of permanent installations, an Arabic-first rewards-platform app instead of a plain sampling app, and AI-generated consumer-intelligence narratives instead of raw dashboards — has a materially stronger fit, but the commercial case remains unproven: zero customer interviews have been conducted, no bottom-up market sizing exists, and a real Egyptian/regional competitor with an FMCG analytics platform (Marketeers Research) has been identified, which narrows the differentiation claim made in earlier drafts of this analysis.</w:t>
      </w:r>
    </w:p>
    <w:p>
      <w:pPr>
        <w:spacing w:after="140" w:line="276"/>
      </w:pPr>
      <w:r>
        <w:rPr>
          <w:b/>
          <w:bCs/>
          <w:sz w:val="21"/>
          <w:szCs w:val="21"/>
        </w:rPr>
        <w:t xml:space="preserve">Recommendation: fund a bounded, cheap discovery phase — not the full build — with explicit go/no-go criteria before any further capital is committed.</w:t>
      </w:r>
    </w:p>
    <w:p>
      <w:r>
        <w:br w:type="page"/>
      </w:r>
    </w:p>
    <w:p>
      <w:pPr>
        <w:pStyle w:val="Heading1"/>
        <w:pBdr>
          <w:bottom w:val="single" w:color="1F2A44" w:sz="8" w:space="4"/>
        </w:pBdr>
        <w:spacing w:after="200" w:before="400"/>
      </w:pPr>
      <w:r>
        <w:rPr>
          <w:b/>
          <w:bCs/>
          <w:color w:val="1F2A44"/>
          <w:sz w:val="30"/>
          <w:szCs w:val="30"/>
        </w:rPr>
        <w:t xml:space="preserve">2. The Opportunity</w:t>
      </w:r>
    </w:p>
    <w:p>
      <w:pPr>
        <w:pStyle w:val="Heading3"/>
        <w:spacing w:after="100" w:before="200"/>
      </w:pPr>
      <w:r>
        <w:rPr>
          <w:b/>
          <w:bCs/>
          <w:color w:val="374151"/>
          <w:sz w:val="21"/>
          <w:szCs w:val="21"/>
        </w:rPr>
        <w:t xml:space="preserve">What is being proposed</w:t>
      </w:r>
    </w:p>
    <w:p>
      <w:pPr>
        <w:spacing w:after="140" w:line="276"/>
      </w:pPr>
      <w:r>
        <w:rPr>
          <w:sz w:val="21"/>
          <w:szCs w:val="21"/>
        </w:rPr>
        <w:t xml:space="preserve">A mobile-app-linked, in-person product sampling network for the Egyptian market: consumers receive free samples of new FMCG/beauty/pharma products at retail-partner locations and pop-up sites, complete a short in-app survey immediately after trial, and brands pay for the campaign plus the resulting structured, demographically-tagged consumer data and analytics.</w:t>
      </w:r>
    </w:p>
    <w:p>
      <w:pPr>
        <w:pStyle w:val="Heading3"/>
        <w:spacing w:after="100" w:before="200"/>
      </w:pPr>
      <w:r>
        <w:rPr>
          <w:b/>
          <w:bCs/>
          <w:color w:val="374151"/>
          <w:sz w:val="21"/>
          <w:szCs w:val="21"/>
        </w:rPr>
        <w:t xml:space="preserve">The problem for brands (the real customer)</w:t>
      </w:r>
    </w:p>
    <w:p>
      <w:pPr>
        <w:pStyle w:val="ListParagraph"/>
        <w:numPr>
          <w:ilvl w:val="0"/>
          <w:numId w:val="1"/>
        </w:numPr>
        <w:spacing w:after="70"/>
      </w:pPr>
      <w:r>
        <w:rPr>
          <w:sz w:val="21"/>
          <w:szCs w:val="21"/>
        </w:rPr>
        <w:t xml:space="preserve">Sample distribution today is largely unmeasured — brands don't know who received a sample, whether it was tried, liked, or led to a repeat purchase.</w:t>
      </w:r>
    </w:p>
    <w:p>
      <w:pPr>
        <w:pStyle w:val="ListParagraph"/>
        <w:numPr>
          <w:ilvl w:val="0"/>
          <w:numId w:val="1"/>
        </w:numPr>
        <w:spacing w:after="70"/>
      </w:pPr>
      <w:r>
        <w:rPr>
          <w:sz w:val="21"/>
          <w:szCs w:val="21"/>
        </w:rPr>
        <w:t xml:space="preserve">Traditional market research is slow — survey design, recruitment, fieldwork, and analysis can take weeks.</w:t>
      </w:r>
    </w:p>
    <w:p>
      <w:pPr>
        <w:pStyle w:val="ListParagraph"/>
        <w:numPr>
          <w:ilvl w:val="0"/>
          <w:numId w:val="1"/>
        </w:numPr>
        <w:spacing w:after="70"/>
      </w:pPr>
      <w:r>
        <w:rPr>
          <w:sz w:val="21"/>
          <w:szCs w:val="21"/>
        </w:rPr>
        <w:t xml:space="preserve">Brands need feedback within hours of product trial, not after a full research cycle.</w:t>
      </w:r>
    </w:p>
    <w:p>
      <w:pPr>
        <w:pStyle w:val="Heading3"/>
        <w:spacing w:after="100" w:before="200"/>
      </w:pPr>
      <w:r>
        <w:rPr>
          <w:b/>
          <w:bCs/>
          <w:color w:val="374151"/>
          <w:sz w:val="21"/>
          <w:szCs w:val="21"/>
        </w:rPr>
        <w:t xml:space="preserve">Core assumptions the model depends on</w:t>
      </w:r>
    </w:p>
    <w:p>
      <w:pPr>
        <w:pStyle w:val="ListParagraph"/>
        <w:numPr>
          <w:ilvl w:val="0"/>
          <w:numId w:val="1"/>
        </w:numPr>
        <w:spacing w:after="70"/>
      </w:pPr>
      <w:r>
        <w:rPr>
          <w:sz w:val="21"/>
          <w:szCs w:val="21"/>
        </w:rPr>
        <w:t xml:space="preserve">Consumers will complete a short post-trial survey in exchange for a free product.</w:t>
      </w:r>
    </w:p>
    <w:p>
      <w:pPr>
        <w:pStyle w:val="ListParagraph"/>
        <w:numPr>
          <w:ilvl w:val="0"/>
          <w:numId w:val="1"/>
        </w:numPr>
        <w:spacing w:after="70"/>
      </w:pPr>
      <w:r>
        <w:rPr>
          <w:sz w:val="21"/>
          <w:szCs w:val="21"/>
        </w:rPr>
        <w:t xml:space="preserve">Brands will pay a premium for attributable, tagged sampling data over traditional market research.</w:t>
      </w:r>
    </w:p>
    <w:p>
      <w:pPr>
        <w:pStyle w:val="ListParagraph"/>
        <w:numPr>
          <w:ilvl w:val="0"/>
          <w:numId w:val="1"/>
        </w:numPr>
        <w:spacing w:after="70"/>
      </w:pPr>
      <w:r>
        <w:rPr>
          <w:sz w:val="21"/>
          <w:szCs w:val="21"/>
        </w:rPr>
        <w:t xml:space="preserve">The cost of distributing a sample is lower than the value of the data it generates.</w:t>
      </w:r>
    </w:p>
    <w:p>
      <w:pPr>
        <w:pStyle w:val="ListParagraph"/>
        <w:numPr>
          <w:ilvl w:val="0"/>
          <w:numId w:val="1"/>
        </w:numPr>
        <w:spacing w:after="70"/>
      </w:pPr>
      <w:r>
        <w:rPr>
          <w:sz w:val="21"/>
          <w:szCs w:val="21"/>
        </w:rPr>
        <w:t xml:space="preserve">A large enough panel of verified, repeat users can be built for segment-level statistical usefulness.</w:t>
      </w:r>
    </w:p>
    <w:tbl>
      <w:tblPr>
        <w:tblW w:type="pct" w:w="100%"/>
        <w:tblBorders>
          <w:top w:val="single" w:color="C0392B" w:sz="6"/>
          <w:left w:val="single" w:color="C0392B" w:sz="6"/>
          <w:bottom w:val="single" w:color="C0392B" w:sz="6"/>
          <w:right w:val="single" w:color="C0392B" w:sz="6"/>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100"/>
            </w:pPr>
            <w:r>
              <w:rPr>
                <w:b/>
                <w:bCs/>
                <w:color w:val="C0392B"/>
                <w:sz w:val="22"/>
                <w:szCs w:val="22"/>
              </w:rPr>
              <w:t xml:space="preserve">Single point of failure</w:t>
            </w:r>
          </w:p>
          <w:p>
            <w:pPr>
              <w:spacing w:after="60"/>
            </w:pPr>
            <w:r>
              <w:rPr>
                <w:sz w:val="20"/>
                <w:szCs w:val="20"/>
              </w:rPr>
              <w:t xml:space="preserve">• If Egyptian brands are not willing to pay a meaningful premium over existing market-research spend for this specific data, the model does not work regardless of execution quality. This is the one assumption that must be tested before any further capital is committed.</w:t>
            </w:r>
          </w:p>
        </w:tc>
      </w:tr>
    </w:tbl>
    <w:p>
      <w:r>
        <w:br w:type="page"/>
      </w:r>
    </w:p>
    <w:p>
      <w:pPr>
        <w:pStyle w:val="Heading1"/>
        <w:pBdr>
          <w:bottom w:val="single" w:color="1F2A44" w:sz="8" w:space="4"/>
        </w:pBdr>
        <w:spacing w:after="200" w:before="400"/>
      </w:pPr>
      <w:r>
        <w:rPr>
          <w:b/>
          <w:bCs/>
          <w:color w:val="1F2A44"/>
          <w:sz w:val="30"/>
          <w:szCs w:val="30"/>
        </w:rPr>
        <w:t xml:space="preserve">3. Reference Company — Samplia</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6950"/>
      </w:tblGrid>
      <w:tr>
        <w:trPr>
          <w:tblHeader/>
        </w:trPr>
        <w:tc>
          <w:tcPr>
            <w:tcW w:type="dxa" w:w="2400"/>
            <w:shd w:fill="1F2A44" w:val="clear"/>
            <w:tcMar>
              <w:top w:type="dxa" w:w="100"/>
              <w:left w:type="dxa" w:w="120"/>
              <w:bottom w:type="dxa" w:w="100"/>
              <w:right w:type="dxa" w:w="120"/>
            </w:tcMar>
            <w:vAlign w:val="center"/>
          </w:tcPr>
          <w:p>
            <w:r>
              <w:rPr>
                <w:b/>
                <w:bCs/>
                <w:color w:val="FFFFFF"/>
                <w:sz w:val="19"/>
                <w:szCs w:val="19"/>
              </w:rPr>
              <w:t xml:space="preserve">Attribute</w:t>
            </w:r>
          </w:p>
        </w:tc>
        <w:tc>
          <w:tcPr>
            <w:tcW w:type="dxa" w:w="6950"/>
            <w:shd w:fill="1F2A44" w:val="clear"/>
            <w:tcMar>
              <w:top w:type="dxa" w:w="100"/>
              <w:left w:type="dxa" w:w="120"/>
              <w:bottom w:type="dxa" w:w="100"/>
              <w:right w:type="dxa" w:w="120"/>
            </w:tcMar>
            <w:vAlign w:val="center"/>
          </w:tcPr>
          <w:p>
            <w:r>
              <w:rPr>
                <w:b/>
                <w:bCs/>
                <w:color w:val="FFFFFF"/>
                <w:sz w:val="19"/>
                <w:szCs w:val="19"/>
              </w:rPr>
              <w:t xml:space="preserve">Detail</w:t>
            </w:r>
          </w:p>
        </w:tc>
      </w:tr>
      <w:tr>
        <w:tc>
          <w:tcPr>
            <w:tcW w:type="dxa" w:w="2400"/>
            <w:shd w:fill="FFFFFF" w:val="clear"/>
            <w:tcMar>
              <w:top w:type="dxa" w:w="90"/>
              <w:left w:type="dxa" w:w="120"/>
              <w:bottom w:type="dxa" w:w="90"/>
              <w:right w:type="dxa" w:w="120"/>
            </w:tcMar>
            <w:vAlign w:val="center"/>
          </w:tcPr>
          <w:p>
            <w:r>
              <w:rPr>
                <w:sz w:val="19"/>
                <w:szCs w:val="19"/>
              </w:rPr>
              <w:t xml:space="preserve">Founded</w:t>
            </w:r>
          </w:p>
        </w:tc>
        <w:tc>
          <w:tcPr>
            <w:tcW w:type="dxa" w:w="6950"/>
            <w:shd w:fill="FFFFFF" w:val="clear"/>
            <w:tcMar>
              <w:top w:type="dxa" w:w="90"/>
              <w:left w:type="dxa" w:w="120"/>
              <w:bottom w:type="dxa" w:w="90"/>
              <w:right w:type="dxa" w:w="120"/>
            </w:tcMar>
            <w:vAlign w:val="center"/>
          </w:tcPr>
          <w:p>
            <w:r>
              <w:rPr>
                <w:sz w:val="19"/>
                <w:szCs w:val="19"/>
              </w:rPr>
              <w:t xml:space="preserve">2013, Barcelona (current HQ reported as Madrid)</w:t>
            </w:r>
          </w:p>
        </w:tc>
      </w:tr>
      <w:tr>
        <w:tc>
          <w:tcPr>
            <w:tcW w:type="dxa" w:w="2400"/>
            <w:shd w:fill="F2F2F2" w:val="clear"/>
            <w:tcMar>
              <w:top w:type="dxa" w:w="90"/>
              <w:left w:type="dxa" w:w="120"/>
              <w:bottom w:type="dxa" w:w="90"/>
              <w:right w:type="dxa" w:w="120"/>
            </w:tcMar>
            <w:vAlign w:val="center"/>
          </w:tcPr>
          <w:p>
            <w:r>
              <w:rPr>
                <w:sz w:val="19"/>
                <w:szCs w:val="19"/>
              </w:rPr>
              <w:t xml:space="preserve">Founders</w:t>
            </w:r>
          </w:p>
        </w:tc>
        <w:tc>
          <w:tcPr>
            <w:tcW w:type="dxa" w:w="6950"/>
            <w:shd w:fill="F2F2F2" w:val="clear"/>
            <w:tcMar>
              <w:top w:type="dxa" w:w="90"/>
              <w:left w:type="dxa" w:w="120"/>
              <w:bottom w:type="dxa" w:w="90"/>
              <w:right w:type="dxa" w:w="120"/>
            </w:tcMar>
            <w:vAlign w:val="center"/>
          </w:tcPr>
          <w:p>
            <w:r>
              <w:rPr>
                <w:sz w:val="19"/>
                <w:szCs w:val="19"/>
              </w:rPr>
              <w:t xml:space="preserve">Arnau Lahuerta Tarré, Robert Bonada, Paula Torrell Rojas</w:t>
            </w:r>
          </w:p>
        </w:tc>
      </w:tr>
      <w:tr>
        <w:tc>
          <w:tcPr>
            <w:tcW w:type="dxa" w:w="2400"/>
            <w:shd w:fill="FFFFFF" w:val="clear"/>
            <w:tcMar>
              <w:top w:type="dxa" w:w="90"/>
              <w:left w:type="dxa" w:w="120"/>
              <w:bottom w:type="dxa" w:w="90"/>
              <w:right w:type="dxa" w:w="120"/>
            </w:tcMar>
            <w:vAlign w:val="center"/>
          </w:tcPr>
          <w:p>
            <w:r>
              <w:rPr>
                <w:sz w:val="19"/>
                <w:szCs w:val="19"/>
              </w:rPr>
              <w:t xml:space="preserve">Funding</w:t>
            </w:r>
          </w:p>
        </w:tc>
        <w:tc>
          <w:tcPr>
            <w:tcW w:type="dxa" w:w="6950"/>
            <w:shd w:fill="FFFFFF" w:val="clear"/>
            <w:tcMar>
              <w:top w:type="dxa" w:w="90"/>
              <w:left w:type="dxa" w:w="120"/>
              <w:bottom w:type="dxa" w:w="90"/>
              <w:right w:type="dxa" w:w="120"/>
            </w:tcMar>
            <w:vAlign w:val="center"/>
          </w:tcPr>
          <w:p>
            <w:r>
              <w:rPr>
                <w:sz w:val="19"/>
                <w:szCs w:val="19"/>
              </w:rPr>
              <w:t xml:space="preserve">Unfunded / bootstrapped per third-party company data; no public institutional rounds identified</w:t>
            </w:r>
          </w:p>
        </w:tc>
      </w:tr>
      <w:tr>
        <w:tc>
          <w:tcPr>
            <w:tcW w:type="dxa" w:w="2400"/>
            <w:shd w:fill="F2F2F2" w:val="clear"/>
            <w:tcMar>
              <w:top w:type="dxa" w:w="90"/>
              <w:left w:type="dxa" w:w="120"/>
              <w:bottom w:type="dxa" w:w="90"/>
              <w:right w:type="dxa" w:w="120"/>
            </w:tcMar>
            <w:vAlign w:val="center"/>
          </w:tcPr>
          <w:p>
            <w:r>
              <w:rPr>
                <w:sz w:val="19"/>
                <w:szCs w:val="19"/>
              </w:rPr>
              <w:t xml:space="preserve">Scale</w:t>
            </w:r>
          </w:p>
        </w:tc>
        <w:tc>
          <w:tcPr>
            <w:tcW w:type="dxa" w:w="6950"/>
            <w:shd w:fill="F2F2F2" w:val="clear"/>
            <w:tcMar>
              <w:top w:type="dxa" w:w="90"/>
              <w:left w:type="dxa" w:w="120"/>
              <w:bottom w:type="dxa" w:w="90"/>
              <w:right w:type="dxa" w:w="120"/>
            </w:tcMar>
            <w:vAlign w:val="center"/>
          </w:tcPr>
          <w:p>
            <w:r>
              <w:rPr>
                <w:sz w:val="19"/>
                <w:szCs w:val="19"/>
              </w:rPr>
              <w:t xml:space="preserve">~40–50 million samples distributed; 300–400+ brands served; ~2 million app users; ~87% self-reported survey completion rate</w:t>
            </w:r>
          </w:p>
        </w:tc>
      </w:tr>
      <w:tr>
        <w:tc>
          <w:tcPr>
            <w:tcW w:type="dxa" w:w="2400"/>
            <w:shd w:fill="FFFFFF" w:val="clear"/>
            <w:tcMar>
              <w:top w:type="dxa" w:w="90"/>
              <w:left w:type="dxa" w:w="120"/>
              <w:bottom w:type="dxa" w:w="90"/>
              <w:right w:type="dxa" w:w="120"/>
            </w:tcMar>
            <w:vAlign w:val="center"/>
          </w:tcPr>
          <w:p>
            <w:r>
              <w:rPr>
                <w:sz w:val="19"/>
                <w:szCs w:val="19"/>
              </w:rPr>
              <w:t xml:space="preserve">Global competitive set</w:t>
            </w:r>
          </w:p>
        </w:tc>
        <w:tc>
          <w:tcPr>
            <w:tcW w:type="dxa" w:w="6950"/>
            <w:shd w:fill="FFFFFF" w:val="clear"/>
            <w:tcMar>
              <w:top w:type="dxa" w:w="90"/>
              <w:left w:type="dxa" w:w="120"/>
              <w:bottom w:type="dxa" w:w="90"/>
              <w:right w:type="dxa" w:w="120"/>
            </w:tcMar>
            <w:vAlign w:val="center"/>
          </w:tcPr>
          <w:p>
            <w:r>
              <w:rPr>
                <w:sz w:val="19"/>
                <w:szCs w:val="19"/>
              </w:rPr>
              <w:t xml:space="preserve">~127 identified competitors, of which ~12 are funded (e.g. Localz, Grability, Snipp)</w:t>
            </w:r>
          </w:p>
        </w:tc>
      </w:tr>
      <w:tr>
        <w:tc>
          <w:tcPr>
            <w:tcW w:type="dxa" w:w="2400"/>
            <w:shd w:fill="F2F2F2" w:val="clear"/>
            <w:tcMar>
              <w:top w:type="dxa" w:w="90"/>
              <w:left w:type="dxa" w:w="120"/>
              <w:bottom w:type="dxa" w:w="90"/>
              <w:right w:type="dxa" w:w="120"/>
            </w:tcMar>
            <w:vAlign w:val="center"/>
          </w:tcPr>
          <w:p>
            <w:r>
              <w:rPr>
                <w:sz w:val="19"/>
                <w:szCs w:val="19"/>
              </w:rPr>
              <w:t xml:space="preserve">Core mechanic</w:t>
            </w:r>
          </w:p>
        </w:tc>
        <w:tc>
          <w:tcPr>
            <w:tcW w:type="dxa" w:w="6950"/>
            <w:shd w:fill="F2F2F2" w:val="clear"/>
            <w:tcMar>
              <w:top w:type="dxa" w:w="90"/>
              <w:left w:type="dxa" w:w="120"/>
              <w:bottom w:type="dxa" w:w="90"/>
              <w:right w:type="dxa" w:w="120"/>
            </w:tcMar>
            <w:vAlign w:val="center"/>
          </w:tcPr>
          <w:p>
            <w:r>
              <w:rPr>
                <w:sz w:val="19"/>
                <w:szCs w:val="19"/>
              </w:rPr>
              <w:t xml:space="preserve">App-linked smart vending/sampling machines in shopping centres, plus pop-up activations and retail sampling</w:t>
            </w:r>
          </w:p>
        </w:tc>
      </w:tr>
    </w:tbl>
    <w:p>
      <w:pPr>
        <w:spacing w:after="140" w:line="276"/>
      </w:pPr>
      <w:r>
        <w:rPr>
          <w:i/>
          <w:iCs/>
          <w:sz w:val="21"/>
          <w:szCs w:val="21"/>
        </w:rPr>
        <w:t xml:space="preserve">Investment read: a decade of survival without external funding, in a category with well over a hundred competitors globally, is consistent with a defensible-but-not-hyper-scalable niche. It supports funding an Egypt entrant as a capital-efficient regional services business; it does not, on its own, support venture-scale return assumptions.</w:t>
      </w:r>
    </w:p>
    <w:p>
      <w:r>
        <w:br w:type="page"/>
      </w:r>
    </w:p>
    <w:p>
      <w:pPr>
        <w:pStyle w:val="Heading1"/>
        <w:pBdr>
          <w:bottom w:val="single" w:color="1F2A44" w:sz="8" w:space="4"/>
        </w:pBdr>
        <w:spacing w:after="200" w:before="400"/>
      </w:pPr>
      <w:r>
        <w:rPr>
          <w:b/>
          <w:bCs/>
          <w:color w:val="1F2A44"/>
          <w:sz w:val="30"/>
          <w:szCs w:val="30"/>
        </w:rPr>
        <w:t xml:space="preserve">4. Egypt Market Assessment</w:t>
      </w:r>
    </w:p>
    <w:p>
      <w:pPr>
        <w:spacing w:after="140" w:line="276"/>
      </w:pPr>
      <w:r>
        <w:rPr>
          <w:sz w:val="21"/>
          <w:szCs w:val="21"/>
        </w:rPr>
        <w:t xml:space="preserve">Egypt fits the underlying category — a young, mall-centric, social-media-active, urban population with rising FMCG innovation activity — but no bottom-up market sizing has yet been built for this specific product.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400"/>
        <w:gridCol w:w="4550"/>
      </w:tblGrid>
      <w:tr>
        <w:trPr>
          <w:tblHeader/>
        </w:trPr>
        <w:tc>
          <w:tcPr>
            <w:tcW w:type="dxa" w:w="2400"/>
            <w:shd w:fill="1F2A44" w:val="clear"/>
            <w:tcMar>
              <w:top w:type="dxa" w:w="100"/>
              <w:left w:type="dxa" w:w="120"/>
              <w:bottom w:type="dxa" w:w="100"/>
              <w:right w:type="dxa" w:w="120"/>
            </w:tcMar>
            <w:vAlign w:val="center"/>
          </w:tcPr>
          <w:p>
            <w:r>
              <w:rPr>
                <w:b/>
                <w:bCs/>
                <w:color w:val="FFFFFF"/>
                <w:sz w:val="19"/>
                <w:szCs w:val="19"/>
              </w:rPr>
              <w:t xml:space="preserve">Factor</w:t>
            </w:r>
          </w:p>
        </w:tc>
        <w:tc>
          <w:tcPr>
            <w:tcW w:type="dxa" w:w="2400"/>
            <w:shd w:fill="1F2A44" w:val="clear"/>
            <w:tcMar>
              <w:top w:type="dxa" w:w="100"/>
              <w:left w:type="dxa" w:w="120"/>
              <w:bottom w:type="dxa" w:w="100"/>
              <w:right w:type="dxa" w:w="120"/>
            </w:tcMar>
            <w:vAlign w:val="center"/>
          </w:tcPr>
          <w:p>
            <w:r>
              <w:rPr>
                <w:b/>
                <w:bCs/>
                <w:color w:val="FFFFFF"/>
                <w:sz w:val="19"/>
                <w:szCs w:val="19"/>
              </w:rPr>
              <w:t xml:space="preserve">Assessment</w:t>
            </w:r>
          </w:p>
        </w:tc>
        <w:tc>
          <w:tcPr>
            <w:tcW w:type="dxa" w:w="4550"/>
            <w:shd w:fill="1F2A44" w:val="clear"/>
            <w:tcMar>
              <w:top w:type="dxa" w:w="100"/>
              <w:left w:type="dxa" w:w="120"/>
              <w:bottom w:type="dxa" w:w="100"/>
              <w:right w:type="dxa" w:w="120"/>
            </w:tcMar>
            <w:vAlign w:val="center"/>
          </w:tcPr>
          <w:p>
            <w:r>
              <w:rPr>
                <w:b/>
                <w:bCs/>
                <w:color w:val="FFFFFF"/>
                <w:sz w:val="19"/>
                <w:szCs w:val="19"/>
              </w:rPr>
              <w:t xml:space="preserve">Basis</w:t>
            </w:r>
          </w:p>
        </w:tc>
      </w:tr>
      <w:tr>
        <w:tc>
          <w:tcPr>
            <w:tcW w:type="dxa" w:w="2400"/>
            <w:shd w:fill="FFFFFF" w:val="clear"/>
            <w:tcMar>
              <w:top w:type="dxa" w:w="90"/>
              <w:left w:type="dxa" w:w="120"/>
              <w:bottom w:type="dxa" w:w="90"/>
              <w:right w:type="dxa" w:w="120"/>
            </w:tcMar>
            <w:vAlign w:val="center"/>
          </w:tcPr>
          <w:p>
            <w:r>
              <w:rPr>
                <w:sz w:val="19"/>
                <w:szCs w:val="19"/>
              </w:rPr>
              <w:t xml:space="preserve">Expected demand</w:t>
            </w:r>
          </w:p>
        </w:tc>
        <w:tc>
          <w:tcPr>
            <w:tcW w:type="dxa" w:w="2400"/>
            <w:shd w:fill="FFFFFF" w:val="clear"/>
            <w:tcMar>
              <w:top w:type="dxa" w:w="90"/>
              <w:left w:type="dxa" w:w="120"/>
              <w:bottom w:type="dxa" w:w="90"/>
              <w:right w:type="dxa" w:w="120"/>
            </w:tcMar>
            <w:vAlign w:val="center"/>
          </w:tcPr>
          <w:p>
            <w:r>
              <w:rPr>
                <w:sz w:val="19"/>
                <w:szCs w:val="19"/>
              </w:rPr>
              <w:t xml:space="preserve">Directionally high</w:t>
            </w:r>
          </w:p>
        </w:tc>
        <w:tc>
          <w:tcPr>
            <w:tcW w:type="dxa" w:w="4550"/>
            <w:shd w:fill="FFFFFF" w:val="clear"/>
            <w:tcMar>
              <w:top w:type="dxa" w:w="90"/>
              <w:left w:type="dxa" w:w="120"/>
              <w:bottom w:type="dxa" w:w="90"/>
              <w:right w:type="dxa" w:w="120"/>
            </w:tcMar>
            <w:vAlign w:val="center"/>
          </w:tcPr>
          <w:p>
            <w:r>
              <w:rPr>
                <w:sz w:val="19"/>
                <w:szCs w:val="19"/>
              </w:rPr>
              <w:t xml:space="preserve">Category analogy only — not validated by interviews</w:t>
            </w:r>
          </w:p>
        </w:tc>
      </w:tr>
      <w:tr>
        <w:tc>
          <w:tcPr>
            <w:tcW w:type="dxa" w:w="2400"/>
            <w:shd w:fill="F2F2F2" w:val="clear"/>
            <w:tcMar>
              <w:top w:type="dxa" w:w="90"/>
              <w:left w:type="dxa" w:w="120"/>
              <w:bottom w:type="dxa" w:w="90"/>
              <w:right w:type="dxa" w:w="120"/>
            </w:tcMar>
            <w:vAlign w:val="center"/>
          </w:tcPr>
          <w:p>
            <w:r>
              <w:rPr>
                <w:sz w:val="19"/>
                <w:szCs w:val="19"/>
              </w:rPr>
              <w:t xml:space="preserve">Brand-side readiness</w:t>
            </w:r>
          </w:p>
        </w:tc>
        <w:tc>
          <w:tcPr>
            <w:tcW w:type="dxa" w:w="2400"/>
            <w:shd w:fill="F2F2F2" w:val="clear"/>
            <w:tcMar>
              <w:top w:type="dxa" w:w="90"/>
              <w:left w:type="dxa" w:w="120"/>
              <w:bottom w:type="dxa" w:w="90"/>
              <w:right w:type="dxa" w:w="120"/>
            </w:tcMar>
            <w:vAlign w:val="center"/>
          </w:tcPr>
          <w:p>
            <w:r>
              <w:rPr>
                <w:sz w:val="19"/>
                <w:szCs w:val="19"/>
              </w:rPr>
              <w:t xml:space="preserve">Directionally high</w:t>
            </w:r>
          </w:p>
        </w:tc>
        <w:tc>
          <w:tcPr>
            <w:tcW w:type="dxa" w:w="4550"/>
            <w:shd w:fill="F2F2F2" w:val="clear"/>
            <w:tcMar>
              <w:top w:type="dxa" w:w="90"/>
              <w:left w:type="dxa" w:w="120"/>
              <w:bottom w:type="dxa" w:w="90"/>
              <w:right w:type="dxa" w:w="120"/>
            </w:tcMar>
            <w:vAlign w:val="center"/>
          </w:tcPr>
          <w:p>
            <w:r>
              <w:rPr>
                <w:sz w:val="19"/>
                <w:szCs w:val="19"/>
              </w:rPr>
              <w:t xml:space="preserve">Category analogy only</w:t>
            </w:r>
          </w:p>
        </w:tc>
      </w:tr>
      <w:tr>
        <w:tc>
          <w:tcPr>
            <w:tcW w:type="dxa" w:w="2400"/>
            <w:shd w:fill="FFFFFF" w:val="clear"/>
            <w:tcMar>
              <w:top w:type="dxa" w:w="90"/>
              <w:left w:type="dxa" w:w="120"/>
              <w:bottom w:type="dxa" w:w="90"/>
              <w:right w:type="dxa" w:w="120"/>
            </w:tcMar>
            <w:vAlign w:val="center"/>
          </w:tcPr>
          <w:p>
            <w:r>
              <w:rPr>
                <w:sz w:val="19"/>
                <w:szCs w:val="19"/>
              </w:rPr>
              <w:t xml:space="preserve">Consumer-side readiness</w:t>
            </w:r>
          </w:p>
        </w:tc>
        <w:tc>
          <w:tcPr>
            <w:tcW w:type="dxa" w:w="2400"/>
            <w:shd w:fill="FFFFFF" w:val="clear"/>
            <w:tcMar>
              <w:top w:type="dxa" w:w="90"/>
              <w:left w:type="dxa" w:w="120"/>
              <w:bottom w:type="dxa" w:w="90"/>
              <w:right w:type="dxa" w:w="120"/>
            </w:tcMar>
            <w:vAlign w:val="center"/>
          </w:tcPr>
          <w:p>
            <w:r>
              <w:rPr>
                <w:sz w:val="19"/>
                <w:szCs w:val="19"/>
              </w:rPr>
              <w:t xml:space="preserve">Directionally high</w:t>
            </w:r>
          </w:p>
        </w:tc>
        <w:tc>
          <w:tcPr>
            <w:tcW w:type="dxa" w:w="4550"/>
            <w:shd w:fill="FFFFFF" w:val="clear"/>
            <w:tcMar>
              <w:top w:type="dxa" w:w="90"/>
              <w:left w:type="dxa" w:w="120"/>
              <w:bottom w:type="dxa" w:w="90"/>
              <w:right w:type="dxa" w:w="120"/>
            </w:tcMar>
            <w:vAlign w:val="center"/>
          </w:tcPr>
          <w:p>
            <w:r>
              <w:rPr>
                <w:sz w:val="19"/>
                <w:szCs w:val="19"/>
              </w:rPr>
              <w:t xml:space="preserve">High urban smartphone/social penetration</w:t>
            </w:r>
          </w:p>
        </w:tc>
      </w:tr>
      <w:tr>
        <w:tc>
          <w:tcPr>
            <w:tcW w:type="dxa" w:w="2400"/>
            <w:shd w:fill="F2F2F2" w:val="clear"/>
            <w:tcMar>
              <w:top w:type="dxa" w:w="90"/>
              <w:left w:type="dxa" w:w="120"/>
              <w:bottom w:type="dxa" w:w="90"/>
              <w:right w:type="dxa" w:w="120"/>
            </w:tcMar>
            <w:vAlign w:val="center"/>
          </w:tcPr>
          <w:p>
            <w:r>
              <w:rPr>
                <w:sz w:val="19"/>
                <w:szCs w:val="19"/>
              </w:rPr>
              <w:t xml:space="preserve">Awareness-building need</w:t>
            </w:r>
          </w:p>
        </w:tc>
        <w:tc>
          <w:tcPr>
            <w:tcW w:type="dxa" w:w="2400"/>
            <w:shd w:fill="F2F2F2" w:val="clear"/>
            <w:tcMar>
              <w:top w:type="dxa" w:w="90"/>
              <w:left w:type="dxa" w:w="120"/>
              <w:bottom w:type="dxa" w:w="90"/>
              <w:right w:type="dxa" w:w="120"/>
            </w:tcMar>
            <w:vAlign w:val="center"/>
          </w:tcPr>
          <w:p>
            <w:r>
              <w:rPr>
                <w:sz w:val="19"/>
                <w:szCs w:val="19"/>
              </w:rPr>
              <w:t xml:space="preserve">Medium</w:t>
            </w:r>
          </w:p>
        </w:tc>
        <w:tc>
          <w:tcPr>
            <w:tcW w:type="dxa" w:w="4550"/>
            <w:shd w:fill="F2F2F2" w:val="clear"/>
            <w:tcMar>
              <w:top w:type="dxa" w:w="90"/>
              <w:left w:type="dxa" w:w="120"/>
              <w:bottom w:type="dxa" w:w="90"/>
              <w:right w:type="dxa" w:w="120"/>
            </w:tcMar>
            <w:vAlign w:val="center"/>
          </w:tcPr>
          <w:p>
            <w:r>
              <w:rPr>
                <w:sz w:val="19"/>
                <w:szCs w:val="19"/>
              </w:rPr>
              <w:t xml:space="preserve">New category for Egyptian consumers</w:t>
            </w:r>
          </w:p>
        </w:tc>
      </w:tr>
      <w:tr>
        <w:tc>
          <w:tcPr>
            <w:tcW w:type="dxa" w:w="2400"/>
            <w:shd w:fill="FFFFFF" w:val="clear"/>
            <w:tcMar>
              <w:top w:type="dxa" w:w="90"/>
              <w:left w:type="dxa" w:w="120"/>
              <w:bottom w:type="dxa" w:w="90"/>
              <w:right w:type="dxa" w:w="120"/>
            </w:tcMar>
            <w:vAlign w:val="center"/>
          </w:tcPr>
          <w:p>
            <w:r>
              <w:rPr>
                <w:sz w:val="19"/>
                <w:szCs w:val="19"/>
              </w:rPr>
              <w:t xml:space="preserve">Direct competition</w:t>
            </w:r>
          </w:p>
        </w:tc>
        <w:tc>
          <w:tcPr>
            <w:tcW w:type="dxa" w:w="2400"/>
            <w:shd w:fill="FFFFFF" w:val="clear"/>
            <w:tcMar>
              <w:top w:type="dxa" w:w="90"/>
              <w:left w:type="dxa" w:w="120"/>
              <w:bottom w:type="dxa" w:w="90"/>
              <w:right w:type="dxa" w:w="120"/>
            </w:tcMar>
            <w:vAlign w:val="center"/>
          </w:tcPr>
          <w:p>
            <w:r>
              <w:rPr>
                <w:sz w:val="19"/>
                <w:szCs w:val="19"/>
              </w:rPr>
              <w:t xml:space="preserve">Low–Medium</w:t>
            </w:r>
          </w:p>
        </w:tc>
        <w:tc>
          <w:tcPr>
            <w:tcW w:type="dxa" w:w="4550"/>
            <w:shd w:fill="FFFFFF" w:val="clear"/>
            <w:tcMar>
              <w:top w:type="dxa" w:w="90"/>
              <w:left w:type="dxa" w:w="120"/>
              <w:bottom w:type="dxa" w:w="90"/>
              <w:right w:type="dxa" w:w="120"/>
            </w:tcMar>
            <w:vAlign w:val="center"/>
          </w:tcPr>
          <w:p>
            <w:r>
              <w:rPr>
                <w:sz w:val="19"/>
                <w:szCs w:val="19"/>
              </w:rPr>
              <w:t xml:space="preserve">Revised upward — see Section 5</w:t>
            </w:r>
          </w:p>
        </w:tc>
      </w:tr>
    </w:tbl>
    <w:p>
      <w:pPr>
        <w:pStyle w:val="Heading3"/>
        <w:spacing w:after="100" w:before="200"/>
      </w:pPr>
      <w:r>
        <w:rPr>
          <w:b/>
          <w:bCs/>
          <w:color w:val="374151"/>
          <w:sz w:val="21"/>
          <w:szCs w:val="21"/>
        </w:rPr>
        <w:t xml:space="preserve">Priority segments</w:t>
      </w:r>
    </w:p>
    <w:p>
      <w:pPr>
        <w:spacing w:after="140" w:line="276"/>
      </w:pPr>
      <w:r>
        <w:rPr>
          <w:sz w:val="21"/>
          <w:szCs w:val="21"/>
        </w:rPr>
        <w:t xml:space="preserve">FMCG, food, cosmetics, personal care, pharma OTC, and beverage brands, targeting consumers aged 18–40 in Cairo, Giza, and Alexandria.</w:t>
      </w:r>
    </w:p>
    <w:p>
      <w:r>
        <w:br w:type="page"/>
      </w:r>
    </w:p>
    <w:p>
      <w:pPr>
        <w:pStyle w:val="Heading1"/>
        <w:pBdr>
          <w:bottom w:val="single" w:color="1F2A44" w:sz="8" w:space="4"/>
        </w:pBdr>
        <w:spacing w:after="200" w:before="400"/>
      </w:pPr>
      <w:r>
        <w:rPr>
          <w:b/>
          <w:bCs/>
          <w:color w:val="1F2A44"/>
          <w:sz w:val="30"/>
          <w:szCs w:val="30"/>
        </w:rPr>
        <w:t xml:space="preserve">5. Competitive Landscape</w:t>
      </w:r>
    </w:p>
    <w:p>
      <w:pPr>
        <w:pStyle w:val="Heading3"/>
        <w:spacing w:after="100" w:before="200"/>
      </w:pPr>
      <w:r>
        <w:rPr>
          <w:b/>
          <w:bCs/>
          <w:color w:val="374151"/>
          <w:sz w:val="21"/>
          <w:szCs w:val="21"/>
        </w:rPr>
        <w:t xml:space="preserve">Direct / Near-Direct</w:t>
      </w:r>
    </w:p>
    <w:p>
      <w:pPr>
        <w:spacing w:after="140" w:line="276"/>
      </w:pPr>
      <w:r>
        <w:rPr>
          <w:sz w:val="21"/>
          <w:szCs w:val="21"/>
        </w:rPr>
        <w:t xml:space="preserve">No confirmed Egyptian player replicates Samplia's exact app + smart-vending-machine sampling mechanic. However, Marketeers Research (active in Egypt, KSA, GCC, and Europe) already sells an AI-powered analytics platform ("Smart Value™") for FMCG pricing, promotion, and assortment decisions — the analytics half of the proposed value proposition already has a regional competitor. Any entrant must differentiate on the sampling-to-data pipeline specifically, not on analytics alone.</w:t>
      </w:r>
    </w:p>
    <w:p>
      <w:pPr>
        <w:pStyle w:val="Heading3"/>
        <w:spacing w:after="100" w:before="200"/>
      </w:pPr>
      <w:r>
        <w:rPr>
          <w:b/>
          <w:bCs/>
          <w:color w:val="374151"/>
          <w:sz w:val="21"/>
          <w:szCs w:val="21"/>
        </w:rPr>
        <w:t xml:space="preserve">Indirect</w:t>
      </w:r>
    </w:p>
    <w:p>
      <w:pPr>
        <w:pStyle w:val="ListParagraph"/>
        <w:numPr>
          <w:ilvl w:val="0"/>
          <w:numId w:val="1"/>
        </w:numPr>
        <w:spacing w:after="70"/>
      </w:pPr>
      <w:r>
        <w:rPr>
          <w:sz w:val="21"/>
          <w:szCs w:val="21"/>
        </w:rPr>
        <w:t xml:space="preserve">Established Egypt/MENA FMCG-focused market research firms: BioNixus, Mena Intel, Spade Survey, Alkoun MEA, eMarketing Egypt.</w:t>
      </w:r>
    </w:p>
    <w:p>
      <w:pPr>
        <w:pStyle w:val="ListParagraph"/>
        <w:numPr>
          <w:ilvl w:val="0"/>
          <w:numId w:val="1"/>
        </w:numPr>
        <w:spacing w:after="70"/>
      </w:pPr>
      <w:r>
        <w:rPr>
          <w:sz w:val="21"/>
          <w:szCs w:val="21"/>
        </w:rPr>
        <w:t xml:space="preserve">Traditional BTL activation agencies and mystery-shopping providers.</w:t>
      </w:r>
    </w:p>
    <w:p>
      <w:pPr>
        <w:pStyle w:val="ListParagraph"/>
        <w:numPr>
          <w:ilvl w:val="0"/>
          <w:numId w:val="1"/>
        </w:numPr>
        <w:spacing w:after="70"/>
      </w:pPr>
      <w:r>
        <w:rPr>
          <w:sz w:val="21"/>
          <w:szCs w:val="21"/>
        </w:rPr>
        <w:t xml:space="preserve">Paid survey platforms and post-purchase feedback tools.</w:t>
      </w:r>
    </w:p>
    <w:p>
      <w:pPr>
        <w:pStyle w:val="ListParagraph"/>
        <w:numPr>
          <w:ilvl w:val="0"/>
          <w:numId w:val="1"/>
        </w:numPr>
        <w:spacing w:after="70"/>
      </w:pPr>
      <w:r>
        <w:rPr>
          <w:sz w:val="21"/>
          <w:szCs w:val="21"/>
        </w:rPr>
        <w:t xml:space="preserve">In-store/hypermarket sampling run directly by retailers or brands.</w:t>
      </w:r>
    </w:p>
    <w:p>
      <w:pPr>
        <w:pStyle w:val="Heading3"/>
        <w:spacing w:after="100" w:before="200"/>
      </w:pPr>
      <w:r>
        <w:rPr>
          <w:b/>
          <w:bCs/>
          <w:color w:val="374151"/>
          <w:sz w:val="21"/>
          <w:szCs w:val="21"/>
        </w:rPr>
        <w:t xml:space="preserve">Global</w:t>
      </w:r>
    </w:p>
    <w:p>
      <w:pPr>
        <w:spacing w:after="140" w:line="276"/>
      </w:pPr>
      <w:r>
        <w:rPr>
          <w:sz w:val="21"/>
          <w:szCs w:val="21"/>
        </w:rPr>
        <w:t xml:space="preserve">Samplia itself competes against an estimated 127 players globally, including funded competitors. Assume that any Egyptian success will draw both local replication and international entrants into MENA.</w:t>
      </w:r>
    </w:p>
    <w:p>
      <w:r>
        <w:br w:type="page"/>
      </w:r>
    </w:p>
    <w:p>
      <w:pPr>
        <w:pStyle w:val="Heading1"/>
        <w:pBdr>
          <w:bottom w:val="single" w:color="1F2A44" w:sz="8" w:space="4"/>
        </w:pBdr>
        <w:spacing w:after="200" w:before="400"/>
      </w:pPr>
      <w:r>
        <w:rPr>
          <w:b/>
          <w:bCs/>
          <w:color w:val="1F2A44"/>
          <w:sz w:val="30"/>
          <w:szCs w:val="30"/>
        </w:rPr>
        <w:t xml:space="preserve">6. Localization &amp; Business Model</w:t>
      </w:r>
    </w:p>
    <w:p>
      <w:pPr>
        <w:spacing w:after="140" w:line="276"/>
      </w:pPr>
      <w:r>
        <w:rPr>
          <w:b/>
          <w:bCs/>
          <w:sz w:val="21"/>
          <w:szCs w:val="21"/>
        </w:rPr>
        <w:t xml:space="preserve">Position the company as a Consumer Intelligence Platform for which sampling is the acquisition mechanic — not as a sampling company.</w:t>
      </w:r>
    </w:p>
    <w:p>
      <w:pPr>
        <w:pStyle w:val="Heading3"/>
        <w:spacing w:after="100" w:before="200"/>
      </w:pPr>
      <w:r>
        <w:rPr>
          <w:b/>
          <w:bCs/>
          <w:color w:val="374151"/>
          <w:sz w:val="21"/>
          <w:szCs w:val="21"/>
        </w:rPr>
        <w:t xml:space="preserve">Required changes from the Spanish model</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700"/>
        <w:gridCol w:w="6100"/>
        <w:gridCol w:w="1550"/>
      </w:tblGrid>
      <w:tr>
        <w:trPr>
          <w:tblHeader/>
        </w:trPr>
        <w:tc>
          <w:tcPr>
            <w:tcW w:type="dxa" w:w="1700"/>
            <w:shd w:fill="1F2A44" w:val="clear"/>
            <w:tcMar>
              <w:top w:type="dxa" w:w="100"/>
              <w:left w:type="dxa" w:w="120"/>
              <w:bottom w:type="dxa" w:w="100"/>
              <w:right w:type="dxa" w:w="120"/>
            </w:tcMar>
            <w:vAlign w:val="center"/>
          </w:tcPr>
          <w:p>
            <w:r>
              <w:rPr>
                <w:b/>
                <w:bCs/>
                <w:color w:val="FFFFFF"/>
                <w:sz w:val="19"/>
                <w:szCs w:val="19"/>
              </w:rPr>
              <w:t xml:space="preserve">Area</w:t>
            </w:r>
          </w:p>
        </w:tc>
        <w:tc>
          <w:tcPr>
            <w:tcW w:type="dxa" w:w="6100"/>
            <w:shd w:fill="1F2A44" w:val="clear"/>
            <w:tcMar>
              <w:top w:type="dxa" w:w="100"/>
              <w:left w:type="dxa" w:w="120"/>
              <w:bottom w:type="dxa" w:w="100"/>
              <w:right w:type="dxa" w:w="120"/>
            </w:tcMar>
            <w:vAlign w:val="center"/>
          </w:tcPr>
          <w:p>
            <w:r>
              <w:rPr>
                <w:b/>
                <w:bCs/>
                <w:color w:val="FFFFFF"/>
                <w:sz w:val="19"/>
                <w:szCs w:val="19"/>
              </w:rPr>
              <w:t xml:space="preserve">Egypt Approach</w:t>
            </w:r>
          </w:p>
        </w:tc>
        <w:tc>
          <w:tcPr>
            <w:tcW w:type="dxa" w:w="1550"/>
            <w:shd w:fill="1F2A44" w:val="clear"/>
            <w:tcMar>
              <w:top w:type="dxa" w:w="100"/>
              <w:left w:type="dxa" w:w="120"/>
              <w:bottom w:type="dxa" w:w="100"/>
              <w:right w:type="dxa" w:w="120"/>
            </w:tcMar>
            <w:vAlign w:val="center"/>
          </w:tcPr>
          <w:p>
            <w:r>
              <w:rPr>
                <w:b/>
                <w:bCs/>
                <w:color w:val="FFFFFF"/>
                <w:sz w:val="19"/>
                <w:szCs w:val="19"/>
              </w:rPr>
              <w:t xml:space="preserve">Priority</w:t>
            </w:r>
          </w:p>
        </w:tc>
      </w:tr>
      <w:tr>
        <w:tc>
          <w:tcPr>
            <w:tcW w:type="dxa" w:w="1700"/>
            <w:shd w:fill="FFFFFF" w:val="clear"/>
            <w:tcMar>
              <w:top w:type="dxa" w:w="90"/>
              <w:left w:type="dxa" w:w="120"/>
              <w:bottom w:type="dxa" w:w="90"/>
              <w:right w:type="dxa" w:w="120"/>
            </w:tcMar>
            <w:vAlign w:val="center"/>
          </w:tcPr>
          <w:p>
            <w:r>
              <w:rPr>
                <w:sz w:val="19"/>
                <w:szCs w:val="19"/>
              </w:rPr>
              <w:t xml:space="preserve">Distribution</w:t>
            </w:r>
          </w:p>
        </w:tc>
        <w:tc>
          <w:tcPr>
            <w:tcW w:type="dxa" w:w="6100"/>
            <w:shd w:fill="FFFFFF" w:val="clear"/>
            <w:tcMar>
              <w:top w:type="dxa" w:w="90"/>
              <w:left w:type="dxa" w:w="120"/>
              <w:bottom w:type="dxa" w:w="90"/>
              <w:right w:type="dxa" w:w="120"/>
            </w:tcMar>
            <w:vAlign w:val="center"/>
          </w:tcPr>
          <w:p>
            <w:r>
              <w:rPr>
                <w:sz w:val="19"/>
                <w:szCs w:val="19"/>
              </w:rPr>
              <w:t xml:space="preserve">Portable kiosks via retail partners (Carrefour, Hyper One, Spinneys, Seoudi, Kazyon) and high-footfall venues, not permanent installations</w:t>
            </w:r>
          </w:p>
        </w:tc>
        <w:tc>
          <w:tcPr>
            <w:tcW w:type="dxa" w:w="1550"/>
            <w:shd w:fill="FFFFFF" w:val="clear"/>
            <w:tcMar>
              <w:top w:type="dxa" w:w="90"/>
              <w:left w:type="dxa" w:w="120"/>
              <w:bottom w:type="dxa" w:w="90"/>
              <w:right w:type="dxa" w:w="120"/>
            </w:tcMar>
            <w:vAlign w:val="center"/>
          </w:tcPr>
          <w:p>
            <w:r>
              <w:rPr>
                <w:sz w:val="19"/>
                <w:szCs w:val="19"/>
              </w:rPr>
              <w:t xml:space="preserve">Critical</w:t>
            </w:r>
          </w:p>
        </w:tc>
      </w:tr>
      <w:tr>
        <w:tc>
          <w:tcPr>
            <w:tcW w:type="dxa" w:w="1700"/>
            <w:shd w:fill="F2F2F2" w:val="clear"/>
            <w:tcMar>
              <w:top w:type="dxa" w:w="90"/>
              <w:left w:type="dxa" w:w="120"/>
              <w:bottom w:type="dxa" w:w="90"/>
              <w:right w:type="dxa" w:w="120"/>
            </w:tcMar>
            <w:vAlign w:val="center"/>
          </w:tcPr>
          <w:p>
            <w:r>
              <w:rPr>
                <w:sz w:val="19"/>
                <w:szCs w:val="19"/>
              </w:rPr>
              <w:t xml:space="preserve">Mobile app</w:t>
            </w:r>
          </w:p>
        </w:tc>
        <w:tc>
          <w:tcPr>
            <w:tcW w:type="dxa" w:w="6100"/>
            <w:shd w:fill="F2F2F2" w:val="clear"/>
            <w:tcMar>
              <w:top w:type="dxa" w:w="90"/>
              <w:left w:type="dxa" w:w="120"/>
              <w:bottom w:type="dxa" w:w="90"/>
              <w:right w:type="dxa" w:w="120"/>
            </w:tcMar>
            <w:vAlign w:val="center"/>
          </w:tcPr>
          <w:p>
            <w:r>
              <w:rPr>
                <w:sz w:val="19"/>
                <w:szCs w:val="19"/>
              </w:rPr>
              <w:t xml:space="preserve">Consumer Rewards Platform (points, cashback, coupons, exclusive launches) — sampling access alone will not sustain retention</w:t>
            </w:r>
          </w:p>
        </w:tc>
        <w:tc>
          <w:tcPr>
            <w:tcW w:type="dxa" w:w="1550"/>
            <w:shd w:fill="F2F2F2" w:val="clear"/>
            <w:tcMar>
              <w:top w:type="dxa" w:w="90"/>
              <w:left w:type="dxa" w:w="120"/>
              <w:bottom w:type="dxa" w:w="90"/>
              <w:right w:type="dxa" w:w="120"/>
            </w:tcMar>
            <w:vAlign w:val="center"/>
          </w:tcPr>
          <w:p>
            <w:r>
              <w:rPr>
                <w:sz w:val="19"/>
                <w:szCs w:val="19"/>
              </w:rPr>
              <w:t xml:space="preserve">Critical</w:t>
            </w:r>
          </w:p>
        </w:tc>
      </w:tr>
      <w:tr>
        <w:tc>
          <w:tcPr>
            <w:tcW w:type="dxa" w:w="1700"/>
            <w:shd w:fill="FFFFFF" w:val="clear"/>
            <w:tcMar>
              <w:top w:type="dxa" w:w="90"/>
              <w:left w:type="dxa" w:w="120"/>
              <w:bottom w:type="dxa" w:w="90"/>
              <w:right w:type="dxa" w:w="120"/>
            </w:tcMar>
            <w:vAlign w:val="center"/>
          </w:tcPr>
          <w:p>
            <w:r>
              <w:rPr>
                <w:sz w:val="19"/>
                <w:szCs w:val="19"/>
              </w:rPr>
              <w:t xml:space="preserve">Trust</w:t>
            </w:r>
          </w:p>
        </w:tc>
        <w:tc>
          <w:tcPr>
            <w:tcW w:type="dxa" w:w="6100"/>
            <w:shd w:fill="FFFFFF" w:val="clear"/>
            <w:tcMar>
              <w:top w:type="dxa" w:w="90"/>
              <w:left w:type="dxa" w:w="120"/>
              <w:bottom w:type="dxa" w:w="90"/>
              <w:right w:type="dxa" w:w="120"/>
            </w:tcMar>
            <w:vAlign w:val="center"/>
          </w:tcPr>
          <w:p>
            <w:r>
              <w:rPr>
                <w:sz w:val="19"/>
                <w:szCs w:val="19"/>
              </w:rPr>
              <w:t xml:space="preserve">Verified-brand badges, explicit privacy policy, no hidden subscriptions, instant rewards, QR verification</w:t>
            </w:r>
          </w:p>
        </w:tc>
        <w:tc>
          <w:tcPr>
            <w:tcW w:type="dxa" w:w="1550"/>
            <w:shd w:fill="FFFFFF" w:val="clear"/>
            <w:tcMar>
              <w:top w:type="dxa" w:w="90"/>
              <w:left w:type="dxa" w:w="120"/>
              <w:bottom w:type="dxa" w:w="90"/>
              <w:right w:type="dxa" w:w="120"/>
            </w:tcMar>
            <w:vAlign w:val="center"/>
          </w:tcPr>
          <w:p>
            <w:r>
              <w:rPr>
                <w:sz w:val="19"/>
                <w:szCs w:val="19"/>
              </w:rPr>
              <w:t xml:space="preserve">Critical</w:t>
            </w:r>
          </w:p>
        </w:tc>
      </w:tr>
      <w:tr>
        <w:tc>
          <w:tcPr>
            <w:tcW w:type="dxa" w:w="1700"/>
            <w:shd w:fill="F2F2F2" w:val="clear"/>
            <w:tcMar>
              <w:top w:type="dxa" w:w="90"/>
              <w:left w:type="dxa" w:w="120"/>
              <w:bottom w:type="dxa" w:w="90"/>
              <w:right w:type="dxa" w:w="120"/>
            </w:tcMar>
            <w:vAlign w:val="center"/>
          </w:tcPr>
          <w:p>
            <w:r>
              <w:rPr>
                <w:sz w:val="19"/>
                <w:szCs w:val="19"/>
              </w:rPr>
              <w:t xml:space="preserve">Language</w:t>
            </w:r>
          </w:p>
        </w:tc>
        <w:tc>
          <w:tcPr>
            <w:tcW w:type="dxa" w:w="6100"/>
            <w:shd w:fill="F2F2F2" w:val="clear"/>
            <w:tcMar>
              <w:top w:type="dxa" w:w="90"/>
              <w:left w:type="dxa" w:w="120"/>
              <w:bottom w:type="dxa" w:w="90"/>
              <w:right w:type="dxa" w:w="120"/>
            </w:tcMar>
            <w:vAlign w:val="center"/>
          </w:tcPr>
          <w:p>
            <w:r>
              <w:rPr>
                <w:sz w:val="19"/>
                <w:szCs w:val="19"/>
              </w:rPr>
              <w:t xml:space="preserve">Arabic-first, Egyptian dialect, RTL UI; English secondary</w:t>
            </w:r>
          </w:p>
        </w:tc>
        <w:tc>
          <w:tcPr>
            <w:tcW w:type="dxa" w:w="1550"/>
            <w:shd w:fill="F2F2F2" w:val="clear"/>
            <w:tcMar>
              <w:top w:type="dxa" w:w="90"/>
              <w:left w:type="dxa" w:w="120"/>
              <w:bottom w:type="dxa" w:w="90"/>
              <w:right w:type="dxa" w:w="120"/>
            </w:tcMar>
            <w:vAlign w:val="center"/>
          </w:tcPr>
          <w:p>
            <w:r>
              <w:rPr>
                <w:sz w:val="19"/>
                <w:szCs w:val="19"/>
              </w:rPr>
              <w:t xml:space="preserve">Critical</w:t>
            </w:r>
          </w:p>
        </w:tc>
      </w:tr>
      <w:tr>
        <w:tc>
          <w:tcPr>
            <w:tcW w:type="dxa" w:w="1700"/>
            <w:shd w:fill="FFFFFF" w:val="clear"/>
            <w:tcMar>
              <w:top w:type="dxa" w:w="90"/>
              <w:left w:type="dxa" w:w="120"/>
              <w:bottom w:type="dxa" w:w="90"/>
              <w:right w:type="dxa" w:w="120"/>
            </w:tcMar>
            <w:vAlign w:val="center"/>
          </w:tcPr>
          <w:p>
            <w:r>
              <w:rPr>
                <w:sz w:val="19"/>
                <w:szCs w:val="19"/>
              </w:rPr>
              <w:t xml:space="preserve">Payments</w:t>
            </w:r>
          </w:p>
        </w:tc>
        <w:tc>
          <w:tcPr>
            <w:tcW w:type="dxa" w:w="6100"/>
            <w:shd w:fill="FFFFFF" w:val="clear"/>
            <w:tcMar>
              <w:top w:type="dxa" w:w="90"/>
              <w:left w:type="dxa" w:w="120"/>
              <w:bottom w:type="dxa" w:w="90"/>
              <w:right w:type="dxa" w:w="120"/>
            </w:tcMar>
            <w:vAlign w:val="center"/>
          </w:tcPr>
          <w:p>
            <w:r>
              <w:rPr>
                <w:sz w:val="19"/>
                <w:szCs w:val="19"/>
              </w:rPr>
              <w:t xml:space="preserve">Consumers never pay; brands pay. Support Vodafone Cash, InstaPay, bank cards, digital vouchers for rewards</w:t>
            </w:r>
          </w:p>
        </w:tc>
        <w:tc>
          <w:tcPr>
            <w:tcW w:type="dxa" w:w="1550"/>
            <w:shd w:fill="FFFFFF" w:val="clear"/>
            <w:tcMar>
              <w:top w:type="dxa" w:w="90"/>
              <w:left w:type="dxa" w:w="120"/>
              <w:bottom w:type="dxa" w:w="90"/>
              <w:right w:type="dxa" w:w="120"/>
            </w:tcMar>
            <w:vAlign w:val="center"/>
          </w:tcPr>
          <w:p>
            <w:r>
              <w:rPr>
                <w:sz w:val="19"/>
                <w:szCs w:val="19"/>
              </w:rPr>
              <w:t xml:space="preserve">High</w:t>
            </w:r>
          </w:p>
        </w:tc>
      </w:tr>
      <w:tr>
        <w:tc>
          <w:tcPr>
            <w:tcW w:type="dxa" w:w="1700"/>
            <w:shd w:fill="F2F2F2" w:val="clear"/>
            <w:tcMar>
              <w:top w:type="dxa" w:w="90"/>
              <w:left w:type="dxa" w:w="120"/>
              <w:bottom w:type="dxa" w:w="90"/>
              <w:right w:type="dxa" w:w="120"/>
            </w:tcMar>
            <w:vAlign w:val="center"/>
          </w:tcPr>
          <w:p>
            <w:r>
              <w:rPr>
                <w:sz w:val="19"/>
                <w:szCs w:val="19"/>
              </w:rPr>
              <w:t xml:space="preserve">Data collection</w:t>
            </w:r>
          </w:p>
        </w:tc>
        <w:tc>
          <w:tcPr>
            <w:tcW w:type="dxa" w:w="6100"/>
            <w:shd w:fill="F2F2F2" w:val="clear"/>
            <w:tcMar>
              <w:top w:type="dxa" w:w="90"/>
              <w:left w:type="dxa" w:w="120"/>
              <w:bottom w:type="dxa" w:w="90"/>
              <w:right w:type="dxa" w:w="120"/>
            </w:tcMar>
            <w:vAlign w:val="center"/>
          </w:tcPr>
          <w:p>
            <w:r>
              <w:rPr>
                <w:sz w:val="19"/>
                <w:szCs w:val="19"/>
              </w:rPr>
              <w:t xml:space="preserve">Micro-feedback only (3–5 questions, ~30 seconds)</w:t>
            </w:r>
          </w:p>
        </w:tc>
        <w:tc>
          <w:tcPr>
            <w:tcW w:type="dxa" w:w="1550"/>
            <w:shd w:fill="F2F2F2" w:val="clear"/>
            <w:tcMar>
              <w:top w:type="dxa" w:w="90"/>
              <w:left w:type="dxa" w:w="120"/>
              <w:bottom w:type="dxa" w:w="90"/>
              <w:right w:type="dxa" w:w="120"/>
            </w:tcMar>
            <w:vAlign w:val="center"/>
          </w:tcPr>
          <w:p>
            <w:r>
              <w:rPr>
                <w:sz w:val="19"/>
                <w:szCs w:val="19"/>
              </w:rPr>
              <w:t xml:space="preserve">High</w:t>
            </w:r>
          </w:p>
        </w:tc>
      </w:tr>
      <w:tr>
        <w:tc>
          <w:tcPr>
            <w:tcW w:type="dxa" w:w="1700"/>
            <w:shd w:fill="FFFFFF" w:val="clear"/>
            <w:tcMar>
              <w:top w:type="dxa" w:w="90"/>
              <w:left w:type="dxa" w:w="120"/>
              <w:bottom w:type="dxa" w:w="90"/>
              <w:right w:type="dxa" w:w="120"/>
            </w:tcMar>
            <w:vAlign w:val="center"/>
          </w:tcPr>
          <w:p>
            <w:r>
              <w:rPr>
                <w:sz w:val="19"/>
                <w:szCs w:val="19"/>
              </w:rPr>
              <w:t xml:space="preserve">Analytics output</w:t>
            </w:r>
          </w:p>
        </w:tc>
        <w:tc>
          <w:tcPr>
            <w:tcW w:type="dxa" w:w="6100"/>
            <w:shd w:fill="FFFFFF" w:val="clear"/>
            <w:tcMar>
              <w:top w:type="dxa" w:w="90"/>
              <w:left w:type="dxa" w:w="120"/>
              <w:bottom w:type="dxa" w:w="90"/>
              <w:right w:type="dxa" w:w="120"/>
            </w:tcMar>
            <w:vAlign w:val="center"/>
          </w:tcPr>
          <w:p>
            <w:r>
              <w:rPr>
                <w:sz w:val="19"/>
                <w:szCs w:val="19"/>
              </w:rPr>
              <w:t xml:space="preserve">AI-generated consumer-intelligence narratives, not raw dashboards</w:t>
            </w:r>
          </w:p>
        </w:tc>
        <w:tc>
          <w:tcPr>
            <w:tcW w:type="dxa" w:w="1550"/>
            <w:shd w:fill="FFFFFF" w:val="clear"/>
            <w:tcMar>
              <w:top w:type="dxa" w:w="90"/>
              <w:left w:type="dxa" w:w="120"/>
              <w:bottom w:type="dxa" w:w="90"/>
              <w:right w:type="dxa" w:w="120"/>
            </w:tcMar>
            <w:vAlign w:val="center"/>
          </w:tcPr>
          <w:p>
            <w:r>
              <w:rPr>
                <w:sz w:val="19"/>
                <w:szCs w:val="19"/>
              </w:rPr>
              <w:t xml:space="preserve">Critical</w:t>
            </w:r>
          </w:p>
        </w:tc>
      </w:tr>
    </w:tbl>
    <w:p>
      <w:pPr>
        <w:pStyle w:val="Heading3"/>
        <w:spacing w:after="100" w:before="200"/>
      </w:pPr>
      <w:r>
        <w:rPr>
          <w:b/>
          <w:bCs/>
          <w:color w:val="374151"/>
          <w:sz w:val="21"/>
          <w:szCs w:val="21"/>
        </w:rPr>
        <w:t xml:space="preserve">Revenue streams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5300"/>
        <w:gridCol w:w="1650"/>
      </w:tblGrid>
      <w:tr>
        <w:trPr>
          <w:tblHeader/>
        </w:trPr>
        <w:tc>
          <w:tcPr>
            <w:tcW w:type="dxa" w:w="2400"/>
            <w:shd w:fill="1F2A44" w:val="clear"/>
            <w:tcMar>
              <w:top w:type="dxa" w:w="100"/>
              <w:left w:type="dxa" w:w="120"/>
              <w:bottom w:type="dxa" w:w="100"/>
              <w:right w:type="dxa" w:w="120"/>
            </w:tcMar>
            <w:vAlign w:val="center"/>
          </w:tcPr>
          <w:p>
            <w:r>
              <w:rPr>
                <w:b/>
                <w:bCs/>
                <w:color w:val="FFFFFF"/>
                <w:sz w:val="19"/>
                <w:szCs w:val="19"/>
              </w:rPr>
              <w:t xml:space="preserve">Stream</w:t>
            </w:r>
          </w:p>
        </w:tc>
        <w:tc>
          <w:tcPr>
            <w:tcW w:type="dxa" w:w="5300"/>
            <w:shd w:fill="1F2A44" w:val="clear"/>
            <w:tcMar>
              <w:top w:type="dxa" w:w="100"/>
              <w:left w:type="dxa" w:w="120"/>
              <w:bottom w:type="dxa" w:w="100"/>
              <w:right w:type="dxa" w:w="120"/>
            </w:tcMar>
            <w:vAlign w:val="center"/>
          </w:tcPr>
          <w:p>
            <w:r>
              <w:rPr>
                <w:b/>
                <w:bCs/>
                <w:color w:val="FFFFFF"/>
                <w:sz w:val="19"/>
                <w:szCs w:val="19"/>
              </w:rPr>
              <w:t xml:space="preserve">Description</w:t>
            </w:r>
          </w:p>
        </w:tc>
        <w:tc>
          <w:tcPr>
            <w:tcW w:type="dxa" w:w="1650"/>
            <w:shd w:fill="1F2A44" w:val="clear"/>
            <w:tcMar>
              <w:top w:type="dxa" w:w="100"/>
              <w:left w:type="dxa" w:w="120"/>
              <w:bottom w:type="dxa" w:w="100"/>
              <w:right w:type="dxa" w:w="120"/>
            </w:tcMar>
            <w:vAlign w:val="center"/>
          </w:tcPr>
          <w:p>
            <w:r>
              <w:rPr>
                <w:b/>
                <w:bCs/>
                <w:color w:val="FFFFFF"/>
                <w:sz w:val="19"/>
                <w:szCs w:val="19"/>
              </w:rPr>
              <w:t xml:space="preserve">Illustrative Mix</w:t>
            </w:r>
          </w:p>
        </w:tc>
      </w:tr>
      <w:tr>
        <w:tc>
          <w:tcPr>
            <w:tcW w:type="dxa" w:w="2400"/>
            <w:shd w:fill="FFFFFF" w:val="clear"/>
            <w:tcMar>
              <w:top w:type="dxa" w:w="90"/>
              <w:left w:type="dxa" w:w="120"/>
              <w:bottom w:type="dxa" w:w="90"/>
              <w:right w:type="dxa" w:w="120"/>
            </w:tcMar>
            <w:vAlign w:val="center"/>
          </w:tcPr>
          <w:p>
            <w:r>
              <w:rPr>
                <w:sz w:val="19"/>
                <w:szCs w:val="19"/>
              </w:rPr>
              <w:t xml:space="preserve">Brand campaign fee</w:t>
            </w:r>
          </w:p>
        </w:tc>
        <w:tc>
          <w:tcPr>
            <w:tcW w:type="dxa" w:w="5300"/>
            <w:shd w:fill="FFFFFF" w:val="clear"/>
            <w:tcMar>
              <w:top w:type="dxa" w:w="90"/>
              <w:left w:type="dxa" w:w="120"/>
              <w:bottom w:type="dxa" w:w="90"/>
              <w:right w:type="dxa" w:w="120"/>
            </w:tcMar>
            <w:vAlign w:val="center"/>
          </w:tcPr>
          <w:p>
            <w:r>
              <w:rPr>
                <w:sz w:val="19"/>
                <w:szCs w:val="19"/>
              </w:rPr>
              <w:t xml:space="preserve">Planning + distribution + analytics per campaign ($4,000–20,000, illustrative)</w:t>
            </w:r>
          </w:p>
        </w:tc>
        <w:tc>
          <w:tcPr>
            <w:tcW w:type="dxa" w:w="1650"/>
            <w:shd w:fill="FFFFFF" w:val="clear"/>
            <w:tcMar>
              <w:top w:type="dxa" w:w="90"/>
              <w:left w:type="dxa" w:w="120"/>
              <w:bottom w:type="dxa" w:w="90"/>
              <w:right w:type="dxa" w:w="120"/>
            </w:tcMar>
            <w:vAlign w:val="center"/>
          </w:tcPr>
          <w:p>
            <w:r>
              <w:rPr>
                <w:sz w:val="19"/>
                <w:szCs w:val="19"/>
              </w:rPr>
              <w:t xml:space="preserve">45%</w:t>
            </w:r>
          </w:p>
        </w:tc>
      </w:tr>
      <w:tr>
        <w:tc>
          <w:tcPr>
            <w:tcW w:type="dxa" w:w="2400"/>
            <w:shd w:fill="F2F2F2" w:val="clear"/>
            <w:tcMar>
              <w:top w:type="dxa" w:w="90"/>
              <w:left w:type="dxa" w:w="120"/>
              <w:bottom w:type="dxa" w:w="90"/>
              <w:right w:type="dxa" w:w="120"/>
            </w:tcMar>
            <w:vAlign w:val="center"/>
          </w:tcPr>
          <w:p>
            <w:r>
              <w:rPr>
                <w:sz w:val="19"/>
                <w:szCs w:val="19"/>
              </w:rPr>
              <w:t xml:space="preserve">Per-sample distribution fee</w:t>
            </w:r>
          </w:p>
        </w:tc>
        <w:tc>
          <w:tcPr>
            <w:tcW w:type="dxa" w:w="5300"/>
            <w:shd w:fill="F2F2F2" w:val="clear"/>
            <w:tcMar>
              <w:top w:type="dxa" w:w="90"/>
              <w:left w:type="dxa" w:w="120"/>
              <w:bottom w:type="dxa" w:w="90"/>
              <w:right w:type="dxa" w:w="120"/>
            </w:tcMar>
            <w:vAlign w:val="center"/>
          </w:tcPr>
          <w:p>
            <w:r>
              <w:rPr>
                <w:sz w:val="19"/>
                <w:szCs w:val="19"/>
              </w:rPr>
              <w:t xml:space="preserve">Charged per unit for large-volume campaigns</w:t>
            </w:r>
          </w:p>
        </w:tc>
        <w:tc>
          <w:tcPr>
            <w:tcW w:type="dxa" w:w="1650"/>
            <w:shd w:fill="F2F2F2" w:val="clear"/>
            <w:tcMar>
              <w:top w:type="dxa" w:w="90"/>
              <w:left w:type="dxa" w:w="120"/>
              <w:bottom w:type="dxa" w:w="90"/>
              <w:right w:type="dxa" w:w="120"/>
            </w:tcMar>
            <w:vAlign w:val="center"/>
          </w:tcPr>
          <w:p>
            <w:r>
              <w:rPr>
                <w:sz w:val="19"/>
                <w:szCs w:val="19"/>
              </w:rPr>
              <w:t xml:space="preserve">20%</w:t>
            </w:r>
          </w:p>
        </w:tc>
      </w:tr>
      <w:tr>
        <w:tc>
          <w:tcPr>
            <w:tcW w:type="dxa" w:w="2400"/>
            <w:shd w:fill="FFFFFF" w:val="clear"/>
            <w:tcMar>
              <w:top w:type="dxa" w:w="90"/>
              <w:left w:type="dxa" w:w="120"/>
              <w:bottom w:type="dxa" w:w="90"/>
              <w:right w:type="dxa" w:w="120"/>
            </w:tcMar>
            <w:vAlign w:val="center"/>
          </w:tcPr>
          <w:p>
            <w:r>
              <w:rPr>
                <w:sz w:val="19"/>
                <w:szCs w:val="19"/>
              </w:rPr>
              <w:t xml:space="preserve">AI insights dashboard</w:t>
            </w:r>
          </w:p>
        </w:tc>
        <w:tc>
          <w:tcPr>
            <w:tcW w:type="dxa" w:w="5300"/>
            <w:shd w:fill="FFFFFF" w:val="clear"/>
            <w:tcMar>
              <w:top w:type="dxa" w:w="90"/>
              <w:left w:type="dxa" w:w="120"/>
              <w:bottom w:type="dxa" w:w="90"/>
              <w:right w:type="dxa" w:w="120"/>
            </w:tcMar>
            <w:vAlign w:val="center"/>
          </w:tcPr>
          <w:p>
            <w:r>
              <w:rPr>
                <w:sz w:val="19"/>
                <w:szCs w:val="19"/>
              </w:rPr>
              <w:t xml:space="preserve">Monthly subscription for marketing/brand teams</w:t>
            </w:r>
          </w:p>
        </w:tc>
        <w:tc>
          <w:tcPr>
            <w:tcW w:type="dxa" w:w="1650"/>
            <w:shd w:fill="FFFFFF" w:val="clear"/>
            <w:tcMar>
              <w:top w:type="dxa" w:w="90"/>
              <w:left w:type="dxa" w:w="120"/>
              <w:bottom w:type="dxa" w:w="90"/>
              <w:right w:type="dxa" w:w="120"/>
            </w:tcMar>
            <w:vAlign w:val="center"/>
          </w:tcPr>
          <w:p>
            <w:r>
              <w:rPr>
                <w:sz w:val="19"/>
                <w:szCs w:val="19"/>
              </w:rPr>
              <w:t xml:space="preserve">15%</w:t>
            </w:r>
          </w:p>
        </w:tc>
      </w:tr>
      <w:tr>
        <w:tc>
          <w:tcPr>
            <w:tcW w:type="dxa" w:w="2400"/>
            <w:shd w:fill="F2F2F2" w:val="clear"/>
            <w:tcMar>
              <w:top w:type="dxa" w:w="90"/>
              <w:left w:type="dxa" w:w="120"/>
              <w:bottom w:type="dxa" w:w="90"/>
              <w:right w:type="dxa" w:w="120"/>
            </w:tcMar>
            <w:vAlign w:val="center"/>
          </w:tcPr>
          <w:p>
            <w:r>
              <w:rPr>
                <w:sz w:val="19"/>
                <w:szCs w:val="19"/>
              </w:rPr>
              <w:t xml:space="preserve">Enterprise / API access</w:t>
            </w:r>
          </w:p>
        </w:tc>
        <w:tc>
          <w:tcPr>
            <w:tcW w:type="dxa" w:w="5300"/>
            <w:shd w:fill="F2F2F2" w:val="clear"/>
            <w:tcMar>
              <w:top w:type="dxa" w:w="90"/>
              <w:left w:type="dxa" w:w="120"/>
              <w:bottom w:type="dxa" w:w="90"/>
              <w:right w:type="dxa" w:w="120"/>
            </w:tcMar>
            <w:vAlign w:val="center"/>
          </w:tcPr>
          <w:p>
            <w:r>
              <w:rPr>
                <w:sz w:val="19"/>
                <w:szCs w:val="19"/>
              </w:rPr>
              <w:t xml:space="preserve">CRM integration for large accounts</w:t>
            </w:r>
          </w:p>
        </w:tc>
        <w:tc>
          <w:tcPr>
            <w:tcW w:type="dxa" w:w="1650"/>
            <w:shd w:fill="F2F2F2" w:val="clear"/>
            <w:tcMar>
              <w:top w:type="dxa" w:w="90"/>
              <w:left w:type="dxa" w:w="120"/>
              <w:bottom w:type="dxa" w:w="90"/>
              <w:right w:type="dxa" w:w="120"/>
            </w:tcMar>
            <w:vAlign w:val="center"/>
          </w:tcPr>
          <w:p>
            <w:r>
              <w:rPr>
                <w:sz w:val="19"/>
                <w:szCs w:val="19"/>
              </w:rPr>
              <w:t xml:space="preserve">10%</w:t>
            </w:r>
          </w:p>
        </w:tc>
      </w:tr>
      <w:tr>
        <w:tc>
          <w:tcPr>
            <w:tcW w:type="dxa" w:w="2400"/>
            <w:shd w:fill="FFFFFF" w:val="clear"/>
            <w:tcMar>
              <w:top w:type="dxa" w:w="90"/>
              <w:left w:type="dxa" w:w="120"/>
              <w:bottom w:type="dxa" w:w="90"/>
              <w:right w:type="dxa" w:w="120"/>
            </w:tcMar>
            <w:vAlign w:val="center"/>
          </w:tcPr>
          <w:p>
            <w:r>
              <w:rPr>
                <w:sz w:val="19"/>
                <w:szCs w:val="19"/>
              </w:rPr>
              <w:t xml:space="preserve">Consumer panel / launch validation</w:t>
            </w:r>
          </w:p>
        </w:tc>
        <w:tc>
          <w:tcPr>
            <w:tcW w:type="dxa" w:w="5300"/>
            <w:shd w:fill="FFFFFF" w:val="clear"/>
            <w:tcMar>
              <w:top w:type="dxa" w:w="90"/>
              <w:left w:type="dxa" w:w="120"/>
              <w:bottom w:type="dxa" w:w="90"/>
              <w:right w:type="dxa" w:w="120"/>
            </w:tcMar>
            <w:vAlign w:val="center"/>
          </w:tcPr>
          <w:p>
            <w:r>
              <w:rPr>
                <w:sz w:val="19"/>
                <w:szCs w:val="19"/>
              </w:rPr>
              <w:t xml:space="preserve">Sell access to defined segments; premium pre-launch testing</w:t>
            </w:r>
          </w:p>
        </w:tc>
        <w:tc>
          <w:tcPr>
            <w:tcW w:type="dxa" w:w="1650"/>
            <w:shd w:fill="FFFFFF" w:val="clear"/>
            <w:tcMar>
              <w:top w:type="dxa" w:w="90"/>
              <w:left w:type="dxa" w:w="120"/>
              <w:bottom w:type="dxa" w:w="90"/>
              <w:right w:type="dxa" w:w="120"/>
            </w:tcMar>
            <w:vAlign w:val="center"/>
          </w:tcPr>
          <w:p>
            <w:r>
              <w:rPr>
                <w:sz w:val="19"/>
                <w:szCs w:val="19"/>
              </w:rPr>
              <w:t xml:space="preserve">10%</w:t>
            </w:r>
          </w:p>
        </w:tc>
      </w:tr>
    </w:tbl>
    <w:tbl>
      <w:tblPr>
        <w:tblW w:type="pct" w:w="100%"/>
        <w:tblBorders>
          <w:top w:val="single" w:color="D68910" w:sz="6"/>
          <w:left w:val="single" w:color="D68910" w:sz="6"/>
          <w:bottom w:val="single" w:color="D68910" w:sz="6"/>
          <w:right w:val="single" w:color="D68910" w:sz="6"/>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100"/>
            </w:pPr>
            <w:r>
              <w:rPr>
                <w:b/>
                <w:bCs/>
                <w:color w:val="D68910"/>
                <w:sz w:val="22"/>
                <w:szCs w:val="22"/>
              </w:rPr>
              <w:t xml:space="preserve">Not yet validated</w:t>
            </w:r>
          </w:p>
          <w:p>
            <w:pPr>
              <w:spacing w:after="60"/>
            </w:pPr>
            <w:r>
              <w:rPr>
                <w:sz w:val="20"/>
                <w:szCs w:val="20"/>
              </w:rPr>
              <w:t xml:space="preserve">• Every price point above is illustrative and has not been tested against real Egyptian FMCG marketing budgets. This must be confirmed with 15–20 target brand contacts before pricing is finalized.</w:t>
            </w:r>
          </w:p>
        </w:tc>
      </w:tr>
    </w:tbl>
    <w:p>
      <w:r>
        <w:br w:type="page"/>
      </w:r>
    </w:p>
    <w:p>
      <w:pPr>
        <w:pStyle w:val="Heading1"/>
        <w:pBdr>
          <w:bottom w:val="single" w:color="1F2A44" w:sz="8" w:space="4"/>
        </w:pBdr>
        <w:spacing w:after="200" w:before="400"/>
      </w:pPr>
      <w:r>
        <w:rPr>
          <w:b/>
          <w:bCs/>
          <w:color w:val="1F2A44"/>
          <w:sz w:val="30"/>
          <w:szCs w:val="30"/>
        </w:rPr>
        <w:t xml:space="preserve">7. Financial Feasibility</w:t>
      </w:r>
    </w:p>
    <w:p>
      <w:pPr>
        <w:spacing w:after="140" w:line="276"/>
      </w:pPr>
      <w:r>
        <w:rPr>
          <w:i/>
          <w:iCs/>
          <w:color w:val="6B7280"/>
          <w:sz w:val="21"/>
          <w:szCs w:val="21"/>
        </w:rPr>
        <w:t xml:space="preserve">Figures below are internally consistent scenario estimates, not validated forecasts. No unit-economics model or multi-scenario sensitivity analysis has been built — this is the largest open gap in the financial case and a precondition for full funding (see Section 11).</w:t>
      </w:r>
    </w:p>
    <w:p>
      <w:pPr>
        <w:pStyle w:val="Heading3"/>
        <w:spacing w:after="100" w:before="200"/>
      </w:pPr>
      <w:r>
        <w:rPr>
          <w:b/>
          <w:bCs/>
          <w:color w:val="374151"/>
          <w:sz w:val="21"/>
          <w:szCs w:val="21"/>
        </w:rPr>
        <w:t xml:space="preserve">Illustrative Initial Investment — Full Build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6000"/>
        <w:gridCol w:w="3350"/>
      </w:tblGrid>
      <w:tr>
        <w:trPr>
          <w:tblHeader/>
        </w:trPr>
        <w:tc>
          <w:tcPr>
            <w:tcW w:type="dxa" w:w="6000"/>
            <w:shd w:fill="1F2A44" w:val="clear"/>
            <w:tcMar>
              <w:top w:type="dxa" w:w="100"/>
              <w:left w:type="dxa" w:w="120"/>
              <w:bottom w:type="dxa" w:w="100"/>
              <w:right w:type="dxa" w:w="120"/>
            </w:tcMar>
            <w:vAlign w:val="center"/>
          </w:tcPr>
          <w:p>
            <w:r>
              <w:rPr>
                <w:b/>
                <w:bCs/>
                <w:color w:val="FFFFFF"/>
                <w:sz w:val="19"/>
                <w:szCs w:val="19"/>
              </w:rPr>
              <w:t xml:space="preserve">Item</w:t>
            </w:r>
          </w:p>
        </w:tc>
        <w:tc>
          <w:tcPr>
            <w:tcW w:type="dxa" w:w="3350"/>
            <w:shd w:fill="1F2A44" w:val="clear"/>
            <w:tcMar>
              <w:top w:type="dxa" w:w="100"/>
              <w:left w:type="dxa" w:w="120"/>
              <w:bottom w:type="dxa" w:w="100"/>
              <w:right w:type="dxa" w:w="120"/>
            </w:tcMar>
            <w:vAlign w:val="center"/>
          </w:tcPr>
          <w:p>
            <w:r>
              <w:rPr>
                <w:b/>
                <w:bCs/>
                <w:color w:val="FFFFFF"/>
                <w:sz w:val="19"/>
                <w:szCs w:val="19"/>
              </w:rPr>
              <w:t xml:space="preserve">Estimate (USD)</w:t>
            </w:r>
          </w:p>
        </w:tc>
      </w:tr>
      <w:tr>
        <w:tc>
          <w:tcPr>
            <w:tcW w:type="dxa" w:w="6000"/>
            <w:shd w:fill="FFFFFF" w:val="clear"/>
            <w:tcMar>
              <w:top w:type="dxa" w:w="90"/>
              <w:left w:type="dxa" w:w="120"/>
              <w:bottom w:type="dxa" w:w="90"/>
              <w:right w:type="dxa" w:w="120"/>
            </w:tcMar>
            <w:vAlign w:val="center"/>
          </w:tcPr>
          <w:p>
            <w:r>
              <w:rPr>
                <w:sz w:val="19"/>
                <w:szCs w:val="19"/>
              </w:rPr>
              <w:t xml:space="preserve">Mobile app</w:t>
            </w:r>
          </w:p>
        </w:tc>
        <w:tc>
          <w:tcPr>
            <w:tcW w:type="dxa" w:w="3350"/>
            <w:shd w:fill="FFFFFF" w:val="clear"/>
            <w:tcMar>
              <w:top w:type="dxa" w:w="90"/>
              <w:left w:type="dxa" w:w="120"/>
              <w:bottom w:type="dxa" w:w="90"/>
              <w:right w:type="dxa" w:w="120"/>
            </w:tcMar>
            <w:vAlign w:val="center"/>
          </w:tcPr>
          <w:p>
            <w:r>
              <w:rPr>
                <w:sz w:val="19"/>
                <w:szCs w:val="19"/>
              </w:rPr>
              <w:t xml:space="preserve">40,000</w:t>
            </w:r>
          </w:p>
        </w:tc>
      </w:tr>
      <w:tr>
        <w:tc>
          <w:tcPr>
            <w:tcW w:type="dxa" w:w="6000"/>
            <w:shd w:fill="F2F2F2" w:val="clear"/>
            <w:tcMar>
              <w:top w:type="dxa" w:w="90"/>
              <w:left w:type="dxa" w:w="120"/>
              <w:bottom w:type="dxa" w:w="90"/>
              <w:right w:type="dxa" w:w="120"/>
            </w:tcMar>
            <w:vAlign w:val="center"/>
          </w:tcPr>
          <w:p>
            <w:r>
              <w:rPr>
                <w:sz w:val="19"/>
                <w:szCs w:val="19"/>
              </w:rPr>
              <w:t xml:space="preserve">Backend platform</w:t>
            </w:r>
          </w:p>
        </w:tc>
        <w:tc>
          <w:tcPr>
            <w:tcW w:type="dxa" w:w="3350"/>
            <w:shd w:fill="F2F2F2" w:val="clear"/>
            <w:tcMar>
              <w:top w:type="dxa" w:w="90"/>
              <w:left w:type="dxa" w:w="120"/>
              <w:bottom w:type="dxa" w:w="90"/>
              <w:right w:type="dxa" w:w="120"/>
            </w:tcMar>
            <w:vAlign w:val="center"/>
          </w:tcPr>
          <w:p>
            <w:r>
              <w:rPr>
                <w:sz w:val="19"/>
                <w:szCs w:val="19"/>
              </w:rPr>
              <w:t xml:space="preserve">35,000</w:t>
            </w:r>
          </w:p>
        </w:tc>
      </w:tr>
      <w:tr>
        <w:tc>
          <w:tcPr>
            <w:tcW w:type="dxa" w:w="6000"/>
            <w:shd w:fill="FFFFFF" w:val="clear"/>
            <w:tcMar>
              <w:top w:type="dxa" w:w="90"/>
              <w:left w:type="dxa" w:w="120"/>
              <w:bottom w:type="dxa" w:w="90"/>
              <w:right w:type="dxa" w:w="120"/>
            </w:tcMar>
            <w:vAlign w:val="center"/>
          </w:tcPr>
          <w:p>
            <w:r>
              <w:rPr>
                <w:sz w:val="19"/>
                <w:szCs w:val="19"/>
              </w:rPr>
              <w:t xml:space="preserve">AI dashboards</w:t>
            </w:r>
          </w:p>
        </w:tc>
        <w:tc>
          <w:tcPr>
            <w:tcW w:type="dxa" w:w="3350"/>
            <w:shd w:fill="FFFFFF" w:val="clear"/>
            <w:tcMar>
              <w:top w:type="dxa" w:w="90"/>
              <w:left w:type="dxa" w:w="120"/>
              <w:bottom w:type="dxa" w:w="90"/>
              <w:right w:type="dxa" w:w="120"/>
            </w:tcMar>
            <w:vAlign w:val="center"/>
          </w:tcPr>
          <w:p>
            <w:r>
              <w:rPr>
                <w:sz w:val="19"/>
                <w:szCs w:val="19"/>
              </w:rPr>
              <w:t xml:space="preserve">20,000</w:t>
            </w:r>
          </w:p>
        </w:tc>
      </w:tr>
      <w:tr>
        <w:tc>
          <w:tcPr>
            <w:tcW w:type="dxa" w:w="6000"/>
            <w:shd w:fill="F2F2F2" w:val="clear"/>
            <w:tcMar>
              <w:top w:type="dxa" w:w="90"/>
              <w:left w:type="dxa" w:w="120"/>
              <w:bottom w:type="dxa" w:w="90"/>
              <w:right w:type="dxa" w:w="120"/>
            </w:tcMar>
            <w:vAlign w:val="center"/>
          </w:tcPr>
          <w:p>
            <w:r>
              <w:rPr>
                <w:sz w:val="19"/>
                <w:szCs w:val="19"/>
              </w:rPr>
              <w:t xml:space="preserve">Website</w:t>
            </w:r>
          </w:p>
        </w:tc>
        <w:tc>
          <w:tcPr>
            <w:tcW w:type="dxa" w:w="3350"/>
            <w:shd w:fill="F2F2F2" w:val="clear"/>
            <w:tcMar>
              <w:top w:type="dxa" w:w="90"/>
              <w:left w:type="dxa" w:w="120"/>
              <w:bottom w:type="dxa" w:w="90"/>
              <w:right w:type="dxa" w:w="120"/>
            </w:tcMar>
            <w:vAlign w:val="center"/>
          </w:tcPr>
          <w:p>
            <w:r>
              <w:rPr>
                <w:sz w:val="19"/>
                <w:szCs w:val="19"/>
              </w:rPr>
              <w:t xml:space="preserve">8,000</w:t>
            </w:r>
          </w:p>
        </w:tc>
      </w:tr>
      <w:tr>
        <w:tc>
          <w:tcPr>
            <w:tcW w:type="dxa" w:w="6000"/>
            <w:shd w:fill="FFFFFF" w:val="clear"/>
            <w:tcMar>
              <w:top w:type="dxa" w:w="90"/>
              <w:left w:type="dxa" w:w="120"/>
              <w:bottom w:type="dxa" w:w="90"/>
              <w:right w:type="dxa" w:w="120"/>
            </w:tcMar>
            <w:vAlign w:val="center"/>
          </w:tcPr>
          <w:p>
            <w:r>
              <w:rPr>
                <w:sz w:val="19"/>
                <w:szCs w:val="19"/>
              </w:rPr>
              <w:t xml:space="preserve">Admin portal</w:t>
            </w:r>
          </w:p>
        </w:tc>
        <w:tc>
          <w:tcPr>
            <w:tcW w:type="dxa" w:w="3350"/>
            <w:shd w:fill="FFFFFF" w:val="clear"/>
            <w:tcMar>
              <w:top w:type="dxa" w:w="90"/>
              <w:left w:type="dxa" w:w="120"/>
              <w:bottom w:type="dxa" w:w="90"/>
              <w:right w:type="dxa" w:w="120"/>
            </w:tcMar>
            <w:vAlign w:val="center"/>
          </w:tcPr>
          <w:p>
            <w:r>
              <w:rPr>
                <w:sz w:val="19"/>
                <w:szCs w:val="19"/>
              </w:rPr>
              <w:t xml:space="preserve">15,000</w:t>
            </w:r>
          </w:p>
        </w:tc>
      </w:tr>
      <w:tr>
        <w:tc>
          <w:tcPr>
            <w:tcW w:type="dxa" w:w="6000"/>
            <w:shd w:fill="F2F2F2" w:val="clear"/>
            <w:tcMar>
              <w:top w:type="dxa" w:w="90"/>
              <w:left w:type="dxa" w:w="120"/>
              <w:bottom w:type="dxa" w:w="90"/>
              <w:right w:type="dxa" w:w="120"/>
            </w:tcMar>
            <w:vAlign w:val="center"/>
          </w:tcPr>
          <w:p>
            <w:r>
              <w:rPr>
                <w:sz w:val="19"/>
                <w:szCs w:val="19"/>
              </w:rPr>
              <w:t xml:space="preserve">Legal</w:t>
            </w:r>
          </w:p>
        </w:tc>
        <w:tc>
          <w:tcPr>
            <w:tcW w:type="dxa" w:w="3350"/>
            <w:shd w:fill="F2F2F2" w:val="clear"/>
            <w:tcMar>
              <w:top w:type="dxa" w:w="90"/>
              <w:left w:type="dxa" w:w="120"/>
              <w:bottom w:type="dxa" w:w="90"/>
              <w:right w:type="dxa" w:w="120"/>
            </w:tcMar>
            <w:vAlign w:val="center"/>
          </w:tcPr>
          <w:p>
            <w:r>
              <w:rPr>
                <w:sz w:val="19"/>
                <w:szCs w:val="19"/>
              </w:rPr>
              <w:t xml:space="preserve">10,000</w:t>
            </w:r>
          </w:p>
        </w:tc>
      </w:tr>
      <w:tr>
        <w:tc>
          <w:tcPr>
            <w:tcW w:type="dxa" w:w="6000"/>
            <w:shd w:fill="FFFFFF" w:val="clear"/>
            <w:tcMar>
              <w:top w:type="dxa" w:w="90"/>
              <w:left w:type="dxa" w:w="120"/>
              <w:bottom w:type="dxa" w:w="90"/>
              <w:right w:type="dxa" w:w="120"/>
            </w:tcMar>
            <w:vAlign w:val="center"/>
          </w:tcPr>
          <w:p>
            <w:r>
              <w:rPr>
                <w:sz w:val="19"/>
                <w:szCs w:val="19"/>
              </w:rPr>
              <w:t xml:space="preserve">Branding</w:t>
            </w:r>
          </w:p>
        </w:tc>
        <w:tc>
          <w:tcPr>
            <w:tcW w:type="dxa" w:w="3350"/>
            <w:shd w:fill="FFFFFF" w:val="clear"/>
            <w:tcMar>
              <w:top w:type="dxa" w:w="90"/>
              <w:left w:type="dxa" w:w="120"/>
              <w:bottom w:type="dxa" w:w="90"/>
              <w:right w:type="dxa" w:w="120"/>
            </w:tcMar>
            <w:vAlign w:val="center"/>
          </w:tcPr>
          <w:p>
            <w:r>
              <w:rPr>
                <w:sz w:val="19"/>
                <w:szCs w:val="19"/>
              </w:rPr>
              <w:t xml:space="preserve">10,000</w:t>
            </w:r>
          </w:p>
        </w:tc>
      </w:tr>
      <w:tr>
        <w:tc>
          <w:tcPr>
            <w:tcW w:type="dxa" w:w="6000"/>
            <w:shd w:fill="F2F2F2" w:val="clear"/>
            <w:tcMar>
              <w:top w:type="dxa" w:w="90"/>
              <w:left w:type="dxa" w:w="120"/>
              <w:bottom w:type="dxa" w:w="90"/>
              <w:right w:type="dxa" w:w="120"/>
            </w:tcMar>
            <w:vAlign w:val="center"/>
          </w:tcPr>
          <w:p>
            <w:r>
              <w:rPr>
                <w:sz w:val="19"/>
                <w:szCs w:val="19"/>
              </w:rPr>
              <w:t xml:space="preserve">Launch marketing</w:t>
            </w:r>
          </w:p>
        </w:tc>
        <w:tc>
          <w:tcPr>
            <w:tcW w:type="dxa" w:w="3350"/>
            <w:shd w:fill="F2F2F2" w:val="clear"/>
            <w:tcMar>
              <w:top w:type="dxa" w:w="90"/>
              <w:left w:type="dxa" w:w="120"/>
              <w:bottom w:type="dxa" w:w="90"/>
              <w:right w:type="dxa" w:w="120"/>
            </w:tcMar>
            <w:vAlign w:val="center"/>
          </w:tcPr>
          <w:p>
            <w:r>
              <w:rPr>
                <w:sz w:val="19"/>
                <w:szCs w:val="19"/>
              </w:rPr>
              <w:t xml:space="preserve">40,000</w:t>
            </w:r>
          </w:p>
        </w:tc>
      </w:tr>
      <w:tr>
        <w:tc>
          <w:tcPr>
            <w:tcW w:type="dxa" w:w="6000"/>
            <w:shd w:fill="FFFFFF" w:val="clear"/>
            <w:tcMar>
              <w:top w:type="dxa" w:w="90"/>
              <w:left w:type="dxa" w:w="120"/>
              <w:bottom w:type="dxa" w:w="90"/>
              <w:right w:type="dxa" w:w="120"/>
            </w:tcMar>
            <w:vAlign w:val="center"/>
          </w:tcPr>
          <w:p>
            <w:r>
              <w:rPr>
                <w:sz w:val="19"/>
                <w:szCs w:val="19"/>
              </w:rPr>
              <w:t xml:space="preserve">Office &amp; equipment</w:t>
            </w:r>
          </w:p>
        </w:tc>
        <w:tc>
          <w:tcPr>
            <w:tcW w:type="dxa" w:w="3350"/>
            <w:shd w:fill="FFFFFF" w:val="clear"/>
            <w:tcMar>
              <w:top w:type="dxa" w:w="90"/>
              <w:left w:type="dxa" w:w="120"/>
              <w:bottom w:type="dxa" w:w="90"/>
              <w:right w:type="dxa" w:w="120"/>
            </w:tcMar>
            <w:vAlign w:val="center"/>
          </w:tcPr>
          <w:p>
            <w:r>
              <w:rPr>
                <w:sz w:val="19"/>
                <w:szCs w:val="19"/>
              </w:rPr>
              <w:t xml:space="preserve">25,000</w:t>
            </w:r>
          </w:p>
        </w:tc>
      </w:tr>
      <w:tr>
        <w:tc>
          <w:tcPr>
            <w:tcW w:type="dxa" w:w="6000"/>
            <w:shd w:fill="F2F2F2" w:val="clear"/>
            <w:tcMar>
              <w:top w:type="dxa" w:w="90"/>
              <w:left w:type="dxa" w:w="120"/>
              <w:bottom w:type="dxa" w:w="90"/>
              <w:right w:type="dxa" w:w="120"/>
            </w:tcMar>
            <w:vAlign w:val="center"/>
          </w:tcPr>
          <w:p>
            <w:r>
              <w:rPr>
                <w:sz w:val="19"/>
                <w:szCs w:val="19"/>
              </w:rPr>
              <w:t xml:space="preserve">Working capital</w:t>
            </w:r>
          </w:p>
        </w:tc>
        <w:tc>
          <w:tcPr>
            <w:tcW w:type="dxa" w:w="3350"/>
            <w:shd w:fill="F2F2F2" w:val="clear"/>
            <w:tcMar>
              <w:top w:type="dxa" w:w="90"/>
              <w:left w:type="dxa" w:w="120"/>
              <w:bottom w:type="dxa" w:w="90"/>
              <w:right w:type="dxa" w:w="120"/>
            </w:tcMar>
            <w:vAlign w:val="center"/>
          </w:tcPr>
          <w:p>
            <w:r>
              <w:rPr>
                <w:sz w:val="19"/>
                <w:szCs w:val="19"/>
              </w:rPr>
              <w:t xml:space="preserve">100,000</w:t>
            </w:r>
          </w:p>
        </w:tc>
      </w:tr>
      <w:tr>
        <w:tc>
          <w:tcPr>
            <w:tcW w:type="dxa" w:w="6000"/>
            <w:shd w:fill="FFFFFF" w:val="clear"/>
            <w:tcMar>
              <w:top w:type="dxa" w:w="90"/>
              <w:left w:type="dxa" w:w="120"/>
              <w:bottom w:type="dxa" w:w="90"/>
              <w:right w:type="dxa" w:w="120"/>
            </w:tcMar>
            <w:vAlign w:val="center"/>
          </w:tcPr>
          <w:p>
            <w:r>
              <w:rPr>
                <w:sz w:val="19"/>
                <w:szCs w:val="19"/>
              </w:rPr>
              <w:t xml:space="preserve">TOTAL</w:t>
            </w:r>
          </w:p>
        </w:tc>
        <w:tc>
          <w:tcPr>
            <w:tcW w:type="dxa" w:w="3350"/>
            <w:shd w:fill="FFFFFF" w:val="clear"/>
            <w:tcMar>
              <w:top w:type="dxa" w:w="90"/>
              <w:left w:type="dxa" w:w="120"/>
              <w:bottom w:type="dxa" w:w="90"/>
              <w:right w:type="dxa" w:w="120"/>
            </w:tcMar>
            <w:vAlign w:val="center"/>
          </w:tcPr>
          <w:p>
            <w:r>
              <w:rPr>
                <w:sz w:val="19"/>
                <w:szCs w:val="19"/>
              </w:rPr>
              <w:t xml:space="preserve">≈ $303,000</w:t>
            </w:r>
          </w:p>
        </w:tc>
      </w:tr>
    </w:tbl>
    <w:p>
      <w:pPr>
        <w:pStyle w:val="Heading3"/>
        <w:spacing w:after="100" w:before="200"/>
      </w:pPr>
      <w:r>
        <w:rPr>
          <w:b/>
          <w:bCs/>
          <w:color w:val="374151"/>
          <w:sz w:val="21"/>
          <w:szCs w:val="21"/>
        </w:rPr>
        <w:t xml:space="preserve">Lean MVP Alternative</w:t>
      </w:r>
    </w:p>
    <w:p>
      <w:pPr>
        <w:spacing w:after="140" w:line="276"/>
      </w:pPr>
      <w:r>
        <w:rPr>
          <w:sz w:val="21"/>
          <w:szCs w:val="21"/>
        </w:rPr>
        <w:t xml:space="preserve">≈ $90,000–120,000 with no permanent kiosks, outsourced logistics, a small team, and a Cairo-only launch.</w:t>
      </w:r>
    </w:p>
    <w:p>
      <w:pPr>
        <w:pStyle w:val="Heading3"/>
        <w:spacing w:after="100" w:before="200"/>
      </w:pPr>
      <w:r>
        <w:rPr>
          <w:b/>
          <w:bCs/>
          <w:color w:val="374151"/>
          <w:sz w:val="21"/>
          <w:szCs w:val="21"/>
        </w:rPr>
        <w:t xml:space="preserve">Illustrative Monthly Operating Cost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6000"/>
        <w:gridCol w:w="3350"/>
      </w:tblGrid>
      <w:tr>
        <w:trPr>
          <w:tblHeader/>
        </w:trPr>
        <w:tc>
          <w:tcPr>
            <w:tcW w:type="dxa" w:w="6000"/>
            <w:shd w:fill="1F2A44" w:val="clear"/>
            <w:tcMar>
              <w:top w:type="dxa" w:w="100"/>
              <w:left w:type="dxa" w:w="120"/>
              <w:bottom w:type="dxa" w:w="100"/>
              <w:right w:type="dxa" w:w="120"/>
            </w:tcMar>
            <w:vAlign w:val="center"/>
          </w:tcPr>
          <w:p>
            <w:r>
              <w:rPr>
                <w:b/>
                <w:bCs/>
                <w:color w:val="FFFFFF"/>
                <w:sz w:val="19"/>
                <w:szCs w:val="19"/>
              </w:rPr>
              <w:t xml:space="preserve">Item</w:t>
            </w:r>
          </w:p>
        </w:tc>
        <w:tc>
          <w:tcPr>
            <w:tcW w:type="dxa" w:w="3350"/>
            <w:shd w:fill="1F2A44" w:val="clear"/>
            <w:tcMar>
              <w:top w:type="dxa" w:w="100"/>
              <w:left w:type="dxa" w:w="120"/>
              <w:bottom w:type="dxa" w:w="100"/>
              <w:right w:type="dxa" w:w="120"/>
            </w:tcMar>
            <w:vAlign w:val="center"/>
          </w:tcPr>
          <w:p>
            <w:r>
              <w:rPr>
                <w:b/>
                <w:bCs/>
                <w:color w:val="FFFFFF"/>
                <w:sz w:val="19"/>
                <w:szCs w:val="19"/>
              </w:rPr>
              <w:t xml:space="preserve">USD</w:t>
            </w:r>
          </w:p>
        </w:tc>
      </w:tr>
      <w:tr>
        <w:tc>
          <w:tcPr>
            <w:tcW w:type="dxa" w:w="6000"/>
            <w:shd w:fill="FFFFFF" w:val="clear"/>
            <w:tcMar>
              <w:top w:type="dxa" w:w="90"/>
              <w:left w:type="dxa" w:w="120"/>
              <w:bottom w:type="dxa" w:w="90"/>
              <w:right w:type="dxa" w:w="120"/>
            </w:tcMar>
            <w:vAlign w:val="center"/>
          </w:tcPr>
          <w:p>
            <w:r>
              <w:rPr>
                <w:sz w:val="19"/>
                <w:szCs w:val="19"/>
              </w:rPr>
              <w:t xml:space="preserve">Salaries</w:t>
            </w:r>
          </w:p>
        </w:tc>
        <w:tc>
          <w:tcPr>
            <w:tcW w:type="dxa" w:w="3350"/>
            <w:shd w:fill="FFFFFF" w:val="clear"/>
            <w:tcMar>
              <w:top w:type="dxa" w:w="90"/>
              <w:left w:type="dxa" w:w="120"/>
              <w:bottom w:type="dxa" w:w="90"/>
              <w:right w:type="dxa" w:w="120"/>
            </w:tcMar>
            <w:vAlign w:val="center"/>
          </w:tcPr>
          <w:p>
            <w:r>
              <w:rPr>
                <w:sz w:val="19"/>
                <w:szCs w:val="19"/>
              </w:rPr>
              <w:t xml:space="preserve">18,000</w:t>
            </w:r>
          </w:p>
        </w:tc>
      </w:tr>
      <w:tr>
        <w:tc>
          <w:tcPr>
            <w:tcW w:type="dxa" w:w="6000"/>
            <w:shd w:fill="F2F2F2" w:val="clear"/>
            <w:tcMar>
              <w:top w:type="dxa" w:w="90"/>
              <w:left w:type="dxa" w:w="120"/>
              <w:bottom w:type="dxa" w:w="90"/>
              <w:right w:type="dxa" w:w="120"/>
            </w:tcMar>
            <w:vAlign w:val="center"/>
          </w:tcPr>
          <w:p>
            <w:r>
              <w:rPr>
                <w:sz w:val="19"/>
                <w:szCs w:val="19"/>
              </w:rPr>
              <w:t xml:space="preserve">Cloud</w:t>
            </w:r>
          </w:p>
        </w:tc>
        <w:tc>
          <w:tcPr>
            <w:tcW w:type="dxa" w:w="3350"/>
            <w:shd w:fill="F2F2F2" w:val="clear"/>
            <w:tcMar>
              <w:top w:type="dxa" w:w="90"/>
              <w:left w:type="dxa" w:w="120"/>
              <w:bottom w:type="dxa" w:w="90"/>
              <w:right w:type="dxa" w:w="120"/>
            </w:tcMar>
            <w:vAlign w:val="center"/>
          </w:tcPr>
          <w:p>
            <w:r>
              <w:rPr>
                <w:sz w:val="19"/>
                <w:szCs w:val="19"/>
              </w:rPr>
              <w:t xml:space="preserve">2,000</w:t>
            </w:r>
          </w:p>
        </w:tc>
      </w:tr>
      <w:tr>
        <w:tc>
          <w:tcPr>
            <w:tcW w:type="dxa" w:w="6000"/>
            <w:shd w:fill="FFFFFF" w:val="clear"/>
            <w:tcMar>
              <w:top w:type="dxa" w:w="90"/>
              <w:left w:type="dxa" w:w="120"/>
              <w:bottom w:type="dxa" w:w="90"/>
              <w:right w:type="dxa" w:w="120"/>
            </w:tcMar>
            <w:vAlign w:val="center"/>
          </w:tcPr>
          <w:p>
            <w:r>
              <w:rPr>
                <w:sz w:val="19"/>
                <w:szCs w:val="19"/>
              </w:rPr>
              <w:t xml:space="preserve">Marketing</w:t>
            </w:r>
          </w:p>
        </w:tc>
        <w:tc>
          <w:tcPr>
            <w:tcW w:type="dxa" w:w="3350"/>
            <w:shd w:fill="FFFFFF" w:val="clear"/>
            <w:tcMar>
              <w:top w:type="dxa" w:w="90"/>
              <w:left w:type="dxa" w:w="120"/>
              <w:bottom w:type="dxa" w:w="90"/>
              <w:right w:type="dxa" w:w="120"/>
            </w:tcMar>
            <w:vAlign w:val="center"/>
          </w:tcPr>
          <w:p>
            <w:r>
              <w:rPr>
                <w:sz w:val="19"/>
                <w:szCs w:val="19"/>
              </w:rPr>
              <w:t xml:space="preserve">8,000</w:t>
            </w:r>
          </w:p>
        </w:tc>
      </w:tr>
      <w:tr>
        <w:tc>
          <w:tcPr>
            <w:tcW w:type="dxa" w:w="6000"/>
            <w:shd w:fill="F2F2F2" w:val="clear"/>
            <w:tcMar>
              <w:top w:type="dxa" w:w="90"/>
              <w:left w:type="dxa" w:w="120"/>
              <w:bottom w:type="dxa" w:w="90"/>
              <w:right w:type="dxa" w:w="120"/>
            </w:tcMar>
            <w:vAlign w:val="center"/>
          </w:tcPr>
          <w:p>
            <w:r>
              <w:rPr>
                <w:sz w:val="19"/>
                <w:szCs w:val="19"/>
              </w:rPr>
              <w:t xml:space="preserve">Logistics</w:t>
            </w:r>
          </w:p>
        </w:tc>
        <w:tc>
          <w:tcPr>
            <w:tcW w:type="dxa" w:w="3350"/>
            <w:shd w:fill="F2F2F2" w:val="clear"/>
            <w:tcMar>
              <w:top w:type="dxa" w:w="90"/>
              <w:left w:type="dxa" w:w="120"/>
              <w:bottom w:type="dxa" w:w="90"/>
              <w:right w:type="dxa" w:w="120"/>
            </w:tcMar>
            <w:vAlign w:val="center"/>
          </w:tcPr>
          <w:p>
            <w:r>
              <w:rPr>
                <w:sz w:val="19"/>
                <w:szCs w:val="19"/>
              </w:rPr>
              <w:t xml:space="preserve">12,000</w:t>
            </w:r>
          </w:p>
        </w:tc>
      </w:tr>
      <w:tr>
        <w:tc>
          <w:tcPr>
            <w:tcW w:type="dxa" w:w="6000"/>
            <w:shd w:fill="FFFFFF" w:val="clear"/>
            <w:tcMar>
              <w:top w:type="dxa" w:w="90"/>
              <w:left w:type="dxa" w:w="120"/>
              <w:bottom w:type="dxa" w:w="90"/>
              <w:right w:type="dxa" w:w="120"/>
            </w:tcMar>
            <w:vAlign w:val="center"/>
          </w:tcPr>
          <w:p>
            <w:r>
              <w:rPr>
                <w:sz w:val="19"/>
                <w:szCs w:val="19"/>
              </w:rPr>
              <w:t xml:space="preserve">Office</w:t>
            </w:r>
          </w:p>
        </w:tc>
        <w:tc>
          <w:tcPr>
            <w:tcW w:type="dxa" w:w="3350"/>
            <w:shd w:fill="FFFFFF" w:val="clear"/>
            <w:tcMar>
              <w:top w:type="dxa" w:w="90"/>
              <w:left w:type="dxa" w:w="120"/>
              <w:bottom w:type="dxa" w:w="90"/>
              <w:right w:type="dxa" w:w="120"/>
            </w:tcMar>
            <w:vAlign w:val="center"/>
          </w:tcPr>
          <w:p>
            <w:r>
              <w:rPr>
                <w:sz w:val="19"/>
                <w:szCs w:val="19"/>
              </w:rPr>
              <w:t xml:space="preserve">2,000</w:t>
            </w:r>
          </w:p>
        </w:tc>
      </w:tr>
      <w:tr>
        <w:tc>
          <w:tcPr>
            <w:tcW w:type="dxa" w:w="6000"/>
            <w:shd w:fill="F2F2F2" w:val="clear"/>
            <w:tcMar>
              <w:top w:type="dxa" w:w="90"/>
              <w:left w:type="dxa" w:w="120"/>
              <w:bottom w:type="dxa" w:w="90"/>
              <w:right w:type="dxa" w:w="120"/>
            </w:tcMar>
            <w:vAlign w:val="center"/>
          </w:tcPr>
          <w:p>
            <w:r>
              <w:rPr>
                <w:sz w:val="19"/>
                <w:szCs w:val="19"/>
              </w:rPr>
              <w:t xml:space="preserve">Legal/Admin</w:t>
            </w:r>
          </w:p>
        </w:tc>
        <w:tc>
          <w:tcPr>
            <w:tcW w:type="dxa" w:w="3350"/>
            <w:shd w:fill="F2F2F2" w:val="clear"/>
            <w:tcMar>
              <w:top w:type="dxa" w:w="90"/>
              <w:left w:type="dxa" w:w="120"/>
              <w:bottom w:type="dxa" w:w="90"/>
              <w:right w:type="dxa" w:w="120"/>
            </w:tcMar>
            <w:vAlign w:val="center"/>
          </w:tcPr>
          <w:p>
            <w:r>
              <w:rPr>
                <w:sz w:val="19"/>
                <w:szCs w:val="19"/>
              </w:rPr>
              <w:t xml:space="preserve">3,000</w:t>
            </w:r>
          </w:p>
        </w:tc>
      </w:tr>
      <w:tr>
        <w:tc>
          <w:tcPr>
            <w:tcW w:type="dxa" w:w="6000"/>
            <w:shd w:fill="FFFFFF" w:val="clear"/>
            <w:tcMar>
              <w:top w:type="dxa" w:w="90"/>
              <w:left w:type="dxa" w:w="120"/>
              <w:bottom w:type="dxa" w:w="90"/>
              <w:right w:type="dxa" w:w="120"/>
            </w:tcMar>
            <w:vAlign w:val="center"/>
          </w:tcPr>
          <w:p>
            <w:r>
              <w:rPr>
                <w:sz w:val="19"/>
                <w:szCs w:val="19"/>
              </w:rPr>
              <w:t xml:space="preserve">TOTAL</w:t>
            </w:r>
          </w:p>
        </w:tc>
        <w:tc>
          <w:tcPr>
            <w:tcW w:type="dxa" w:w="3350"/>
            <w:shd w:fill="FFFFFF" w:val="clear"/>
            <w:tcMar>
              <w:top w:type="dxa" w:w="90"/>
              <w:left w:type="dxa" w:w="120"/>
              <w:bottom w:type="dxa" w:w="90"/>
              <w:right w:type="dxa" w:w="120"/>
            </w:tcMar>
            <w:vAlign w:val="center"/>
          </w:tcPr>
          <w:p>
            <w:r>
              <w:rPr>
                <w:sz w:val="19"/>
                <w:szCs w:val="19"/>
              </w:rPr>
              <w:t xml:space="preserve">≈ $45,000/month</w:t>
            </w:r>
          </w:p>
        </w:tc>
      </w:tr>
    </w:tbl>
    <w:p>
      <w:pPr>
        <w:pStyle w:val="Heading3"/>
        <w:spacing w:after="100" w:before="200"/>
      </w:pPr>
      <w:r>
        <w:rPr>
          <w:b/>
          <w:bCs/>
          <w:color w:val="374151"/>
          <w:sz w:val="21"/>
          <w:szCs w:val="21"/>
        </w:rPr>
        <w:t xml:space="preserve">Illustrative Three-Year Projection</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3110"/>
        <w:gridCol w:w="3120"/>
        <w:gridCol w:w="3120"/>
      </w:tblGrid>
      <w:tr>
        <w:trPr>
          <w:tblHeader/>
        </w:trPr>
        <w:tc>
          <w:tcPr>
            <w:tcW w:type="dxa" w:w="3110"/>
            <w:shd w:fill="1F2A44" w:val="clear"/>
            <w:tcMar>
              <w:top w:type="dxa" w:w="100"/>
              <w:left w:type="dxa" w:w="120"/>
              <w:bottom w:type="dxa" w:w="100"/>
              <w:right w:type="dxa" w:w="120"/>
            </w:tcMar>
            <w:vAlign w:val="center"/>
          </w:tcPr>
          <w:p>
            <w:r>
              <w:rPr>
                <w:b/>
                <w:bCs/>
                <w:color w:val="FFFFFF"/>
                <w:sz w:val="19"/>
                <w:szCs w:val="19"/>
              </w:rPr>
              <w:t xml:space="preserve">Year</w:t>
            </w:r>
          </w:p>
        </w:tc>
        <w:tc>
          <w:tcPr>
            <w:tcW w:type="dxa" w:w="3120"/>
            <w:shd w:fill="1F2A44" w:val="clear"/>
            <w:tcMar>
              <w:top w:type="dxa" w:w="100"/>
              <w:left w:type="dxa" w:w="120"/>
              <w:bottom w:type="dxa" w:w="100"/>
              <w:right w:type="dxa" w:w="120"/>
            </w:tcMar>
            <w:vAlign w:val="center"/>
          </w:tcPr>
          <w:p>
            <w:r>
              <w:rPr>
                <w:b/>
                <w:bCs/>
                <w:color w:val="FFFFFF"/>
                <w:sz w:val="19"/>
                <w:szCs w:val="19"/>
              </w:rPr>
              <w:t xml:space="preserve">Revenue</w:t>
            </w:r>
          </w:p>
        </w:tc>
        <w:tc>
          <w:tcPr>
            <w:tcW w:type="dxa" w:w="3120"/>
            <w:shd w:fill="1F2A44" w:val="clear"/>
            <w:tcMar>
              <w:top w:type="dxa" w:w="100"/>
              <w:left w:type="dxa" w:w="120"/>
              <w:bottom w:type="dxa" w:w="100"/>
              <w:right w:type="dxa" w:w="120"/>
            </w:tcMar>
            <w:vAlign w:val="center"/>
          </w:tcPr>
          <w:p>
            <w:r>
              <w:rPr>
                <w:b/>
                <w:bCs/>
                <w:color w:val="FFFFFF"/>
                <w:sz w:val="19"/>
                <w:szCs w:val="19"/>
              </w:rPr>
              <w:t xml:space="preserve">EBITDA Margin</w:t>
            </w:r>
          </w:p>
        </w:tc>
      </w:tr>
      <w:tr>
        <w:tc>
          <w:tcPr>
            <w:tcW w:type="dxa" w:w="3110"/>
            <w:shd w:fill="FFFFFF" w:val="clear"/>
            <w:tcMar>
              <w:top w:type="dxa" w:w="90"/>
              <w:left w:type="dxa" w:w="120"/>
              <w:bottom w:type="dxa" w:w="90"/>
              <w:right w:type="dxa" w:w="120"/>
            </w:tcMar>
            <w:vAlign w:val="center"/>
          </w:tcPr>
          <w:p>
            <w:r>
              <w:rPr>
                <w:sz w:val="19"/>
                <w:szCs w:val="19"/>
              </w:rPr>
              <w:t xml:space="preserve">1</w:t>
            </w:r>
          </w:p>
        </w:tc>
        <w:tc>
          <w:tcPr>
            <w:tcW w:type="dxa" w:w="3120"/>
            <w:shd w:fill="FFFFFF" w:val="clear"/>
            <w:tcMar>
              <w:top w:type="dxa" w:w="90"/>
              <w:left w:type="dxa" w:w="120"/>
              <w:bottom w:type="dxa" w:w="90"/>
              <w:right w:type="dxa" w:w="120"/>
            </w:tcMar>
            <w:vAlign w:val="center"/>
          </w:tcPr>
          <w:p>
            <w:r>
              <w:rPr>
                <w:sz w:val="19"/>
                <w:szCs w:val="19"/>
              </w:rPr>
              <w:t xml:space="preserve">$500k</w:t>
            </w:r>
          </w:p>
        </w:tc>
        <w:tc>
          <w:tcPr>
            <w:tcW w:type="dxa" w:w="3120"/>
            <w:shd w:fill="FFFFFF" w:val="clear"/>
            <w:tcMar>
              <w:top w:type="dxa" w:w="90"/>
              <w:left w:type="dxa" w:w="120"/>
              <w:bottom w:type="dxa" w:w="90"/>
              <w:right w:type="dxa" w:w="120"/>
            </w:tcMar>
            <w:vAlign w:val="center"/>
          </w:tcPr>
          <w:p>
            <w:r>
              <w:rPr>
                <w:sz w:val="19"/>
                <w:szCs w:val="19"/>
              </w:rPr>
              <w:t xml:space="preserve">-20%</w:t>
            </w:r>
          </w:p>
        </w:tc>
      </w:tr>
      <w:tr>
        <w:tc>
          <w:tcPr>
            <w:tcW w:type="dxa" w:w="3110"/>
            <w:shd w:fill="F2F2F2" w:val="clear"/>
            <w:tcMar>
              <w:top w:type="dxa" w:w="90"/>
              <w:left w:type="dxa" w:w="120"/>
              <w:bottom w:type="dxa" w:w="90"/>
              <w:right w:type="dxa" w:w="120"/>
            </w:tcMar>
            <w:vAlign w:val="center"/>
          </w:tcPr>
          <w:p>
            <w:r>
              <w:rPr>
                <w:sz w:val="19"/>
                <w:szCs w:val="19"/>
              </w:rPr>
              <w:t xml:space="preserve">2</w:t>
            </w:r>
          </w:p>
        </w:tc>
        <w:tc>
          <w:tcPr>
            <w:tcW w:type="dxa" w:w="3120"/>
            <w:shd w:fill="F2F2F2" w:val="clear"/>
            <w:tcMar>
              <w:top w:type="dxa" w:w="90"/>
              <w:left w:type="dxa" w:w="120"/>
              <w:bottom w:type="dxa" w:w="90"/>
              <w:right w:type="dxa" w:w="120"/>
            </w:tcMar>
            <w:vAlign w:val="center"/>
          </w:tcPr>
          <w:p>
            <w:r>
              <w:rPr>
                <w:sz w:val="19"/>
                <w:szCs w:val="19"/>
              </w:rPr>
              <w:t xml:space="preserve">$1.8M</w:t>
            </w:r>
          </w:p>
        </w:tc>
        <w:tc>
          <w:tcPr>
            <w:tcW w:type="dxa" w:w="3120"/>
            <w:shd w:fill="F2F2F2" w:val="clear"/>
            <w:tcMar>
              <w:top w:type="dxa" w:w="90"/>
              <w:left w:type="dxa" w:w="120"/>
              <w:bottom w:type="dxa" w:w="90"/>
              <w:right w:type="dxa" w:w="120"/>
            </w:tcMar>
            <w:vAlign w:val="center"/>
          </w:tcPr>
          <w:p>
            <w:r>
              <w:rPr>
                <w:sz w:val="19"/>
                <w:szCs w:val="19"/>
              </w:rPr>
              <w:t xml:space="preserve">12%</w:t>
            </w:r>
          </w:p>
        </w:tc>
      </w:tr>
      <w:tr>
        <w:tc>
          <w:tcPr>
            <w:tcW w:type="dxa" w:w="3110"/>
            <w:shd w:fill="FFFFFF" w:val="clear"/>
            <w:tcMar>
              <w:top w:type="dxa" w:w="90"/>
              <w:left w:type="dxa" w:w="120"/>
              <w:bottom w:type="dxa" w:w="90"/>
              <w:right w:type="dxa" w:w="120"/>
            </w:tcMar>
            <w:vAlign w:val="center"/>
          </w:tcPr>
          <w:p>
            <w:r>
              <w:rPr>
                <w:sz w:val="19"/>
                <w:szCs w:val="19"/>
              </w:rPr>
              <w:t xml:space="preserve">3</w:t>
            </w:r>
          </w:p>
        </w:tc>
        <w:tc>
          <w:tcPr>
            <w:tcW w:type="dxa" w:w="3120"/>
            <w:shd w:fill="FFFFFF" w:val="clear"/>
            <w:tcMar>
              <w:top w:type="dxa" w:w="90"/>
              <w:left w:type="dxa" w:w="120"/>
              <w:bottom w:type="dxa" w:w="90"/>
              <w:right w:type="dxa" w:w="120"/>
            </w:tcMar>
            <w:vAlign w:val="center"/>
          </w:tcPr>
          <w:p>
            <w:r>
              <w:rPr>
                <w:sz w:val="19"/>
                <w:szCs w:val="19"/>
              </w:rPr>
              <w:t xml:space="preserve">$4.2M</w:t>
            </w:r>
          </w:p>
        </w:tc>
        <w:tc>
          <w:tcPr>
            <w:tcW w:type="dxa" w:w="3120"/>
            <w:shd w:fill="FFFFFF" w:val="clear"/>
            <w:tcMar>
              <w:top w:type="dxa" w:w="90"/>
              <w:left w:type="dxa" w:w="120"/>
              <w:bottom w:type="dxa" w:w="90"/>
              <w:right w:type="dxa" w:w="120"/>
            </w:tcMar>
            <w:vAlign w:val="center"/>
          </w:tcPr>
          <w:p>
            <w:r>
              <w:rPr>
                <w:sz w:val="19"/>
                <w:szCs w:val="19"/>
              </w:rPr>
              <w:t xml:space="preserve">24%</w:t>
            </w:r>
          </w:p>
        </w:tc>
      </w:tr>
    </w:tbl>
    <w:p>
      <w:pPr>
        <w:spacing w:after="140" w:line="276"/>
      </w:pPr>
      <w:r>
        <w:rPr>
          <w:sz w:val="21"/>
          <w:szCs w:val="21"/>
        </w:rPr>
        <w:t xml:space="preserve">Break-even: estimated 18–24 months. Gross margin: software ~70–85%, sampling ~25–45%, blended ~60%. ROI: ~3–4 years if execution succeeds — all figures illustrative and unvalidated against Egyptian cost structures.</w:t>
      </w:r>
    </w:p>
    <w:p>
      <w:r>
        <w:br w:type="page"/>
      </w:r>
    </w:p>
    <w:p>
      <w:pPr>
        <w:pStyle w:val="Heading1"/>
        <w:pBdr>
          <w:bottom w:val="single" w:color="1F2A44" w:sz="8" w:space="4"/>
        </w:pBdr>
        <w:spacing w:after="200" w:before="400"/>
      </w:pPr>
      <w:r>
        <w:rPr>
          <w:b/>
          <w:bCs/>
          <w:color w:val="1F2A44"/>
          <w:sz w:val="30"/>
          <w:szCs w:val="30"/>
        </w:rPr>
        <w:t xml:space="preserve">8. Legal &amp; Regulatory</w:t>
      </w:r>
    </w:p>
    <w:p>
      <w:pPr>
        <w:pStyle w:val="ListParagraph"/>
        <w:numPr>
          <w:ilvl w:val="0"/>
          <w:numId w:val="1"/>
        </w:numPr>
        <w:spacing w:after="70"/>
      </w:pPr>
      <w:r>
        <w:rPr>
          <w:sz w:val="21"/>
          <w:szCs w:val="21"/>
        </w:rPr>
        <w:t xml:space="preserve">Recommended structure: Egyptian LLC initially, converting to a JSC as the company scales.</w:t>
      </w:r>
    </w:p>
    <w:p>
      <w:pPr>
        <w:pStyle w:val="ListParagraph"/>
        <w:numPr>
          <w:ilvl w:val="0"/>
          <w:numId w:val="1"/>
        </w:numPr>
        <w:spacing w:after="70"/>
      </w:pPr>
      <w:r>
        <w:rPr>
          <w:sz w:val="21"/>
          <w:szCs w:val="21"/>
        </w:rPr>
        <w:t xml:space="preserve">Key statutes: Companies Law; Consumer Protection Law; Personal Data Protection Law (Law No. 151 of 2020); applicable tax and e-commerce regulations.</w:t>
      </w:r>
    </w:p>
    <w:p>
      <w:pPr>
        <w:pStyle w:val="ListParagraph"/>
        <w:numPr>
          <w:ilvl w:val="0"/>
          <w:numId w:val="1"/>
        </w:numPr>
        <w:spacing w:after="70"/>
      </w:pPr>
      <w:r>
        <w:rPr>
          <w:sz w:val="21"/>
          <w:szCs w:val="21"/>
        </w:rPr>
        <w:t xml:space="preserve">Data collected (age, gender, location, product preferences, survey responses) makes privacy compliance a core operating capability. Biggest legal risk: consumer profiling, behavioral analytics, and location tracking.</w:t>
      </w:r>
    </w:p>
    <w:p>
      <w:pPr>
        <w:pStyle w:val="ListParagraph"/>
        <w:numPr>
          <w:ilvl w:val="0"/>
          <w:numId w:val="1"/>
        </w:numPr>
        <w:spacing w:after="70"/>
      </w:pPr>
      <w:r>
        <w:rPr>
          <w:sz w:val="21"/>
          <w:szCs w:val="21"/>
        </w:rPr>
        <w:t xml:space="preserve">Contracts required with brands, field sampling staff, retail partners, logistics providers, and consumers (terms of use), plus a documented privacy/data-governance framework.</w:t>
      </w:r>
    </w:p>
    <w:p>
      <w:pPr>
        <w:pStyle w:val="ListParagraph"/>
        <w:numPr>
          <w:ilvl w:val="0"/>
          <w:numId w:val="1"/>
        </w:numPr>
        <w:spacing w:after="70"/>
      </w:pPr>
      <w:r>
        <w:rPr>
          <w:sz w:val="21"/>
          <w:szCs w:val="21"/>
        </w:rPr>
        <w:t xml:space="preserve">Still open and required before any data-heavy MVP ships: cross-border data-transfer rules, consent-management mechanics, data-retention periods, and incident-response obligations.</w:t>
      </w:r>
    </w:p>
    <w:p>
      <w:r>
        <w:br w:type="page"/>
      </w:r>
    </w:p>
    <w:p>
      <w:pPr>
        <w:pStyle w:val="Heading1"/>
        <w:pBdr>
          <w:bottom w:val="single" w:color="1F2A44" w:sz="8" w:space="4"/>
        </w:pBdr>
        <w:spacing w:after="200" w:before="400"/>
      </w:pPr>
      <w:r>
        <w:rPr>
          <w:b/>
          <w:bCs/>
          <w:color w:val="1F2A44"/>
          <w:sz w:val="30"/>
          <w:szCs w:val="30"/>
        </w:rPr>
        <w:t xml:space="preserve">9. Go-to-Market Strategy</w:t>
      </w:r>
    </w:p>
    <w:p>
      <w:pPr>
        <w:spacing w:after="140" w:line="276"/>
      </w:pPr>
      <w:r>
        <w:rPr>
          <w:sz w:val="21"/>
          <w:szCs w:val="21"/>
        </w:rPr>
        <w:t xml:space="preserve">This is a B2B-first business: without brand clients there is no sampling; without sampling there are no consumers; without consumers, brands will not renew. Build supply before demand.</w:t>
      </w:r>
    </w:p>
    <w:p>
      <w:pPr>
        <w:pStyle w:val="Heading3"/>
        <w:spacing w:after="100" w:before="200"/>
      </w:pPr>
      <w:r>
        <w:rPr>
          <w:b/>
          <w:bCs/>
          <w:color w:val="374151"/>
          <w:sz w:val="21"/>
          <w:szCs w:val="21"/>
        </w:rPr>
        <w:t xml:space="preserve">Sequence</w:t>
      </w:r>
    </w:p>
    <w:p>
      <w:pPr>
        <w:pStyle w:val="ListParagraph"/>
        <w:numPr>
          <w:ilvl w:val="0"/>
          <w:numId w:val="1"/>
        </w:numPr>
        <w:spacing w:after="70"/>
      </w:pPr>
      <w:r>
        <w:rPr>
          <w:sz w:val="21"/>
          <w:szCs w:val="21"/>
        </w:rPr>
        <w:t xml:space="preserve">Stage 1 — Brand supply: target ~20 named companies (Coca-Cola Egypt, PepsiCo, Nestlé, Edita, Juhayna, Unilever, P&amp;G, Henkel, EVA Pharma, Dabur, L'Oréal, Beiersdorf). Sell measurable results, not software.</w:t>
      </w:r>
    </w:p>
    <w:p>
      <w:pPr>
        <w:pStyle w:val="ListParagraph"/>
        <w:numPr>
          <w:ilvl w:val="0"/>
          <w:numId w:val="1"/>
        </w:numPr>
        <w:spacing w:after="70"/>
      </w:pPr>
      <w:r>
        <w:rPr>
          <w:sz w:val="21"/>
          <w:szCs w:val="21"/>
        </w:rPr>
        <w:t xml:space="preserve">Stage 2 — Consumer acquisition: position as exclusive early access, not "free stuff." Channels: TikTok, Instagram, Facebook, university ambassadors, micro-influencers, mall activations, referrals.</w:t>
      </w:r>
    </w:p>
    <w:p>
      <w:pPr>
        <w:pStyle w:val="ListParagraph"/>
        <w:numPr>
          <w:ilvl w:val="0"/>
          <w:numId w:val="1"/>
        </w:numPr>
        <w:spacing w:after="70"/>
      </w:pPr>
      <w:r>
        <w:rPr>
          <w:sz w:val="21"/>
          <w:szCs w:val="21"/>
        </w:rPr>
        <w:t xml:space="preserve">Stage 3 — Community &amp; retention: interest-based communities (food, beauty, fitness, parents, students) double as resellable research panels and give consumers a recurring reason to open the app.</w:t>
      </w:r>
    </w:p>
    <w:p>
      <w:pPr>
        <w:pStyle w:val="ListParagraph"/>
        <w:numPr>
          <w:ilvl w:val="0"/>
          <w:numId w:val="1"/>
        </w:numPr>
        <w:spacing w:after="70"/>
      </w:pPr>
      <w:r>
        <w:rPr>
          <w:sz w:val="21"/>
          <w:szCs w:val="21"/>
        </w:rPr>
        <w:t xml:space="preserve">First clients: medium-sized Egyptian brands (faster decisions, less bureaucracy) rather than global HQ-controlled accounts or early-stage startups.</w:t>
      </w:r>
    </w:p>
    <w:p>
      <w:pPr>
        <w:pStyle w:val="Heading2"/>
        <w:spacing w:after="140" w:before="280"/>
      </w:pPr>
      <w:r>
        <w:rPr>
          <w:b/>
          <w:bCs/>
          <w:color w:val="1F2A44"/>
          <w:sz w:val="24"/>
          <w:szCs w:val="24"/>
        </w:rPr>
        <w:t xml:space="preserve">Implementation Roadmap</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500"/>
        <w:gridCol w:w="2200"/>
        <w:gridCol w:w="5650"/>
      </w:tblGrid>
      <w:tr>
        <w:trPr>
          <w:tblHeader/>
        </w:trPr>
        <w:tc>
          <w:tcPr>
            <w:tcW w:type="dxa" w:w="1500"/>
            <w:shd w:fill="1F2A44" w:val="clear"/>
            <w:tcMar>
              <w:top w:type="dxa" w:w="100"/>
              <w:left w:type="dxa" w:w="120"/>
              <w:bottom w:type="dxa" w:w="100"/>
              <w:right w:type="dxa" w:w="120"/>
            </w:tcMar>
            <w:vAlign w:val="center"/>
          </w:tcPr>
          <w:p>
            <w:r>
              <w:rPr>
                <w:b/>
                <w:bCs/>
                <w:color w:val="FFFFFF"/>
                <w:sz w:val="19"/>
                <w:szCs w:val="19"/>
              </w:rPr>
              <w:t xml:space="preserve">Horizon</w:t>
            </w:r>
          </w:p>
        </w:tc>
        <w:tc>
          <w:tcPr>
            <w:tcW w:type="dxa" w:w="2200"/>
            <w:shd w:fill="1F2A44" w:val="clear"/>
            <w:tcMar>
              <w:top w:type="dxa" w:w="100"/>
              <w:left w:type="dxa" w:w="120"/>
              <w:bottom w:type="dxa" w:w="100"/>
              <w:right w:type="dxa" w:w="120"/>
            </w:tcMar>
            <w:vAlign w:val="center"/>
          </w:tcPr>
          <w:p>
            <w:r>
              <w:rPr>
                <w:b/>
                <w:bCs/>
                <w:color w:val="FFFFFF"/>
                <w:sz w:val="19"/>
                <w:szCs w:val="19"/>
              </w:rPr>
              <w:t xml:space="preserve">Goal</w:t>
            </w:r>
          </w:p>
        </w:tc>
        <w:tc>
          <w:tcPr>
            <w:tcW w:type="dxa" w:w="5650"/>
            <w:shd w:fill="1F2A44" w:val="clear"/>
            <w:tcMar>
              <w:top w:type="dxa" w:w="100"/>
              <w:left w:type="dxa" w:w="120"/>
              <w:bottom w:type="dxa" w:w="100"/>
              <w:right w:type="dxa" w:w="120"/>
            </w:tcMar>
            <w:vAlign w:val="center"/>
          </w:tcPr>
          <w:p>
            <w:r>
              <w:rPr>
                <w:b/>
                <w:bCs/>
                <w:color w:val="FFFFFF"/>
                <w:sz w:val="19"/>
                <w:szCs w:val="19"/>
              </w:rPr>
              <w:t xml:space="preserve">Key Milestones</w:t>
            </w:r>
          </w:p>
        </w:tc>
      </w:tr>
      <w:tr>
        <w:tc>
          <w:tcPr>
            <w:tcW w:type="dxa" w:w="1500"/>
            <w:shd w:fill="FFFFFF" w:val="clear"/>
            <w:tcMar>
              <w:top w:type="dxa" w:w="90"/>
              <w:left w:type="dxa" w:w="120"/>
              <w:bottom w:type="dxa" w:w="90"/>
              <w:right w:type="dxa" w:w="120"/>
            </w:tcMar>
            <w:vAlign w:val="center"/>
          </w:tcPr>
          <w:p>
            <w:r>
              <w:rPr>
                <w:sz w:val="19"/>
                <w:szCs w:val="19"/>
              </w:rPr>
              <w:t xml:space="preserve">30 days</w:t>
            </w:r>
          </w:p>
        </w:tc>
        <w:tc>
          <w:tcPr>
            <w:tcW w:type="dxa" w:w="2200"/>
            <w:shd w:fill="FFFFFF" w:val="clear"/>
            <w:tcMar>
              <w:top w:type="dxa" w:w="90"/>
              <w:left w:type="dxa" w:w="120"/>
              <w:bottom w:type="dxa" w:w="90"/>
              <w:right w:type="dxa" w:w="120"/>
            </w:tcMar>
            <w:vAlign w:val="center"/>
          </w:tcPr>
          <w:p>
            <w:r>
              <w:rPr>
                <w:sz w:val="19"/>
                <w:szCs w:val="19"/>
              </w:rPr>
              <w:t xml:space="preserve">Validate demand — write no code</w:t>
            </w:r>
          </w:p>
        </w:tc>
        <w:tc>
          <w:tcPr>
            <w:tcW w:type="dxa" w:w="5650"/>
            <w:shd w:fill="FFFFFF" w:val="clear"/>
            <w:tcMar>
              <w:top w:type="dxa" w:w="90"/>
              <w:left w:type="dxa" w:w="120"/>
              <w:bottom w:type="dxa" w:w="90"/>
              <w:right w:type="dxa" w:w="120"/>
            </w:tcMar>
            <w:vAlign w:val="center"/>
          </w:tcPr>
          <w:p>
            <w:r>
              <w:rPr>
                <w:sz w:val="19"/>
                <w:szCs w:val="19"/>
              </w:rPr>
              <w:t xml:space="preserve">50 brand-side interviews; landing page + lead capture; LOIs from 5 companies. Fewer than 5 LOIs = do not proceed to build.</w:t>
            </w:r>
          </w:p>
        </w:tc>
      </w:tr>
      <w:tr>
        <w:tc>
          <w:tcPr>
            <w:tcW w:type="dxa" w:w="1500"/>
            <w:shd w:fill="F2F2F2" w:val="clear"/>
            <w:tcMar>
              <w:top w:type="dxa" w:w="90"/>
              <w:left w:type="dxa" w:w="120"/>
              <w:bottom w:type="dxa" w:w="90"/>
              <w:right w:type="dxa" w:w="120"/>
            </w:tcMar>
            <w:vAlign w:val="center"/>
          </w:tcPr>
          <w:p>
            <w:r>
              <w:rPr>
                <w:sz w:val="19"/>
                <w:szCs w:val="19"/>
              </w:rPr>
              <w:t xml:space="preserve">90 days</w:t>
            </w:r>
          </w:p>
        </w:tc>
        <w:tc>
          <w:tcPr>
            <w:tcW w:type="dxa" w:w="2200"/>
            <w:shd w:fill="F2F2F2" w:val="clear"/>
            <w:tcMar>
              <w:top w:type="dxa" w:w="90"/>
              <w:left w:type="dxa" w:w="120"/>
              <w:bottom w:type="dxa" w:w="90"/>
              <w:right w:type="dxa" w:w="120"/>
            </w:tcMar>
            <w:vAlign w:val="center"/>
          </w:tcPr>
          <w:p>
            <w:r>
              <w:rPr>
                <w:sz w:val="19"/>
                <w:szCs w:val="19"/>
              </w:rPr>
              <w:t xml:space="preserve">Lean MVP</w:t>
            </w:r>
          </w:p>
        </w:tc>
        <w:tc>
          <w:tcPr>
            <w:tcW w:type="dxa" w:w="5650"/>
            <w:shd w:fill="F2F2F2" w:val="clear"/>
            <w:tcMar>
              <w:top w:type="dxa" w:w="90"/>
              <w:left w:type="dxa" w:w="120"/>
              <w:bottom w:type="dxa" w:w="90"/>
              <w:right w:type="dxa" w:w="120"/>
            </w:tcMar>
            <w:vAlign w:val="center"/>
          </w:tcPr>
          <w:p>
            <w:r>
              <w:rPr>
                <w:sz w:val="19"/>
                <w:szCs w:val="19"/>
              </w:rPr>
              <w:t xml:space="preserve">Admin + brand dashboards, consumer app, QR, survey, analytics (no AI/ML yet); first campaign live at 200+ users; targets: 5 brands, 1,000 samples, 80% survey completion</w:t>
            </w:r>
          </w:p>
        </w:tc>
      </w:tr>
      <w:tr>
        <w:tc>
          <w:tcPr>
            <w:tcW w:type="dxa" w:w="1500"/>
            <w:shd w:fill="FFFFFF" w:val="clear"/>
            <w:tcMar>
              <w:top w:type="dxa" w:w="90"/>
              <w:left w:type="dxa" w:w="120"/>
              <w:bottom w:type="dxa" w:w="90"/>
              <w:right w:type="dxa" w:w="120"/>
            </w:tcMar>
            <w:vAlign w:val="center"/>
          </w:tcPr>
          <w:p>
            <w:r>
              <w:rPr>
                <w:sz w:val="19"/>
                <w:szCs w:val="19"/>
              </w:rPr>
              <w:t xml:space="preserve">6 months</w:t>
            </w:r>
          </w:p>
        </w:tc>
        <w:tc>
          <w:tcPr>
            <w:tcW w:type="dxa" w:w="2200"/>
            <w:shd w:fill="FFFFFF" w:val="clear"/>
            <w:tcMar>
              <w:top w:type="dxa" w:w="90"/>
              <w:left w:type="dxa" w:w="120"/>
              <w:bottom w:type="dxa" w:w="90"/>
              <w:right w:type="dxa" w:w="120"/>
            </w:tcMar>
            <w:vAlign w:val="center"/>
          </w:tcPr>
          <w:p>
            <w:r>
              <w:rPr>
                <w:sz w:val="19"/>
                <w:szCs w:val="19"/>
              </w:rPr>
              <w:t xml:space="preserve">Prove the model</w:t>
            </w:r>
          </w:p>
        </w:tc>
        <w:tc>
          <w:tcPr>
            <w:tcW w:type="dxa" w:w="5650"/>
            <w:shd w:fill="FFFFFF" w:val="clear"/>
            <w:tcMar>
              <w:top w:type="dxa" w:w="90"/>
              <w:left w:type="dxa" w:w="120"/>
              <w:bottom w:type="dxa" w:w="90"/>
              <w:right w:type="dxa" w:w="120"/>
            </w:tcMar>
            <w:vAlign w:val="center"/>
          </w:tcPr>
          <w:p>
            <w:r>
              <w:rPr>
                <w:sz w:val="19"/>
                <w:szCs w:val="19"/>
              </w:rPr>
              <w:t xml:space="preserve">10,000 users, 15 brands, 30 campaigns; add gamification/rewards/referral; begin dashboard subscriptions</w:t>
            </w:r>
          </w:p>
        </w:tc>
      </w:tr>
      <w:tr>
        <w:tc>
          <w:tcPr>
            <w:tcW w:type="dxa" w:w="1500"/>
            <w:shd w:fill="F2F2F2" w:val="clear"/>
            <w:tcMar>
              <w:top w:type="dxa" w:w="90"/>
              <w:left w:type="dxa" w:w="120"/>
              <w:bottom w:type="dxa" w:w="90"/>
              <w:right w:type="dxa" w:w="120"/>
            </w:tcMar>
            <w:vAlign w:val="center"/>
          </w:tcPr>
          <w:p>
            <w:r>
              <w:rPr>
                <w:sz w:val="19"/>
                <w:szCs w:val="19"/>
              </w:rPr>
              <w:t xml:space="preserve">12 months</w:t>
            </w:r>
          </w:p>
        </w:tc>
        <w:tc>
          <w:tcPr>
            <w:tcW w:type="dxa" w:w="2200"/>
            <w:shd w:fill="F2F2F2" w:val="clear"/>
            <w:tcMar>
              <w:top w:type="dxa" w:w="90"/>
              <w:left w:type="dxa" w:w="120"/>
              <w:bottom w:type="dxa" w:w="90"/>
              <w:right w:type="dxa" w:w="120"/>
            </w:tcMar>
            <w:vAlign w:val="center"/>
          </w:tcPr>
          <w:p>
            <w:r>
              <w:rPr>
                <w:sz w:val="19"/>
                <w:szCs w:val="19"/>
              </w:rPr>
              <w:t xml:space="preserve">Expand &amp; add intelligence</w:t>
            </w:r>
          </w:p>
        </w:tc>
        <w:tc>
          <w:tcPr>
            <w:tcW w:type="dxa" w:w="5650"/>
            <w:shd w:fill="F2F2F2" w:val="clear"/>
            <w:tcMar>
              <w:top w:type="dxa" w:w="90"/>
              <w:left w:type="dxa" w:w="120"/>
              <w:bottom w:type="dxa" w:w="90"/>
              <w:right w:type="dxa" w:w="120"/>
            </w:tcMar>
            <w:vAlign w:val="center"/>
          </w:tcPr>
          <w:p>
            <w:r>
              <w:rPr>
                <w:sz w:val="19"/>
                <w:szCs w:val="19"/>
              </w:rPr>
              <w:t xml:space="preserve">Alexandria, Giza, New Cairo, 6th October; add AI insights, segmentation, predictive analytics; 100,000 users</w:t>
            </w:r>
          </w:p>
        </w:tc>
      </w:tr>
      <w:tr>
        <w:tc>
          <w:tcPr>
            <w:tcW w:type="dxa" w:w="1500"/>
            <w:shd w:fill="FFFFFF" w:val="clear"/>
            <w:tcMar>
              <w:top w:type="dxa" w:w="90"/>
              <w:left w:type="dxa" w:w="120"/>
              <w:bottom w:type="dxa" w:w="90"/>
              <w:right w:type="dxa" w:w="120"/>
            </w:tcMar>
            <w:vAlign w:val="center"/>
          </w:tcPr>
          <w:p>
            <w:r>
              <w:rPr>
                <w:sz w:val="19"/>
                <w:szCs w:val="19"/>
              </w:rPr>
              <w:t xml:space="preserve">24 months</w:t>
            </w:r>
          </w:p>
        </w:tc>
        <w:tc>
          <w:tcPr>
            <w:tcW w:type="dxa" w:w="2200"/>
            <w:shd w:fill="FFFFFF" w:val="clear"/>
            <w:tcMar>
              <w:top w:type="dxa" w:w="90"/>
              <w:left w:type="dxa" w:w="120"/>
              <w:bottom w:type="dxa" w:w="90"/>
              <w:right w:type="dxa" w:w="120"/>
            </w:tcMar>
            <w:vAlign w:val="center"/>
          </w:tcPr>
          <w:p>
            <w:r>
              <w:rPr>
                <w:sz w:val="19"/>
                <w:szCs w:val="19"/>
              </w:rPr>
              <w:t xml:space="preserve">Regional option (conditional)</w:t>
            </w:r>
          </w:p>
        </w:tc>
        <w:tc>
          <w:tcPr>
            <w:tcW w:type="dxa" w:w="5650"/>
            <w:shd w:fill="FFFFFF" w:val="clear"/>
            <w:tcMar>
              <w:top w:type="dxa" w:w="90"/>
              <w:left w:type="dxa" w:w="120"/>
              <w:bottom w:type="dxa" w:w="90"/>
              <w:right w:type="dxa" w:w="120"/>
            </w:tcMar>
            <w:vAlign w:val="center"/>
          </w:tcPr>
          <w:p>
            <w:r>
              <w:rPr>
                <w:sz w:val="19"/>
                <w:szCs w:val="19"/>
              </w:rPr>
              <w:t xml:space="preserve">GCC expansion only if Egypt unit economics and retention are proven</w:t>
            </w:r>
          </w:p>
        </w:tc>
      </w:tr>
    </w:tbl>
    <w:p>
      <w:r>
        <w:br w:type="page"/>
      </w:r>
    </w:p>
    <w:p>
      <w:pPr>
        <w:pStyle w:val="Heading1"/>
        <w:pBdr>
          <w:bottom w:val="single" w:color="1F2A44" w:sz="8" w:space="4"/>
        </w:pBdr>
        <w:spacing w:after="200" w:before="400"/>
      </w:pPr>
      <w:r>
        <w:rPr>
          <w:b/>
          <w:bCs/>
          <w:color w:val="1F2A44"/>
          <w:sz w:val="30"/>
          <w:szCs w:val="30"/>
        </w:rPr>
        <w:t xml:space="preserve">10. Risk Assessment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700"/>
        <w:gridCol w:w="1200"/>
        <w:gridCol w:w="1200"/>
        <w:gridCol w:w="4250"/>
      </w:tblGrid>
      <w:tr>
        <w:trPr>
          <w:tblHeader/>
        </w:trPr>
        <w:tc>
          <w:tcPr>
            <w:tcW w:type="dxa" w:w="2700"/>
            <w:shd w:fill="1F2A44" w:val="clear"/>
            <w:tcMar>
              <w:top w:type="dxa" w:w="100"/>
              <w:left w:type="dxa" w:w="120"/>
              <w:bottom w:type="dxa" w:w="100"/>
              <w:right w:type="dxa" w:w="120"/>
            </w:tcMar>
            <w:vAlign w:val="center"/>
          </w:tcPr>
          <w:p>
            <w:r>
              <w:rPr>
                <w:b/>
                <w:bCs/>
                <w:color w:val="FFFFFF"/>
                <w:sz w:val="19"/>
                <w:szCs w:val="19"/>
              </w:rPr>
              <w:t xml:space="preserve">Risk</w:t>
            </w:r>
          </w:p>
        </w:tc>
        <w:tc>
          <w:tcPr>
            <w:tcW w:type="dxa" w:w="1200"/>
            <w:shd w:fill="1F2A44" w:val="clear"/>
            <w:tcMar>
              <w:top w:type="dxa" w:w="100"/>
              <w:left w:type="dxa" w:w="120"/>
              <w:bottom w:type="dxa" w:w="100"/>
              <w:right w:type="dxa" w:w="120"/>
            </w:tcMar>
            <w:vAlign w:val="center"/>
          </w:tcPr>
          <w:p>
            <w:r>
              <w:rPr>
                <w:b/>
                <w:bCs/>
                <w:color w:val="FFFFFF"/>
                <w:sz w:val="19"/>
                <w:szCs w:val="19"/>
              </w:rPr>
              <w:t xml:space="preserve">Probability</w:t>
            </w:r>
          </w:p>
        </w:tc>
        <w:tc>
          <w:tcPr>
            <w:tcW w:type="dxa" w:w="1200"/>
            <w:shd w:fill="1F2A44" w:val="clear"/>
            <w:tcMar>
              <w:top w:type="dxa" w:w="100"/>
              <w:left w:type="dxa" w:w="120"/>
              <w:bottom w:type="dxa" w:w="100"/>
              <w:right w:type="dxa" w:w="120"/>
            </w:tcMar>
            <w:vAlign w:val="center"/>
          </w:tcPr>
          <w:p>
            <w:r>
              <w:rPr>
                <w:b/>
                <w:bCs/>
                <w:color w:val="FFFFFF"/>
                <w:sz w:val="19"/>
                <w:szCs w:val="19"/>
              </w:rPr>
              <w:t xml:space="preserve">Impact</w:t>
            </w:r>
          </w:p>
        </w:tc>
        <w:tc>
          <w:tcPr>
            <w:tcW w:type="dxa" w:w="4250"/>
            <w:shd w:fill="1F2A44" w:val="clear"/>
            <w:tcMar>
              <w:top w:type="dxa" w:w="100"/>
              <w:left w:type="dxa" w:w="120"/>
              <w:bottom w:type="dxa" w:w="100"/>
              <w:right w:type="dxa" w:w="120"/>
            </w:tcMar>
            <w:vAlign w:val="center"/>
          </w:tcPr>
          <w:p>
            <w:r>
              <w:rPr>
                <w:b/>
                <w:bCs/>
                <w:color w:val="FFFFFF"/>
                <w:sz w:val="19"/>
                <w:szCs w:val="19"/>
              </w:rPr>
              <w:t xml:space="preserve">Mitigation</w:t>
            </w:r>
          </w:p>
        </w:tc>
      </w:tr>
      <w:tr>
        <w:tc>
          <w:tcPr>
            <w:tcW w:type="dxa" w:w="2700"/>
            <w:shd w:fill="FFFFFF" w:val="clear"/>
            <w:tcMar>
              <w:top w:type="dxa" w:w="90"/>
              <w:left w:type="dxa" w:w="120"/>
              <w:bottom w:type="dxa" w:w="90"/>
              <w:right w:type="dxa" w:w="120"/>
            </w:tcMar>
            <w:vAlign w:val="center"/>
          </w:tcPr>
          <w:p>
            <w:r>
              <w:rPr>
                <w:sz w:val="19"/>
                <w:szCs w:val="19"/>
              </w:rPr>
              <w:t xml:space="preserve">Demand never validated with real brands</w:t>
            </w:r>
          </w:p>
        </w:tc>
        <w:tc>
          <w:tcPr>
            <w:tcW w:type="dxa" w:w="1200"/>
            <w:shd w:fill="FFFFFF" w:val="clear"/>
            <w:tcMar>
              <w:top w:type="dxa" w:w="90"/>
              <w:left w:type="dxa" w:w="120"/>
              <w:bottom w:type="dxa" w:w="90"/>
              <w:right w:type="dxa" w:w="120"/>
            </w:tcMar>
            <w:vAlign w:val="center"/>
          </w:tcPr>
          <w:p>
            <w:r>
              <w:rPr>
                <w:sz w:val="19"/>
                <w:szCs w:val="19"/>
              </w:rPr>
              <w:t xml:space="preserve">High</w:t>
            </w:r>
          </w:p>
        </w:tc>
        <w:tc>
          <w:tcPr>
            <w:tcW w:type="dxa" w:w="1200"/>
            <w:shd w:fill="FFFFFF" w:val="clear"/>
            <w:tcMar>
              <w:top w:type="dxa" w:w="90"/>
              <w:left w:type="dxa" w:w="120"/>
              <w:bottom w:type="dxa" w:w="90"/>
              <w:right w:type="dxa" w:w="120"/>
            </w:tcMar>
            <w:vAlign w:val="center"/>
          </w:tcPr>
          <w:p>
            <w:r>
              <w:rPr>
                <w:sz w:val="19"/>
                <w:szCs w:val="19"/>
              </w:rPr>
              <w:t xml:space="preserve">Critical</w:t>
            </w:r>
          </w:p>
        </w:tc>
        <w:tc>
          <w:tcPr>
            <w:tcW w:type="dxa" w:w="4250"/>
            <w:shd w:fill="FFFFFF" w:val="clear"/>
            <w:tcMar>
              <w:top w:type="dxa" w:w="90"/>
              <w:left w:type="dxa" w:w="120"/>
              <w:bottom w:type="dxa" w:w="90"/>
              <w:right w:type="dxa" w:w="120"/>
            </w:tcMar>
            <w:vAlign w:val="center"/>
          </w:tcPr>
          <w:p>
            <w:r>
              <w:rPr>
                <w:sz w:val="19"/>
                <w:szCs w:val="19"/>
              </w:rPr>
              <w:t xml:space="preserve">30–50 structured brand interviews and LOIs before further spend</w:t>
            </w:r>
          </w:p>
        </w:tc>
      </w:tr>
      <w:tr>
        <w:tc>
          <w:tcPr>
            <w:tcW w:type="dxa" w:w="2700"/>
            <w:shd w:fill="F2F2F2" w:val="clear"/>
            <w:tcMar>
              <w:top w:type="dxa" w:w="90"/>
              <w:left w:type="dxa" w:w="120"/>
              <w:bottom w:type="dxa" w:w="90"/>
              <w:right w:type="dxa" w:w="120"/>
            </w:tcMar>
            <w:vAlign w:val="center"/>
          </w:tcPr>
          <w:p>
            <w:r>
              <w:rPr>
                <w:sz w:val="19"/>
                <w:szCs w:val="19"/>
              </w:rPr>
              <w:t xml:space="preserve">Competitive displacement (e.g. Marketeers Research)</w:t>
            </w:r>
          </w:p>
        </w:tc>
        <w:tc>
          <w:tcPr>
            <w:tcW w:type="dxa" w:w="1200"/>
            <w:shd w:fill="F2F2F2" w:val="clear"/>
            <w:tcMar>
              <w:top w:type="dxa" w:w="90"/>
              <w:left w:type="dxa" w:w="120"/>
              <w:bottom w:type="dxa" w:w="90"/>
              <w:right w:type="dxa" w:w="120"/>
            </w:tcMar>
            <w:vAlign w:val="center"/>
          </w:tcPr>
          <w:p>
            <w:r>
              <w:rPr>
                <w:sz w:val="19"/>
                <w:szCs w:val="19"/>
              </w:rPr>
              <w:t xml:space="preserve">Medium</w:t>
            </w:r>
          </w:p>
        </w:tc>
        <w:tc>
          <w:tcPr>
            <w:tcW w:type="dxa" w:w="1200"/>
            <w:shd w:fill="F2F2F2" w:val="clear"/>
            <w:tcMar>
              <w:top w:type="dxa" w:w="90"/>
              <w:left w:type="dxa" w:w="120"/>
              <w:bottom w:type="dxa" w:w="90"/>
              <w:right w:type="dxa" w:w="120"/>
            </w:tcMar>
            <w:vAlign w:val="center"/>
          </w:tcPr>
          <w:p>
            <w:r>
              <w:rPr>
                <w:sz w:val="19"/>
                <w:szCs w:val="19"/>
              </w:rPr>
              <w:t xml:space="preserve">High</w:t>
            </w:r>
          </w:p>
        </w:tc>
        <w:tc>
          <w:tcPr>
            <w:tcW w:type="dxa" w:w="4250"/>
            <w:shd w:fill="F2F2F2" w:val="clear"/>
            <w:tcMar>
              <w:top w:type="dxa" w:w="90"/>
              <w:left w:type="dxa" w:w="120"/>
              <w:bottom w:type="dxa" w:w="90"/>
              <w:right w:type="dxa" w:w="120"/>
            </w:tcMar>
            <w:vAlign w:val="center"/>
          </w:tcPr>
          <w:p>
            <w:r>
              <w:rPr>
                <w:sz w:val="19"/>
                <w:szCs w:val="19"/>
              </w:rPr>
              <w:t xml:space="preserve">Differentiate on the sampling-to-data pipeline; do not compete on analytics alone</w:t>
            </w:r>
          </w:p>
        </w:tc>
      </w:tr>
      <w:tr>
        <w:tc>
          <w:tcPr>
            <w:tcW w:type="dxa" w:w="2700"/>
            <w:shd w:fill="FFFFFF" w:val="clear"/>
            <w:tcMar>
              <w:top w:type="dxa" w:w="90"/>
              <w:left w:type="dxa" w:w="120"/>
              <w:bottom w:type="dxa" w:w="90"/>
              <w:right w:type="dxa" w:w="120"/>
            </w:tcMar>
            <w:vAlign w:val="center"/>
          </w:tcPr>
          <w:p>
            <w:r>
              <w:rPr>
                <w:sz w:val="19"/>
                <w:szCs w:val="19"/>
              </w:rPr>
              <w:t xml:space="preserve">Consumer acquisition cost higher than modeled</w:t>
            </w:r>
          </w:p>
        </w:tc>
        <w:tc>
          <w:tcPr>
            <w:tcW w:type="dxa" w:w="1200"/>
            <w:shd w:fill="FFFFFF" w:val="clear"/>
            <w:tcMar>
              <w:top w:type="dxa" w:w="90"/>
              <w:left w:type="dxa" w:w="120"/>
              <w:bottom w:type="dxa" w:w="90"/>
              <w:right w:type="dxa" w:w="120"/>
            </w:tcMar>
            <w:vAlign w:val="center"/>
          </w:tcPr>
          <w:p>
            <w:r>
              <w:rPr>
                <w:sz w:val="19"/>
                <w:szCs w:val="19"/>
              </w:rPr>
              <w:t xml:space="preserve">Medium-High</w:t>
            </w:r>
          </w:p>
        </w:tc>
        <w:tc>
          <w:tcPr>
            <w:tcW w:type="dxa" w:w="1200"/>
            <w:shd w:fill="FFFFFF" w:val="clear"/>
            <w:tcMar>
              <w:top w:type="dxa" w:w="90"/>
              <w:left w:type="dxa" w:w="120"/>
              <w:bottom w:type="dxa" w:w="90"/>
              <w:right w:type="dxa" w:w="120"/>
            </w:tcMar>
            <w:vAlign w:val="center"/>
          </w:tcPr>
          <w:p>
            <w:r>
              <w:rPr>
                <w:sz w:val="19"/>
                <w:szCs w:val="19"/>
              </w:rPr>
              <w:t xml:space="preserve">High</w:t>
            </w:r>
          </w:p>
        </w:tc>
        <w:tc>
          <w:tcPr>
            <w:tcW w:type="dxa" w:w="4250"/>
            <w:shd w:fill="FFFFFF" w:val="clear"/>
            <w:tcMar>
              <w:top w:type="dxa" w:w="90"/>
              <w:left w:type="dxa" w:w="120"/>
              <w:bottom w:type="dxa" w:w="90"/>
              <w:right w:type="dxa" w:w="120"/>
            </w:tcMar>
            <w:vAlign w:val="center"/>
          </w:tcPr>
          <w:p>
            <w:r>
              <w:rPr>
                <w:sz w:val="19"/>
                <w:szCs w:val="19"/>
              </w:rPr>
              <w:t xml:space="preserve">Pilot CAC in a single mall/university before city-wide rollout</w:t>
            </w:r>
          </w:p>
        </w:tc>
      </w:tr>
      <w:tr>
        <w:tc>
          <w:tcPr>
            <w:tcW w:type="dxa" w:w="2700"/>
            <w:shd w:fill="F2F2F2" w:val="clear"/>
            <w:tcMar>
              <w:top w:type="dxa" w:w="90"/>
              <w:left w:type="dxa" w:w="120"/>
              <w:bottom w:type="dxa" w:w="90"/>
              <w:right w:type="dxa" w:w="120"/>
            </w:tcMar>
            <w:vAlign w:val="center"/>
          </w:tcPr>
          <w:p>
            <w:r>
              <w:rPr>
                <w:sz w:val="19"/>
                <w:szCs w:val="19"/>
              </w:rPr>
              <w:t xml:space="preserve">Logistics cost overrun (becomes a distribution company)</w:t>
            </w:r>
          </w:p>
        </w:tc>
        <w:tc>
          <w:tcPr>
            <w:tcW w:type="dxa" w:w="1200"/>
            <w:shd w:fill="F2F2F2" w:val="clear"/>
            <w:tcMar>
              <w:top w:type="dxa" w:w="90"/>
              <w:left w:type="dxa" w:w="120"/>
              <w:bottom w:type="dxa" w:w="90"/>
              <w:right w:type="dxa" w:w="120"/>
            </w:tcMar>
            <w:vAlign w:val="center"/>
          </w:tcPr>
          <w:p>
            <w:r>
              <w:rPr>
                <w:sz w:val="19"/>
                <w:szCs w:val="19"/>
              </w:rPr>
              <w:t xml:space="preserve">Medium</w:t>
            </w:r>
          </w:p>
        </w:tc>
        <w:tc>
          <w:tcPr>
            <w:tcW w:type="dxa" w:w="1200"/>
            <w:shd w:fill="F2F2F2" w:val="clear"/>
            <w:tcMar>
              <w:top w:type="dxa" w:w="90"/>
              <w:left w:type="dxa" w:w="120"/>
              <w:bottom w:type="dxa" w:w="90"/>
              <w:right w:type="dxa" w:w="120"/>
            </w:tcMar>
            <w:vAlign w:val="center"/>
          </w:tcPr>
          <w:p>
            <w:r>
              <w:rPr>
                <w:sz w:val="19"/>
                <w:szCs w:val="19"/>
              </w:rPr>
              <w:t xml:space="preserve">High</w:t>
            </w:r>
          </w:p>
        </w:tc>
        <w:tc>
          <w:tcPr>
            <w:tcW w:type="dxa" w:w="4250"/>
            <w:shd w:fill="F2F2F2" w:val="clear"/>
            <w:tcMar>
              <w:top w:type="dxa" w:w="90"/>
              <w:left w:type="dxa" w:w="120"/>
              <w:bottom w:type="dxa" w:w="90"/>
              <w:right w:type="dxa" w:w="120"/>
            </w:tcMar>
            <w:vAlign w:val="center"/>
          </w:tcPr>
          <w:p>
            <w:r>
              <w:rPr>
                <w:sz w:val="19"/>
                <w:szCs w:val="19"/>
              </w:rPr>
              <w:t xml:space="preserve">Outsource fulfillment; no owned warehouses/fleet in year one</w:t>
            </w:r>
          </w:p>
        </w:tc>
      </w:tr>
      <w:tr>
        <w:tc>
          <w:tcPr>
            <w:tcW w:type="dxa" w:w="2700"/>
            <w:shd w:fill="FFFFFF" w:val="clear"/>
            <w:tcMar>
              <w:top w:type="dxa" w:w="90"/>
              <w:left w:type="dxa" w:w="120"/>
              <w:bottom w:type="dxa" w:w="90"/>
              <w:right w:type="dxa" w:w="120"/>
            </w:tcMar>
            <w:vAlign w:val="center"/>
          </w:tcPr>
          <w:p>
            <w:r>
              <w:rPr>
                <w:sz w:val="19"/>
                <w:szCs w:val="19"/>
              </w:rPr>
              <w:t xml:space="preserve">Fraudulent survey responses</w:t>
            </w:r>
          </w:p>
        </w:tc>
        <w:tc>
          <w:tcPr>
            <w:tcW w:type="dxa" w:w="1200"/>
            <w:shd w:fill="FFFFFF" w:val="clear"/>
            <w:tcMar>
              <w:top w:type="dxa" w:w="90"/>
              <w:left w:type="dxa" w:w="120"/>
              <w:bottom w:type="dxa" w:w="90"/>
              <w:right w:type="dxa" w:w="120"/>
            </w:tcMar>
            <w:vAlign w:val="center"/>
          </w:tcPr>
          <w:p>
            <w:r>
              <w:rPr>
                <w:sz w:val="19"/>
                <w:szCs w:val="19"/>
              </w:rPr>
              <w:t xml:space="preserve">High</w:t>
            </w:r>
          </w:p>
        </w:tc>
        <w:tc>
          <w:tcPr>
            <w:tcW w:type="dxa" w:w="1200"/>
            <w:shd w:fill="FFFFFF" w:val="clear"/>
            <w:tcMar>
              <w:top w:type="dxa" w:w="90"/>
              <w:left w:type="dxa" w:w="120"/>
              <w:bottom w:type="dxa" w:w="90"/>
              <w:right w:type="dxa" w:w="120"/>
            </w:tcMar>
            <w:vAlign w:val="center"/>
          </w:tcPr>
          <w:p>
            <w:r>
              <w:rPr>
                <w:sz w:val="19"/>
                <w:szCs w:val="19"/>
              </w:rPr>
              <w:t xml:space="preserve">Medium</w:t>
            </w:r>
          </w:p>
        </w:tc>
        <w:tc>
          <w:tcPr>
            <w:tcW w:type="dxa" w:w="4250"/>
            <w:shd w:fill="FFFFFF" w:val="clear"/>
            <w:tcMar>
              <w:top w:type="dxa" w:w="90"/>
              <w:left w:type="dxa" w:w="120"/>
              <w:bottom w:type="dxa" w:w="90"/>
              <w:right w:type="dxa" w:w="120"/>
            </w:tcMar>
            <w:vAlign w:val="center"/>
          </w:tcPr>
          <w:p>
            <w:r>
              <w:rPr>
                <w:sz w:val="19"/>
                <w:szCs w:val="19"/>
              </w:rPr>
              <w:t xml:space="preserve">QR + behavioral-pattern fraud detection from day one</w:t>
            </w:r>
          </w:p>
        </w:tc>
      </w:tr>
      <w:tr>
        <w:tc>
          <w:tcPr>
            <w:tcW w:type="dxa" w:w="2700"/>
            <w:shd w:fill="F2F2F2" w:val="clear"/>
            <w:tcMar>
              <w:top w:type="dxa" w:w="90"/>
              <w:left w:type="dxa" w:w="120"/>
              <w:bottom w:type="dxa" w:w="90"/>
              <w:right w:type="dxa" w:w="120"/>
            </w:tcMar>
            <w:vAlign w:val="center"/>
          </w:tcPr>
          <w:p>
            <w:r>
              <w:rPr>
                <w:sz w:val="19"/>
                <w:szCs w:val="19"/>
              </w:rPr>
              <w:t xml:space="preserve">Data privacy / regulatory breach</w:t>
            </w:r>
          </w:p>
        </w:tc>
        <w:tc>
          <w:tcPr>
            <w:tcW w:type="dxa" w:w="1200"/>
            <w:shd w:fill="F2F2F2" w:val="clear"/>
            <w:tcMar>
              <w:top w:type="dxa" w:w="90"/>
              <w:left w:type="dxa" w:w="120"/>
              <w:bottom w:type="dxa" w:w="90"/>
              <w:right w:type="dxa" w:w="120"/>
            </w:tcMar>
            <w:vAlign w:val="center"/>
          </w:tcPr>
          <w:p>
            <w:r>
              <w:rPr>
                <w:sz w:val="19"/>
                <w:szCs w:val="19"/>
              </w:rPr>
              <w:t xml:space="preserve">Medium</w:t>
            </w:r>
          </w:p>
        </w:tc>
        <w:tc>
          <w:tcPr>
            <w:tcW w:type="dxa" w:w="1200"/>
            <w:shd w:fill="F2F2F2" w:val="clear"/>
            <w:tcMar>
              <w:top w:type="dxa" w:w="90"/>
              <w:left w:type="dxa" w:w="120"/>
              <w:bottom w:type="dxa" w:w="90"/>
              <w:right w:type="dxa" w:w="120"/>
            </w:tcMar>
            <w:vAlign w:val="center"/>
          </w:tcPr>
          <w:p>
            <w:r>
              <w:rPr>
                <w:sz w:val="19"/>
                <w:szCs w:val="19"/>
              </w:rPr>
              <w:t xml:space="preserve">Critical</w:t>
            </w:r>
          </w:p>
        </w:tc>
        <w:tc>
          <w:tcPr>
            <w:tcW w:type="dxa" w:w="4250"/>
            <w:shd w:fill="F2F2F2" w:val="clear"/>
            <w:tcMar>
              <w:top w:type="dxa" w:w="90"/>
              <w:left w:type="dxa" w:w="120"/>
              <w:bottom w:type="dxa" w:w="90"/>
              <w:right w:type="dxa" w:w="120"/>
            </w:tcMar>
            <w:vAlign w:val="center"/>
          </w:tcPr>
          <w:p>
            <w:r>
              <w:rPr>
                <w:sz w:val="19"/>
                <w:szCs w:val="19"/>
              </w:rPr>
              <w:t xml:space="preserve">Privacy-by-design; legal review before MVP data collection begins</w:t>
            </w:r>
          </w:p>
        </w:tc>
      </w:tr>
      <w:tr>
        <w:tc>
          <w:tcPr>
            <w:tcW w:type="dxa" w:w="2700"/>
            <w:shd w:fill="FFFFFF" w:val="clear"/>
            <w:tcMar>
              <w:top w:type="dxa" w:w="90"/>
              <w:left w:type="dxa" w:w="120"/>
              <w:bottom w:type="dxa" w:w="90"/>
              <w:right w:type="dxa" w:w="120"/>
            </w:tcMar>
            <w:vAlign w:val="center"/>
          </w:tcPr>
          <w:p>
            <w:r>
              <w:rPr>
                <w:sz w:val="19"/>
                <w:szCs w:val="19"/>
              </w:rPr>
              <w:t xml:space="preserve">Brand builds an internal alternative</w:t>
            </w:r>
          </w:p>
        </w:tc>
        <w:tc>
          <w:tcPr>
            <w:tcW w:type="dxa" w:w="1200"/>
            <w:shd w:fill="FFFFFF" w:val="clear"/>
            <w:tcMar>
              <w:top w:type="dxa" w:w="90"/>
              <w:left w:type="dxa" w:w="120"/>
              <w:bottom w:type="dxa" w:w="90"/>
              <w:right w:type="dxa" w:w="120"/>
            </w:tcMar>
            <w:vAlign w:val="center"/>
          </w:tcPr>
          <w:p>
            <w:r>
              <w:rPr>
                <w:sz w:val="19"/>
                <w:szCs w:val="19"/>
              </w:rPr>
              <w:t xml:space="preserve">Low-Medium</w:t>
            </w:r>
          </w:p>
        </w:tc>
        <w:tc>
          <w:tcPr>
            <w:tcW w:type="dxa" w:w="1200"/>
            <w:shd w:fill="FFFFFF" w:val="clear"/>
            <w:tcMar>
              <w:top w:type="dxa" w:w="90"/>
              <w:left w:type="dxa" w:w="120"/>
              <w:bottom w:type="dxa" w:w="90"/>
              <w:right w:type="dxa" w:w="120"/>
            </w:tcMar>
            <w:vAlign w:val="center"/>
          </w:tcPr>
          <w:p>
            <w:r>
              <w:rPr>
                <w:sz w:val="19"/>
                <w:szCs w:val="19"/>
              </w:rPr>
              <w:t xml:space="preserve">High</w:t>
            </w:r>
          </w:p>
        </w:tc>
        <w:tc>
          <w:tcPr>
            <w:tcW w:type="dxa" w:w="4250"/>
            <w:shd w:fill="FFFFFF" w:val="clear"/>
            <w:tcMar>
              <w:top w:type="dxa" w:w="90"/>
              <w:left w:type="dxa" w:w="120"/>
              <w:bottom w:type="dxa" w:w="90"/>
              <w:right w:type="dxa" w:w="120"/>
            </w:tcMar>
            <w:vAlign w:val="center"/>
          </w:tcPr>
          <w:p>
            <w:r>
              <w:rPr>
                <w:sz w:val="19"/>
                <w:szCs w:val="19"/>
              </w:rPr>
              <w:t xml:space="preserve">Multi-brand diversification; contractual data-exclusivity terms</w:t>
            </w:r>
          </w:p>
        </w:tc>
      </w:tr>
      <w:tr>
        <w:tc>
          <w:tcPr>
            <w:tcW w:type="dxa" w:w="2700"/>
            <w:shd w:fill="F2F2F2" w:val="clear"/>
            <w:tcMar>
              <w:top w:type="dxa" w:w="90"/>
              <w:left w:type="dxa" w:w="120"/>
              <w:bottom w:type="dxa" w:w="90"/>
              <w:right w:type="dxa" w:w="120"/>
            </w:tcMar>
            <w:vAlign w:val="center"/>
          </w:tcPr>
          <w:p>
            <w:r>
              <w:rPr>
                <w:sz w:val="19"/>
                <w:szCs w:val="19"/>
              </w:rPr>
              <w:t xml:space="preserve">Insufficient funding for full build</w:t>
            </w:r>
          </w:p>
        </w:tc>
        <w:tc>
          <w:tcPr>
            <w:tcW w:type="dxa" w:w="1200"/>
            <w:shd w:fill="F2F2F2" w:val="clear"/>
            <w:tcMar>
              <w:top w:type="dxa" w:w="90"/>
              <w:left w:type="dxa" w:w="120"/>
              <w:bottom w:type="dxa" w:w="90"/>
              <w:right w:type="dxa" w:w="120"/>
            </w:tcMar>
            <w:vAlign w:val="center"/>
          </w:tcPr>
          <w:p>
            <w:r>
              <w:rPr>
                <w:sz w:val="19"/>
                <w:szCs w:val="19"/>
              </w:rPr>
              <w:t xml:space="preserve">Medium</w:t>
            </w:r>
          </w:p>
        </w:tc>
        <w:tc>
          <w:tcPr>
            <w:tcW w:type="dxa" w:w="1200"/>
            <w:shd w:fill="F2F2F2" w:val="clear"/>
            <w:tcMar>
              <w:top w:type="dxa" w:w="90"/>
              <w:left w:type="dxa" w:w="120"/>
              <w:bottom w:type="dxa" w:w="90"/>
              <w:right w:type="dxa" w:w="120"/>
            </w:tcMar>
            <w:vAlign w:val="center"/>
          </w:tcPr>
          <w:p>
            <w:r>
              <w:rPr>
                <w:sz w:val="19"/>
                <w:szCs w:val="19"/>
              </w:rPr>
              <w:t xml:space="preserve">High</w:t>
            </w:r>
          </w:p>
        </w:tc>
        <w:tc>
          <w:tcPr>
            <w:tcW w:type="dxa" w:w="4250"/>
            <w:shd w:fill="F2F2F2" w:val="clear"/>
            <w:tcMar>
              <w:top w:type="dxa" w:w="90"/>
              <w:left w:type="dxa" w:w="120"/>
              <w:bottom w:type="dxa" w:w="90"/>
              <w:right w:type="dxa" w:w="120"/>
            </w:tcMar>
            <w:vAlign w:val="center"/>
          </w:tcPr>
          <w:p>
            <w:r>
              <w:rPr>
                <w:sz w:val="19"/>
                <w:szCs w:val="19"/>
              </w:rPr>
              <w:t xml:space="preserve">Default to the lean MVP path, not the full $303k build</w:t>
            </w:r>
          </w:p>
        </w:tc>
      </w:tr>
      <w:tr>
        <w:tc>
          <w:tcPr>
            <w:tcW w:type="dxa" w:w="2700"/>
            <w:shd w:fill="FFFFFF" w:val="clear"/>
            <w:tcMar>
              <w:top w:type="dxa" w:w="90"/>
              <w:left w:type="dxa" w:w="120"/>
              <w:bottom w:type="dxa" w:w="90"/>
              <w:right w:type="dxa" w:w="120"/>
            </w:tcMar>
            <w:vAlign w:val="center"/>
          </w:tcPr>
          <w:p>
            <w:r>
              <w:rPr>
                <w:sz w:val="19"/>
                <w:szCs w:val="19"/>
              </w:rPr>
              <w:t xml:space="preserve">Reference model may be a services business, not venture-scale</w:t>
            </w:r>
          </w:p>
        </w:tc>
        <w:tc>
          <w:tcPr>
            <w:tcW w:type="dxa" w:w="1200"/>
            <w:shd w:fill="FFFFFF" w:val="clear"/>
            <w:tcMar>
              <w:top w:type="dxa" w:w="90"/>
              <w:left w:type="dxa" w:w="120"/>
              <w:bottom w:type="dxa" w:w="90"/>
              <w:right w:type="dxa" w:w="120"/>
            </w:tcMar>
            <w:vAlign w:val="center"/>
          </w:tcPr>
          <w:p>
            <w:r>
              <w:rPr>
                <w:sz w:val="19"/>
                <w:szCs w:val="19"/>
              </w:rPr>
              <w:t xml:space="preserve">Medium</w:t>
            </w:r>
          </w:p>
        </w:tc>
        <w:tc>
          <w:tcPr>
            <w:tcW w:type="dxa" w:w="1200"/>
            <w:shd w:fill="FFFFFF" w:val="clear"/>
            <w:tcMar>
              <w:top w:type="dxa" w:w="90"/>
              <w:left w:type="dxa" w:w="120"/>
              <w:bottom w:type="dxa" w:w="90"/>
              <w:right w:type="dxa" w:w="120"/>
            </w:tcMar>
            <w:vAlign w:val="center"/>
          </w:tcPr>
          <w:p>
            <w:r>
              <w:rPr>
                <w:sz w:val="19"/>
                <w:szCs w:val="19"/>
              </w:rPr>
              <w:t xml:space="preserve">Medium</w:t>
            </w:r>
          </w:p>
        </w:tc>
        <w:tc>
          <w:tcPr>
            <w:tcW w:type="dxa" w:w="4250"/>
            <w:shd w:fill="FFFFFF" w:val="clear"/>
            <w:tcMar>
              <w:top w:type="dxa" w:w="90"/>
              <w:left w:type="dxa" w:w="120"/>
              <w:bottom w:type="dxa" w:w="90"/>
              <w:right w:type="dxa" w:w="120"/>
            </w:tcMar>
            <w:vAlign w:val="center"/>
          </w:tcPr>
          <w:p>
            <w:r>
              <w:rPr>
                <w:sz w:val="19"/>
                <w:szCs w:val="19"/>
              </w:rPr>
              <w:t xml:space="preserve">Set targets against a profitable-services base case, not a hypergrowth case</w:t>
            </w:r>
          </w:p>
        </w:tc>
      </w:tr>
    </w:tbl>
    <w:p>
      <w:pPr>
        <w:pStyle w:val="Heading2"/>
        <w:spacing w:after="140" w:before="280"/>
      </w:pPr>
      <w:r>
        <w:rPr>
          <w:b/>
          <w:bCs/>
          <w:color w:val="1F2A44"/>
          <w:sz w:val="24"/>
          <w:szCs w:val="24"/>
        </w:rPr>
        <w:t xml:space="preserve">Investment Scorecard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400"/>
        <w:gridCol w:w="4350"/>
      </w:tblGrid>
      <w:tr>
        <w:trPr>
          <w:tblHeader/>
        </w:trPr>
        <w:tc>
          <w:tcPr>
            <w:tcW w:type="dxa" w:w="2600"/>
            <w:shd w:fill="1F2A44" w:val="clear"/>
            <w:tcMar>
              <w:top w:type="dxa" w:w="100"/>
              <w:left w:type="dxa" w:w="120"/>
              <w:bottom w:type="dxa" w:w="100"/>
              <w:right w:type="dxa" w:w="120"/>
            </w:tcMar>
            <w:vAlign w:val="center"/>
          </w:tcPr>
          <w:p>
            <w:r>
              <w:rPr>
                <w:b/>
                <w:bCs/>
                <w:color w:val="FFFFFF"/>
                <w:sz w:val="19"/>
                <w:szCs w:val="19"/>
              </w:rPr>
              <w:t xml:space="preserve">Metric</w:t>
            </w:r>
          </w:p>
        </w:tc>
        <w:tc>
          <w:tcPr>
            <w:tcW w:type="dxa" w:w="2400"/>
            <w:shd w:fill="1F2A44" w:val="clear"/>
            <w:tcMar>
              <w:top w:type="dxa" w:w="100"/>
              <w:left w:type="dxa" w:w="120"/>
              <w:bottom w:type="dxa" w:w="100"/>
              <w:right w:type="dxa" w:w="120"/>
            </w:tcMar>
            <w:vAlign w:val="center"/>
          </w:tcPr>
          <w:p>
            <w:r>
              <w:rPr>
                <w:b/>
                <w:bCs/>
                <w:color w:val="FFFFFF"/>
                <w:sz w:val="19"/>
                <w:szCs w:val="19"/>
              </w:rPr>
              <w:t xml:space="preserve">Score</w:t>
            </w:r>
          </w:p>
        </w:tc>
        <w:tc>
          <w:tcPr>
            <w:tcW w:type="dxa" w:w="4350"/>
            <w:shd w:fill="1F2A44" w:val="clear"/>
            <w:tcMar>
              <w:top w:type="dxa" w:w="100"/>
              <w:left w:type="dxa" w:w="120"/>
              <w:bottom w:type="dxa" w:w="100"/>
              <w:right w:type="dxa" w:w="120"/>
            </w:tcMar>
            <w:vAlign w:val="center"/>
          </w:tcPr>
          <w:p>
            <w:r>
              <w:rPr>
                <w:b/>
                <w:bCs/>
                <w:color w:val="FFFFFF"/>
                <w:sz w:val="19"/>
                <w:szCs w:val="19"/>
              </w:rPr>
              <w:t xml:space="preserve">Rationale</w:t>
            </w:r>
          </w:p>
        </w:tc>
      </w:tr>
      <w:tr>
        <w:tc>
          <w:tcPr>
            <w:tcW w:type="dxa" w:w="2600"/>
            <w:shd w:fill="FFFFFF" w:val="clear"/>
            <w:tcMar>
              <w:top w:type="dxa" w:w="90"/>
              <w:left w:type="dxa" w:w="120"/>
              <w:bottom w:type="dxa" w:w="90"/>
              <w:right w:type="dxa" w:w="120"/>
            </w:tcMar>
            <w:vAlign w:val="center"/>
          </w:tcPr>
          <w:p>
            <w:r>
              <w:rPr>
                <w:sz w:val="19"/>
                <w:szCs w:val="19"/>
              </w:rPr>
              <w:t xml:space="preserve">Investment Score</w:t>
            </w:r>
          </w:p>
        </w:tc>
        <w:tc>
          <w:tcPr>
            <w:tcW w:type="dxa" w:w="2400"/>
            <w:shd w:fill="FFFFFF" w:val="clear"/>
            <w:tcMar>
              <w:top w:type="dxa" w:w="90"/>
              <w:left w:type="dxa" w:w="120"/>
              <w:bottom w:type="dxa" w:w="90"/>
              <w:right w:type="dxa" w:w="120"/>
            </w:tcMar>
            <w:vAlign w:val="center"/>
          </w:tcPr>
          <w:p>
            <w:r>
              <w:rPr>
                <w:sz w:val="19"/>
                <w:szCs w:val="19"/>
              </w:rPr>
              <w:t xml:space="preserve">78 / 100</w:t>
            </w:r>
          </w:p>
        </w:tc>
        <w:tc>
          <w:tcPr>
            <w:tcW w:type="dxa" w:w="4350"/>
            <w:shd w:fill="FFFFFF" w:val="clear"/>
            <w:tcMar>
              <w:top w:type="dxa" w:w="90"/>
              <w:left w:type="dxa" w:w="120"/>
              <w:bottom w:type="dxa" w:w="90"/>
              <w:right w:type="dxa" w:w="120"/>
            </w:tcMar>
            <w:vAlign w:val="center"/>
          </w:tcPr>
          <w:p>
            <w:r>
              <w:rPr>
                <w:sz w:val="19"/>
                <w:szCs w:val="19"/>
              </w:rPr>
              <w:t xml:space="preserve">Sound thesis, unproven commercial case</w:t>
            </w:r>
          </w:p>
        </w:tc>
      </w:tr>
      <w:tr>
        <w:tc>
          <w:tcPr>
            <w:tcW w:type="dxa" w:w="2600"/>
            <w:shd w:fill="F2F2F2" w:val="clear"/>
            <w:tcMar>
              <w:top w:type="dxa" w:w="90"/>
              <w:left w:type="dxa" w:w="120"/>
              <w:bottom w:type="dxa" w:w="90"/>
              <w:right w:type="dxa" w:w="120"/>
            </w:tcMar>
            <w:vAlign w:val="center"/>
          </w:tcPr>
          <w:p>
            <w:r>
              <w:rPr>
                <w:sz w:val="19"/>
                <w:szCs w:val="19"/>
              </w:rPr>
              <w:t xml:space="preserve">Market Readiness</w:t>
            </w:r>
          </w:p>
        </w:tc>
        <w:tc>
          <w:tcPr>
            <w:tcW w:type="dxa" w:w="2400"/>
            <w:shd w:fill="F2F2F2" w:val="clear"/>
            <w:tcMar>
              <w:top w:type="dxa" w:w="90"/>
              <w:left w:type="dxa" w:w="120"/>
              <w:bottom w:type="dxa" w:w="90"/>
              <w:right w:type="dxa" w:w="120"/>
            </w:tcMar>
            <w:vAlign w:val="center"/>
          </w:tcPr>
          <w:p>
            <w:r>
              <w:rPr>
                <w:sz w:val="19"/>
                <w:szCs w:val="19"/>
              </w:rPr>
              <w:t xml:space="preserve">76 / 100</w:t>
            </w:r>
          </w:p>
        </w:tc>
        <w:tc>
          <w:tcPr>
            <w:tcW w:type="dxa" w:w="4350"/>
            <w:shd w:fill="F2F2F2" w:val="clear"/>
            <w:tcMar>
              <w:top w:type="dxa" w:w="90"/>
              <w:left w:type="dxa" w:w="120"/>
              <w:bottom w:type="dxa" w:w="90"/>
              <w:right w:type="dxa" w:w="120"/>
            </w:tcMar>
            <w:vAlign w:val="center"/>
          </w:tcPr>
          <w:p>
            <w:r>
              <w:rPr>
                <w:sz w:val="19"/>
                <w:szCs w:val="19"/>
              </w:rPr>
              <w:t xml:space="preserve">Category fit strong; demand unvalidated</w:t>
            </w:r>
          </w:p>
        </w:tc>
      </w:tr>
      <w:tr>
        <w:tc>
          <w:tcPr>
            <w:tcW w:type="dxa" w:w="2600"/>
            <w:shd w:fill="FFFFFF" w:val="clear"/>
            <w:tcMar>
              <w:top w:type="dxa" w:w="90"/>
              <w:left w:type="dxa" w:w="120"/>
              <w:bottom w:type="dxa" w:w="90"/>
              <w:right w:type="dxa" w:w="120"/>
            </w:tcMar>
            <w:vAlign w:val="center"/>
          </w:tcPr>
          <w:p>
            <w:r>
              <w:rPr>
                <w:sz w:val="19"/>
                <w:szCs w:val="19"/>
              </w:rPr>
              <w:t xml:space="preserve">Financial Attractiveness</w:t>
            </w:r>
          </w:p>
        </w:tc>
        <w:tc>
          <w:tcPr>
            <w:tcW w:type="dxa" w:w="2400"/>
            <w:shd w:fill="FFFFFF" w:val="clear"/>
            <w:tcMar>
              <w:top w:type="dxa" w:w="90"/>
              <w:left w:type="dxa" w:w="120"/>
              <w:bottom w:type="dxa" w:w="90"/>
              <w:right w:type="dxa" w:w="120"/>
            </w:tcMar>
            <w:vAlign w:val="center"/>
          </w:tcPr>
          <w:p>
            <w:r>
              <w:rPr>
                <w:sz w:val="19"/>
                <w:szCs w:val="19"/>
              </w:rPr>
              <w:t xml:space="preserve">74 / 100</w:t>
            </w:r>
          </w:p>
        </w:tc>
        <w:tc>
          <w:tcPr>
            <w:tcW w:type="dxa" w:w="4350"/>
            <w:shd w:fill="FFFFFF" w:val="clear"/>
            <w:tcMar>
              <w:top w:type="dxa" w:w="90"/>
              <w:left w:type="dxa" w:w="120"/>
              <w:bottom w:type="dxa" w:w="90"/>
              <w:right w:type="dxa" w:w="120"/>
            </w:tcMar>
            <w:vAlign w:val="center"/>
          </w:tcPr>
          <w:p>
            <w:r>
              <w:rPr>
                <w:sz w:val="19"/>
                <w:szCs w:val="19"/>
              </w:rPr>
              <w:t xml:space="preserve">No unit economics or sensitivity model yet</w:t>
            </w:r>
          </w:p>
        </w:tc>
      </w:tr>
      <w:tr>
        <w:tc>
          <w:tcPr>
            <w:tcW w:type="dxa" w:w="2600"/>
            <w:shd w:fill="F2F2F2" w:val="clear"/>
            <w:tcMar>
              <w:top w:type="dxa" w:w="90"/>
              <w:left w:type="dxa" w:w="120"/>
              <w:bottom w:type="dxa" w:w="90"/>
              <w:right w:type="dxa" w:w="120"/>
            </w:tcMar>
            <w:vAlign w:val="center"/>
          </w:tcPr>
          <w:p>
            <w:r>
              <w:rPr>
                <w:sz w:val="19"/>
                <w:szCs w:val="19"/>
              </w:rPr>
              <w:t xml:space="preserve">Competitive Advantage</w:t>
            </w:r>
          </w:p>
        </w:tc>
        <w:tc>
          <w:tcPr>
            <w:tcW w:type="dxa" w:w="2400"/>
            <w:shd w:fill="F2F2F2" w:val="clear"/>
            <w:tcMar>
              <w:top w:type="dxa" w:w="90"/>
              <w:left w:type="dxa" w:w="120"/>
              <w:bottom w:type="dxa" w:w="90"/>
              <w:right w:type="dxa" w:w="120"/>
            </w:tcMar>
            <w:vAlign w:val="center"/>
          </w:tcPr>
          <w:p>
            <w:r>
              <w:rPr>
                <w:sz w:val="19"/>
                <w:szCs w:val="19"/>
              </w:rPr>
              <w:t xml:space="preserve">68 / 100</w:t>
            </w:r>
          </w:p>
        </w:tc>
        <w:tc>
          <w:tcPr>
            <w:tcW w:type="dxa" w:w="4350"/>
            <w:shd w:fill="F2F2F2" w:val="clear"/>
            <w:tcMar>
              <w:top w:type="dxa" w:w="90"/>
              <w:left w:type="dxa" w:w="120"/>
              <w:bottom w:type="dxa" w:w="90"/>
              <w:right w:type="dxa" w:w="120"/>
            </w:tcMar>
            <w:vAlign w:val="center"/>
          </w:tcPr>
          <w:p>
            <w:r>
              <w:rPr>
                <w:sz w:val="19"/>
                <w:szCs w:val="19"/>
              </w:rPr>
              <w:t xml:space="preserve">Real regional analytics competitor identified</w:t>
            </w:r>
          </w:p>
        </w:tc>
      </w:tr>
      <w:tr>
        <w:tc>
          <w:tcPr>
            <w:tcW w:type="dxa" w:w="2600"/>
            <w:shd w:fill="FFFFFF" w:val="clear"/>
            <w:tcMar>
              <w:top w:type="dxa" w:w="90"/>
              <w:left w:type="dxa" w:w="120"/>
              <w:bottom w:type="dxa" w:w="90"/>
              <w:right w:type="dxa" w:w="120"/>
            </w:tcMar>
            <w:vAlign w:val="center"/>
          </w:tcPr>
          <w:p>
            <w:r>
              <w:rPr>
                <w:sz w:val="19"/>
                <w:szCs w:val="19"/>
              </w:rPr>
              <w:t xml:space="preserve">Scalability</w:t>
            </w:r>
          </w:p>
        </w:tc>
        <w:tc>
          <w:tcPr>
            <w:tcW w:type="dxa" w:w="2400"/>
            <w:shd w:fill="FFFFFF" w:val="clear"/>
            <w:tcMar>
              <w:top w:type="dxa" w:w="90"/>
              <w:left w:type="dxa" w:w="120"/>
              <w:bottom w:type="dxa" w:w="90"/>
              <w:right w:type="dxa" w:w="120"/>
            </w:tcMar>
            <w:vAlign w:val="center"/>
          </w:tcPr>
          <w:p>
            <w:r>
              <w:rPr>
                <w:sz w:val="19"/>
                <w:szCs w:val="19"/>
              </w:rPr>
              <w:t xml:space="preserve">82 / 100</w:t>
            </w:r>
          </w:p>
        </w:tc>
        <w:tc>
          <w:tcPr>
            <w:tcW w:type="dxa" w:w="4350"/>
            <w:shd w:fill="FFFFFF" w:val="clear"/>
            <w:tcMar>
              <w:top w:type="dxa" w:w="90"/>
              <w:left w:type="dxa" w:w="120"/>
              <w:bottom w:type="dxa" w:w="90"/>
              <w:right w:type="dxa" w:w="120"/>
            </w:tcMar>
            <w:vAlign w:val="center"/>
          </w:tcPr>
          <w:p>
            <w:r>
              <w:rPr>
                <w:sz w:val="19"/>
                <w:szCs w:val="19"/>
              </w:rPr>
              <w:t xml:space="preserve">Tempered by reference company's capital-light profile</w:t>
            </w:r>
          </w:p>
        </w:tc>
      </w:tr>
      <w:tr>
        <w:tc>
          <w:tcPr>
            <w:tcW w:type="dxa" w:w="2600"/>
            <w:shd w:fill="F2F2F2" w:val="clear"/>
            <w:tcMar>
              <w:top w:type="dxa" w:w="90"/>
              <w:left w:type="dxa" w:w="120"/>
              <w:bottom w:type="dxa" w:w="90"/>
              <w:right w:type="dxa" w:w="120"/>
            </w:tcMar>
            <w:vAlign w:val="center"/>
          </w:tcPr>
          <w:p>
            <w:r>
              <w:rPr>
                <w:sz w:val="19"/>
                <w:szCs w:val="19"/>
              </w:rPr>
              <w:t xml:space="preserve">Execution Difficulty</w:t>
            </w:r>
          </w:p>
        </w:tc>
        <w:tc>
          <w:tcPr>
            <w:tcW w:type="dxa" w:w="2400"/>
            <w:shd w:fill="F2F2F2" w:val="clear"/>
            <w:tcMar>
              <w:top w:type="dxa" w:w="90"/>
              <w:left w:type="dxa" w:w="120"/>
              <w:bottom w:type="dxa" w:w="90"/>
              <w:right w:type="dxa" w:w="120"/>
            </w:tcMar>
            <w:vAlign w:val="center"/>
          </w:tcPr>
          <w:p>
            <w:r>
              <w:rPr>
                <w:sz w:val="19"/>
                <w:szCs w:val="19"/>
              </w:rPr>
              <w:t xml:space="preserve">94 / 100 (higher = harder)</w:t>
            </w:r>
          </w:p>
        </w:tc>
        <w:tc>
          <w:tcPr>
            <w:tcW w:type="dxa" w:w="4350"/>
            <w:shd w:fill="F2F2F2" w:val="clear"/>
            <w:tcMar>
              <w:top w:type="dxa" w:w="90"/>
              <w:left w:type="dxa" w:w="120"/>
              <w:bottom w:type="dxa" w:w="90"/>
              <w:right w:type="dxa" w:w="120"/>
            </w:tcMar>
            <w:vAlign w:val="center"/>
          </w:tcPr>
          <w:p>
            <w:r>
              <w:rPr>
                <w:sz w:val="19"/>
                <w:szCs w:val="19"/>
              </w:rPr>
              <w:t xml:space="preserve">Multi-disciplinary build: logistics + data + AI + B2B sales</w:t>
            </w:r>
          </w:p>
        </w:tc>
      </w:tr>
    </w:tbl>
    <w:p>
      <w:r>
        <w:br w:type="page"/>
      </w:r>
    </w:p>
    <w:p>
      <w:pPr>
        <w:pStyle w:val="Heading1"/>
        <w:pBdr>
          <w:bottom w:val="single" w:color="1F2A44" w:sz="8" w:space="4"/>
        </w:pBdr>
        <w:spacing w:after="200" w:before="400"/>
      </w:pPr>
      <w:r>
        <w:rPr>
          <w:b/>
          <w:bCs/>
          <w:color w:val="1F2A44"/>
          <w:sz w:val="30"/>
          <w:szCs w:val="30"/>
        </w:rPr>
        <w:t xml:space="preserve">11. Committee Decision &amp; Conditions for Approval</w:t>
      </w:r>
    </w:p>
    <w:tbl>
      <w:tblPr>
        <w:tblW w:type="pct" w:w="100%"/>
        <w:tblBorders>
          <w:top w:val="single" w:color="D68910" w:sz="6"/>
          <w:left w:val="single" w:color="D68910" w:sz="6"/>
          <w:bottom w:val="single" w:color="D68910" w:sz="6"/>
          <w:right w:val="single" w:color="D68910" w:sz="6"/>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100"/>
            </w:pPr>
            <w:r>
              <w:rPr>
                <w:b/>
                <w:bCs/>
                <w:color w:val="D68910"/>
                <w:sz w:val="23"/>
                <w:szCs w:val="23"/>
              </w:rPr>
              <w:t xml:space="preserve">Decision</w:t>
            </w:r>
          </w:p>
          <w:p>
            <w:pPr>
              <w:spacing w:after="60"/>
            </w:pPr>
            <w:r>
              <w:rPr>
                <w:sz w:val="20"/>
                <w:szCs w:val="20"/>
              </w:rPr>
              <w:t xml:space="preserve">• CONDITIONAL APPROVAL. Fund a $15,000–25,000, 60-day commercial validation sprint. Do not approve the $90–120k MVP or the $303k full build at this stage.</w:t>
            </w:r>
          </w:p>
        </w:tc>
      </w:tr>
    </w:tbl>
    <w:p>
      <w:pPr>
        <w:pStyle w:val="Heading3"/>
        <w:spacing w:after="100" w:before="200"/>
      </w:pPr>
      <w:r>
        <w:rPr>
          <w:b/>
          <w:bCs/>
          <w:color w:val="374151"/>
          <w:sz w:val="21"/>
          <w:szCs w:val="21"/>
        </w:rPr>
        <w:t xml:space="preserve">Validation sprint scope (60 days, pre-funded separately from the main build budget)</w:t>
      </w:r>
    </w:p>
    <w:p>
      <w:pPr>
        <w:pStyle w:val="ListParagraph"/>
        <w:numPr>
          <w:ilvl w:val="0"/>
          <w:numId w:val="1"/>
        </w:numPr>
        <w:spacing w:after="70"/>
      </w:pPr>
      <w:r>
        <w:rPr>
          <w:sz w:val="21"/>
          <w:szCs w:val="21"/>
        </w:rPr>
        <w:t xml:space="preserve">30–50 structured interviews with Egyptian FMCG/beauty/pharma marketing, innovation, and consumer-insight decision-makers.</w:t>
      </w:r>
    </w:p>
    <w:p>
      <w:pPr>
        <w:pStyle w:val="ListParagraph"/>
        <w:numPr>
          <w:ilvl w:val="0"/>
          <w:numId w:val="1"/>
        </w:numPr>
        <w:spacing w:after="70"/>
      </w:pPr>
      <w:r>
        <w:rPr>
          <w:sz w:val="21"/>
          <w:szCs w:val="21"/>
        </w:rPr>
        <w:t xml:space="preserve">Direct confirmation of whether Marketeers Research or any regional player already offers a comparable sampling-to-data product.</w:t>
      </w:r>
    </w:p>
    <w:p>
      <w:pPr>
        <w:pStyle w:val="ListParagraph"/>
        <w:numPr>
          <w:ilvl w:val="0"/>
          <w:numId w:val="1"/>
        </w:numPr>
        <w:spacing w:after="70"/>
      </w:pPr>
      <w:r>
        <w:rPr>
          <w:sz w:val="21"/>
          <w:szCs w:val="21"/>
        </w:rPr>
        <w:t xml:space="preserve">At least 5 signed Letters of Intent or paid-pilot commitments from target brands.</w:t>
      </w:r>
    </w:p>
    <w:p>
      <w:pPr>
        <w:pStyle w:val="ListParagraph"/>
        <w:numPr>
          <w:ilvl w:val="0"/>
          <w:numId w:val="1"/>
        </w:numPr>
        <w:spacing w:after="70"/>
      </w:pPr>
      <w:r>
        <w:rPr>
          <w:sz w:val="21"/>
          <w:szCs w:val="21"/>
        </w:rPr>
        <w:t xml:space="preserve">A bottom-up Egypt TAM model (FMCG companies × campaigns/year × average sampling/research budget × addressable share), replacing the current top-down estimate.</w:t>
      </w:r>
    </w:p>
    <w:p>
      <w:pPr>
        <w:pStyle w:val="ListParagraph"/>
        <w:numPr>
          <w:ilvl w:val="0"/>
          <w:numId w:val="1"/>
        </w:numPr>
        <w:spacing w:after="70"/>
      </w:pPr>
      <w:r>
        <w:rPr>
          <w:sz w:val="21"/>
          <w:szCs w:val="21"/>
        </w:rPr>
        <w:t xml:space="preserve">Confirmed willingness-to-pay at or near the proposed $4,000–20,000 campaign price points.</w:t>
      </w:r>
    </w:p>
    <w:p>
      <w:pPr>
        <w:pStyle w:val="Heading3"/>
        <w:spacing w:after="100" w:before="200"/>
      </w:pPr>
      <w:r>
        <w:rPr>
          <w:b/>
          <w:bCs/>
          <w:color w:val="374151"/>
          <w:sz w:val="21"/>
          <w:szCs w:val="21"/>
        </w:rPr>
        <w:t xml:space="preserve">Go / No-Go criteria at the end of the sprint</w:t>
      </w:r>
    </w:p>
    <w:p>
      <w:pPr>
        <w:pStyle w:val="ListParagraph"/>
        <w:numPr>
          <w:ilvl w:val="0"/>
          <w:numId w:val="1"/>
        </w:numPr>
        <w:spacing w:after="70"/>
      </w:pPr>
      <w:r>
        <w:rPr>
          <w:sz w:val="21"/>
          <w:szCs w:val="21"/>
        </w:rPr>
        <w:t xml:space="preserve">GO — full MVP funding — if 5+ LOIs are secured and at least 3 brands confirm willingness to pay within 20% of the proposed pricing.</w:t>
      </w:r>
    </w:p>
    <w:p>
      <w:pPr>
        <w:pStyle w:val="ListParagraph"/>
        <w:numPr>
          <w:ilvl w:val="0"/>
          <w:numId w:val="1"/>
        </w:numPr>
        <w:spacing w:after="70"/>
      </w:pPr>
      <w:r>
        <w:rPr>
          <w:sz w:val="21"/>
          <w:szCs w:val="21"/>
        </w:rPr>
        <w:t xml:space="preserve">MODIFY — if demand is confirmed but pricing expectations are materially lower — revisit the revenue mix and cost structure before funding.</w:t>
      </w:r>
    </w:p>
    <w:p>
      <w:pPr>
        <w:pStyle w:val="ListParagraph"/>
        <w:numPr>
          <w:ilvl w:val="0"/>
          <w:numId w:val="1"/>
        </w:numPr>
        <w:spacing w:after="70"/>
      </w:pPr>
      <w:r>
        <w:rPr>
          <w:sz w:val="21"/>
          <w:szCs w:val="21"/>
        </w:rPr>
        <w:t xml:space="preserve">NO-GO — if fewer than 3 brands express genuine interest after direct outreach — do not proceed to build.</w:t>
      </w:r>
    </w:p>
    <w:p>
      <w:pPr>
        <w:pStyle w:val="Heading2"/>
        <w:spacing w:after="140" w:before="280"/>
      </w:pPr>
      <w:r>
        <w:rPr>
          <w:b/>
          <w:bCs/>
          <w:color w:val="1F2A44"/>
          <w:sz w:val="24"/>
          <w:szCs w:val="24"/>
        </w:rPr>
        <w:t xml:space="preserve">Confidence Assessment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1700"/>
        <w:gridCol w:w="5050"/>
      </w:tblGrid>
      <w:tr>
        <w:trPr>
          <w:tblHeader/>
        </w:trPr>
        <w:tc>
          <w:tcPr>
            <w:tcW w:type="dxa" w:w="2600"/>
            <w:shd w:fill="1F2A44" w:val="clear"/>
            <w:tcMar>
              <w:top w:type="dxa" w:w="100"/>
              <w:left w:type="dxa" w:w="120"/>
              <w:bottom w:type="dxa" w:w="100"/>
              <w:right w:type="dxa" w:w="120"/>
            </w:tcMar>
            <w:vAlign w:val="center"/>
          </w:tcPr>
          <w:p>
            <w:r>
              <w:rPr>
                <w:b/>
                <w:bCs/>
                <w:color w:val="FFFFFF"/>
                <w:sz w:val="19"/>
                <w:szCs w:val="19"/>
              </w:rPr>
              <w:t xml:space="preserve">Dimension</w:t>
            </w:r>
          </w:p>
        </w:tc>
        <w:tc>
          <w:tcPr>
            <w:tcW w:type="dxa" w:w="1700"/>
            <w:shd w:fill="1F2A44" w:val="clear"/>
            <w:tcMar>
              <w:top w:type="dxa" w:w="100"/>
              <w:left w:type="dxa" w:w="120"/>
              <w:bottom w:type="dxa" w:w="100"/>
              <w:right w:type="dxa" w:w="120"/>
            </w:tcMar>
            <w:vAlign w:val="center"/>
          </w:tcPr>
          <w:p>
            <w:r>
              <w:rPr>
                <w:b/>
                <w:bCs/>
                <w:color w:val="FFFFFF"/>
                <w:sz w:val="19"/>
                <w:szCs w:val="19"/>
              </w:rPr>
              <w:t xml:space="preserve">Confidence</w:t>
            </w:r>
          </w:p>
        </w:tc>
        <w:tc>
          <w:tcPr>
            <w:tcW w:type="dxa" w:w="5050"/>
            <w:shd w:fill="1F2A44" w:val="clear"/>
            <w:tcMar>
              <w:top w:type="dxa" w:w="100"/>
              <w:left w:type="dxa" w:w="120"/>
              <w:bottom w:type="dxa" w:w="100"/>
              <w:right w:type="dxa" w:w="120"/>
            </w:tcMar>
            <w:vAlign w:val="center"/>
          </w:tcPr>
          <w:p>
            <w:r>
              <w:rPr>
                <w:b/>
                <w:bCs/>
                <w:color w:val="FFFFFF"/>
                <w:sz w:val="19"/>
                <w:szCs w:val="19"/>
              </w:rPr>
              <w:t xml:space="preserve">Basis</w:t>
            </w:r>
          </w:p>
        </w:tc>
      </w:tr>
      <w:tr>
        <w:tc>
          <w:tcPr>
            <w:tcW w:type="dxa" w:w="2600"/>
            <w:shd w:fill="FFFFFF" w:val="clear"/>
            <w:tcMar>
              <w:top w:type="dxa" w:w="90"/>
              <w:left w:type="dxa" w:w="120"/>
              <w:bottom w:type="dxa" w:w="90"/>
              <w:right w:type="dxa" w:w="120"/>
            </w:tcMar>
            <w:vAlign w:val="center"/>
          </w:tcPr>
          <w:p>
            <w:r>
              <w:rPr>
                <w:sz w:val="19"/>
                <w:szCs w:val="19"/>
              </w:rPr>
              <w:t xml:space="preserve">Strategic reframing (data &gt; product)</w:t>
            </w:r>
          </w:p>
        </w:tc>
        <w:tc>
          <w:tcPr>
            <w:tcW w:type="dxa" w:w="1700"/>
            <w:shd w:fill="FFFFFF" w:val="clear"/>
            <w:tcMar>
              <w:top w:type="dxa" w:w="90"/>
              <w:left w:type="dxa" w:w="120"/>
              <w:bottom w:type="dxa" w:w="90"/>
              <w:right w:type="dxa" w:w="120"/>
            </w:tcMar>
            <w:vAlign w:val="center"/>
          </w:tcPr>
          <w:p>
            <w:r>
              <w:rPr>
                <w:sz w:val="19"/>
                <w:szCs w:val="19"/>
              </w:rPr>
              <w:t xml:space="preserve">High</w:t>
            </w:r>
          </w:p>
        </w:tc>
        <w:tc>
          <w:tcPr>
            <w:tcW w:type="dxa" w:w="5050"/>
            <w:shd w:fill="FFFFFF" w:val="clear"/>
            <w:tcMar>
              <w:top w:type="dxa" w:w="90"/>
              <w:left w:type="dxa" w:w="120"/>
              <w:bottom w:type="dxa" w:w="90"/>
              <w:right w:type="dxa" w:w="120"/>
            </w:tcMar>
            <w:vAlign w:val="center"/>
          </w:tcPr>
          <w:p>
            <w:r>
              <w:rPr>
                <w:sz w:val="19"/>
                <w:szCs w:val="19"/>
              </w:rPr>
              <w:t xml:space="preserve">Well-supported by industry pattern and internal logic</w:t>
            </w:r>
          </w:p>
        </w:tc>
      </w:tr>
      <w:tr>
        <w:tc>
          <w:tcPr>
            <w:tcW w:type="dxa" w:w="2600"/>
            <w:shd w:fill="F2F2F2" w:val="clear"/>
            <w:tcMar>
              <w:top w:type="dxa" w:w="90"/>
              <w:left w:type="dxa" w:w="120"/>
              <w:bottom w:type="dxa" w:w="90"/>
              <w:right w:type="dxa" w:w="120"/>
            </w:tcMar>
            <w:vAlign w:val="center"/>
          </w:tcPr>
          <w:p>
            <w:r>
              <w:rPr>
                <w:sz w:val="19"/>
                <w:szCs w:val="19"/>
              </w:rPr>
              <w:t xml:space="preserve">Reference company facts</w:t>
            </w:r>
          </w:p>
        </w:tc>
        <w:tc>
          <w:tcPr>
            <w:tcW w:type="dxa" w:w="1700"/>
            <w:shd w:fill="F2F2F2" w:val="clear"/>
            <w:tcMar>
              <w:top w:type="dxa" w:w="90"/>
              <w:left w:type="dxa" w:w="120"/>
              <w:bottom w:type="dxa" w:w="90"/>
              <w:right w:type="dxa" w:w="120"/>
            </w:tcMar>
            <w:vAlign w:val="center"/>
          </w:tcPr>
          <w:p>
            <w:r>
              <w:rPr>
                <w:sz w:val="19"/>
                <w:szCs w:val="19"/>
              </w:rPr>
              <w:t xml:space="preserve">Moderate-High</w:t>
            </w:r>
          </w:p>
        </w:tc>
        <w:tc>
          <w:tcPr>
            <w:tcW w:type="dxa" w:w="5050"/>
            <w:shd w:fill="F2F2F2" w:val="clear"/>
            <w:tcMar>
              <w:top w:type="dxa" w:w="90"/>
              <w:left w:type="dxa" w:w="120"/>
              <w:bottom w:type="dxa" w:w="90"/>
              <w:right w:type="dxa" w:w="120"/>
            </w:tcMar>
            <w:vAlign w:val="center"/>
          </w:tcPr>
          <w:p>
            <w:r>
              <w:rPr>
                <w:sz w:val="19"/>
                <w:szCs w:val="19"/>
              </w:rPr>
              <w:t xml:space="preserve">Cross-verified across multiple independent sources</w:t>
            </w:r>
          </w:p>
        </w:tc>
      </w:tr>
      <w:tr>
        <w:tc>
          <w:tcPr>
            <w:tcW w:type="dxa" w:w="2600"/>
            <w:shd w:fill="FFFFFF" w:val="clear"/>
            <w:tcMar>
              <w:top w:type="dxa" w:w="90"/>
              <w:left w:type="dxa" w:w="120"/>
              <w:bottom w:type="dxa" w:w="90"/>
              <w:right w:type="dxa" w:w="120"/>
            </w:tcMar>
            <w:vAlign w:val="center"/>
          </w:tcPr>
          <w:p>
            <w:r>
              <w:rPr>
                <w:sz w:val="19"/>
                <w:szCs w:val="19"/>
              </w:rPr>
              <w:t xml:space="preserve">Egypt competitive landscape</w:t>
            </w:r>
          </w:p>
        </w:tc>
        <w:tc>
          <w:tcPr>
            <w:tcW w:type="dxa" w:w="1700"/>
            <w:shd w:fill="FFFFFF" w:val="clear"/>
            <w:tcMar>
              <w:top w:type="dxa" w:w="90"/>
              <w:left w:type="dxa" w:w="120"/>
              <w:bottom w:type="dxa" w:w="90"/>
              <w:right w:type="dxa" w:w="120"/>
            </w:tcMar>
            <w:vAlign w:val="center"/>
          </w:tcPr>
          <w:p>
            <w:r>
              <w:rPr>
                <w:sz w:val="19"/>
                <w:szCs w:val="19"/>
              </w:rPr>
              <w:t xml:space="preserve">Moderate</w:t>
            </w:r>
          </w:p>
        </w:tc>
        <w:tc>
          <w:tcPr>
            <w:tcW w:type="dxa" w:w="5050"/>
            <w:shd w:fill="FFFFFF" w:val="clear"/>
            <w:tcMar>
              <w:top w:type="dxa" w:w="90"/>
              <w:left w:type="dxa" w:w="120"/>
              <w:bottom w:type="dxa" w:w="90"/>
              <w:right w:type="dxa" w:w="120"/>
            </w:tcMar>
            <w:vAlign w:val="center"/>
          </w:tcPr>
          <w:p>
            <w:r>
              <w:rPr>
                <w:sz w:val="19"/>
                <w:szCs w:val="19"/>
              </w:rPr>
              <w:t xml:space="preserve">Named competitors verified; exact mechanic overlap unconfirmed</w:t>
            </w:r>
          </w:p>
        </w:tc>
      </w:tr>
      <w:tr>
        <w:tc>
          <w:tcPr>
            <w:tcW w:type="dxa" w:w="2600"/>
            <w:shd w:fill="F2F2F2" w:val="clear"/>
            <w:tcMar>
              <w:top w:type="dxa" w:w="90"/>
              <w:left w:type="dxa" w:w="120"/>
              <w:bottom w:type="dxa" w:w="90"/>
              <w:right w:type="dxa" w:w="120"/>
            </w:tcMar>
            <w:vAlign w:val="center"/>
          </w:tcPr>
          <w:p>
            <w:r>
              <w:rPr>
                <w:sz w:val="19"/>
                <w:szCs w:val="19"/>
              </w:rPr>
              <w:t xml:space="preserve">Egypt demand for the product</w:t>
            </w:r>
          </w:p>
        </w:tc>
        <w:tc>
          <w:tcPr>
            <w:tcW w:type="dxa" w:w="1700"/>
            <w:shd w:fill="F2F2F2" w:val="clear"/>
            <w:tcMar>
              <w:top w:type="dxa" w:w="90"/>
              <w:left w:type="dxa" w:w="120"/>
              <w:bottom w:type="dxa" w:w="90"/>
              <w:right w:type="dxa" w:w="120"/>
            </w:tcMar>
            <w:vAlign w:val="center"/>
          </w:tcPr>
          <w:p>
            <w:r>
              <w:rPr>
                <w:sz w:val="19"/>
                <w:szCs w:val="19"/>
              </w:rPr>
              <w:t xml:space="preserve">Low</w:t>
            </w:r>
          </w:p>
        </w:tc>
        <w:tc>
          <w:tcPr>
            <w:tcW w:type="dxa" w:w="5050"/>
            <w:shd w:fill="F2F2F2" w:val="clear"/>
            <w:tcMar>
              <w:top w:type="dxa" w:w="90"/>
              <w:left w:type="dxa" w:w="120"/>
              <w:bottom w:type="dxa" w:w="90"/>
              <w:right w:type="dxa" w:w="120"/>
            </w:tcMar>
            <w:vAlign w:val="center"/>
          </w:tcPr>
          <w:p>
            <w:r>
              <w:rPr>
                <w:sz w:val="19"/>
                <w:szCs w:val="19"/>
              </w:rPr>
              <w:t xml:space="preserve">Zero primary customer interviews to date</w:t>
            </w:r>
          </w:p>
        </w:tc>
      </w:tr>
      <w:tr>
        <w:tc>
          <w:tcPr>
            <w:tcW w:type="dxa" w:w="2600"/>
            <w:shd w:fill="FFFFFF" w:val="clear"/>
            <w:tcMar>
              <w:top w:type="dxa" w:w="90"/>
              <w:left w:type="dxa" w:w="120"/>
              <w:bottom w:type="dxa" w:w="90"/>
              <w:right w:type="dxa" w:w="120"/>
            </w:tcMar>
            <w:vAlign w:val="center"/>
          </w:tcPr>
          <w:p>
            <w:r>
              <w:rPr>
                <w:sz w:val="19"/>
                <w:szCs w:val="19"/>
              </w:rPr>
              <w:t xml:space="preserve">Financial projections</w:t>
            </w:r>
          </w:p>
        </w:tc>
        <w:tc>
          <w:tcPr>
            <w:tcW w:type="dxa" w:w="1700"/>
            <w:shd w:fill="FFFFFF" w:val="clear"/>
            <w:tcMar>
              <w:top w:type="dxa" w:w="90"/>
              <w:left w:type="dxa" w:w="120"/>
              <w:bottom w:type="dxa" w:w="90"/>
              <w:right w:type="dxa" w:w="120"/>
            </w:tcMar>
            <w:vAlign w:val="center"/>
          </w:tcPr>
          <w:p>
            <w:r>
              <w:rPr>
                <w:sz w:val="19"/>
                <w:szCs w:val="19"/>
              </w:rPr>
              <w:t xml:space="preserve">Low</w:t>
            </w:r>
          </w:p>
        </w:tc>
        <w:tc>
          <w:tcPr>
            <w:tcW w:type="dxa" w:w="5050"/>
            <w:shd w:fill="FFFFFF" w:val="clear"/>
            <w:tcMar>
              <w:top w:type="dxa" w:w="90"/>
              <w:left w:type="dxa" w:w="120"/>
              <w:bottom w:type="dxa" w:w="90"/>
              <w:right w:type="dxa" w:w="120"/>
            </w:tcMar>
            <w:vAlign w:val="center"/>
          </w:tcPr>
          <w:p>
            <w:r>
              <w:rPr>
                <w:sz w:val="19"/>
                <w:szCs w:val="19"/>
              </w:rPr>
              <w:t xml:space="preserve">Single scenario, no unit economics, unbenchmarked</w:t>
            </w:r>
          </w:p>
        </w:tc>
      </w:tr>
    </w:tbl>
    <w:p>
      <w:pPr>
        <w:pStyle w:val="Heading2"/>
        <w:spacing w:after="140" w:before="280"/>
      </w:pPr>
      <w:r>
        <w:rPr>
          <w:b/>
          <w:bCs/>
          <w:color w:val="1F2A44"/>
          <w:sz w:val="24"/>
          <w:szCs w:val="24"/>
        </w:rPr>
        <w:t xml:space="preserve">Remaining Unknowns</w:t>
      </w:r>
    </w:p>
    <w:p>
      <w:pPr>
        <w:pStyle w:val="ListParagraph"/>
        <w:numPr>
          <w:ilvl w:val="0"/>
          <w:numId w:val="1"/>
        </w:numPr>
        <w:spacing w:after="70"/>
      </w:pPr>
      <w:r>
        <w:rPr>
          <w:sz w:val="21"/>
          <w:szCs w:val="21"/>
        </w:rPr>
        <w:t xml:space="preserve">Whether any Egyptian/regional competitor already runs a near-identical sample-for-data mechanic.</w:t>
      </w:r>
    </w:p>
    <w:p>
      <w:pPr>
        <w:pStyle w:val="ListParagraph"/>
        <w:numPr>
          <w:ilvl w:val="0"/>
          <w:numId w:val="1"/>
        </w:numPr>
        <w:spacing w:after="70"/>
      </w:pPr>
      <w:r>
        <w:rPr>
          <w:sz w:val="21"/>
          <w:szCs w:val="21"/>
        </w:rPr>
        <w:t xml:space="preserve">Actual FMCG marketing, sampling, and market-research spend in Egypt in absolute terms.</w:t>
      </w:r>
    </w:p>
    <w:p>
      <w:pPr>
        <w:pStyle w:val="ListParagraph"/>
        <w:numPr>
          <w:ilvl w:val="0"/>
          <w:numId w:val="1"/>
        </w:numPr>
        <w:spacing w:after="70"/>
      </w:pPr>
      <w:r>
        <w:rPr>
          <w:sz w:val="21"/>
          <w:szCs w:val="21"/>
        </w:rPr>
        <w:t xml:space="preserve">Willingness-to-pay at the specific proposed price points.</w:t>
      </w:r>
    </w:p>
    <w:p>
      <w:pPr>
        <w:pStyle w:val="ListParagraph"/>
        <w:numPr>
          <w:ilvl w:val="0"/>
          <w:numId w:val="1"/>
        </w:numPr>
        <w:spacing w:after="70"/>
      </w:pPr>
      <w:r>
        <w:rPr>
          <w:sz w:val="21"/>
          <w:szCs w:val="21"/>
        </w:rPr>
        <w:t xml:space="preserve">Samplia's actual unit economics, campaign pricing, and client retention.</w:t>
      </w:r>
    </w:p>
    <w:p>
      <w:pPr>
        <w:pStyle w:val="ListParagraph"/>
        <w:numPr>
          <w:ilvl w:val="0"/>
          <w:numId w:val="1"/>
        </w:numPr>
        <w:spacing w:after="70"/>
      </w:pPr>
      <w:r>
        <w:rPr>
          <w:sz w:val="21"/>
          <w:szCs w:val="21"/>
        </w:rPr>
        <w:t xml:space="preserve">Whether Samplia or its global competitors have any existing MENA presence or expansion plans.</w:t>
      </w:r>
    </w:p>
    <w:p>
      <w:pPr>
        <w:pStyle w:val="ListParagraph"/>
        <w:numPr>
          <w:ilvl w:val="0"/>
          <w:numId w:val="1"/>
        </w:numPr>
        <w:spacing w:after="70"/>
      </w:pPr>
      <w:r>
        <w:rPr>
          <w:sz w:val="21"/>
          <w:szCs w:val="21"/>
        </w:rPr>
        <w:t xml:space="preserve">Egyptian data-protection enforcement practice under Law No. 151 of 2020 as applied to consumer-profiling business models.</w:t>
      </w:r>
    </w:p>
    <w:p>
      <w:pPr>
        <w:pStyle w:val="ListParagraph"/>
        <w:numPr>
          <w:ilvl w:val="0"/>
          <w:numId w:val="1"/>
        </w:numPr>
        <w:spacing w:after="70"/>
      </w:pPr>
      <w:r>
        <w:rPr>
          <w:sz w:val="21"/>
          <w:szCs w:val="21"/>
        </w:rPr>
        <w:t xml:space="preserve">Real consumer acquisition cost and retention behavior for a rewards-gated sampling app in Egypt specifically.</w:t>
      </w:r>
    </w:p>
    <w:p>
      <w:r>
        <w:br w:type="page"/>
      </w:r>
    </w:p>
    <w:p>
      <w:pPr>
        <w:pStyle w:val="Heading1"/>
        <w:pBdr>
          <w:bottom w:val="single" w:color="1F2A44" w:sz="8" w:space="4"/>
        </w:pBdr>
        <w:spacing w:after="200" w:before="400"/>
      </w:pPr>
      <w:r>
        <w:rPr>
          <w:b/>
          <w:bCs/>
          <w:color w:val="1F2A44"/>
          <w:sz w:val="30"/>
          <w:szCs w:val="30"/>
        </w:rPr>
        <w:t xml:space="preserve">Appendix — Document Provenance</w:t>
      </w:r>
    </w:p>
    <w:p>
      <w:pPr>
        <w:spacing w:after="140" w:line="276"/>
      </w:pPr>
      <w:r>
        <w:rPr>
          <w:sz w:val="21"/>
          <w:szCs w:val="21"/>
        </w:rPr>
        <w:t xml:space="preserve">This Final Edition consolidates and supersedes: an initial due-diligence draft on the Samplia/Egypt opportunity; an independently prepared screening note on an unrelated concept (subsequently found not to apply to this opportunity and excluded from the analysis); and a peer-review reconciliation that verified company facts, corrected the competitive landscape, and recalibrated the investment scorecard. All factual corrections and their sources are retained in the working file and available on request.</w:t>
      </w:r>
    </w:p>
    <w:p>
      <w:pPr>
        <w:pStyle w:val="Heading3"/>
        <w:spacing w:after="100" w:before="200"/>
      </w:pPr>
      <w:r>
        <w:rPr>
          <w:b/>
          <w:bCs/>
          <w:color w:val="374151"/>
          <w:sz w:val="21"/>
          <w:szCs w:val="21"/>
        </w:rPr>
        <w:t xml:space="preserve">Key sources</w:t>
      </w:r>
    </w:p>
    <w:p>
      <w:pPr>
        <w:pStyle w:val="ListParagraph"/>
        <w:numPr>
          <w:ilvl w:val="0"/>
          <w:numId w:val="1"/>
        </w:numPr>
        <w:spacing w:after="70"/>
      </w:pPr>
      <w:r>
        <w:rPr>
          <w:sz w:val="21"/>
          <w:szCs w:val="21"/>
        </w:rPr>
        <w:t xml:space="preserve">Tracxn — Samplia company profile (founding year, founders, funding status, competitor count).</w:t>
      </w:r>
    </w:p>
    <w:p>
      <w:pPr>
        <w:pStyle w:val="ListParagraph"/>
        <w:numPr>
          <w:ilvl w:val="0"/>
          <w:numId w:val="1"/>
        </w:numPr>
        <w:spacing w:after="70"/>
      </w:pPr>
      <w:r>
        <w:rPr>
          <w:sz w:val="21"/>
          <w:szCs w:val="21"/>
        </w:rPr>
        <w:t xml:space="preserve">Crunchbase — Samplia company profile.</w:t>
      </w:r>
    </w:p>
    <w:p>
      <w:pPr>
        <w:pStyle w:val="ListParagraph"/>
        <w:numPr>
          <w:ilvl w:val="0"/>
          <w:numId w:val="1"/>
        </w:numPr>
        <w:spacing w:after="70"/>
      </w:pPr>
      <w:r>
        <w:rPr>
          <w:sz w:val="21"/>
          <w:szCs w:val="21"/>
        </w:rPr>
        <w:t xml:space="preserve">Samplia official site (samplia.com/en).</w:t>
      </w:r>
    </w:p>
    <w:p>
      <w:pPr>
        <w:pStyle w:val="ListParagraph"/>
        <w:numPr>
          <w:ilvl w:val="0"/>
          <w:numId w:val="1"/>
        </w:numPr>
        <w:spacing w:after="70"/>
      </w:pPr>
      <w:r>
        <w:rPr>
          <w:sz w:val="21"/>
          <w:szCs w:val="21"/>
        </w:rPr>
        <w:t xml:space="preserve">Hostelco / Alimentaria trade-event materials — Samplia scale claims.</w:t>
      </w:r>
    </w:p>
    <w:p>
      <w:pPr>
        <w:pStyle w:val="ListParagraph"/>
        <w:numPr>
          <w:ilvl w:val="0"/>
          <w:numId w:val="1"/>
        </w:numPr>
        <w:spacing w:after="70"/>
      </w:pPr>
      <w:r>
        <w:rPr>
          <w:sz w:val="21"/>
          <w:szCs w:val="21"/>
        </w:rPr>
        <w:t xml:space="preserve">Marketeers Research — Egypt/KSA/GCC FMCG analytics platform.</w:t>
      </w:r>
    </w:p>
    <w:p>
      <w:pPr>
        <w:pStyle w:val="ListParagraph"/>
        <w:numPr>
          <w:ilvl w:val="0"/>
          <w:numId w:val="1"/>
        </w:numPr>
        <w:spacing w:after="70"/>
      </w:pPr>
      <w:r>
        <w:rPr>
          <w:sz w:val="21"/>
          <w:szCs w:val="21"/>
        </w:rPr>
        <w:t xml:space="preserve">BioNixus, Mena Intel, Spade Survey — Egypt market-research competitive landscape.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Investment Committee Memo — Final Edition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2026-07-26T16:58:00.588Z</dcterms:created>
  <dcterms:modified xsi:type="dcterms:W3CDTF">2026-07-26T16:58:00.609Z</dcterms:modified>
</cp:coreProperties>
</file>

<file path=docProps/custom.xml><?xml version="1.0" encoding="utf-8"?>
<Properties xmlns="http://schemas.openxmlformats.org/officeDocument/2006/custom-properties" xmlns:vt="http://schemas.openxmlformats.org/officeDocument/2006/docPropsVTypes"/>
</file>