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000"/>
        <w:jc w:val="center"/>
      </w:pPr>
      <w:r>
        <w:rPr>
          <w:rFonts w:ascii="Arial" w:cs="Arial" w:eastAsia="Arial" w:hAnsi="Arial"/>
          <w:b/>
          <w:bCs/>
          <w:color w:val="C49A22"/>
          <w:sz w:val="24"/>
          <w:szCs w:val="24"/>
          <w:rtl/>
        </w:rPr>
        <w:t xml:space="preserve">دليل تنفيذي مرجعي — بعد الموافقة</w:t>
      </w:r>
    </w:p>
    <w:p>
      <w:pPr>
        <w:bidi/>
        <w:spacing w:after="120" w:before="0"/>
        <w:jc w:val="center"/>
      </w:pPr>
      <w:r>
        <w:rPr>
          <w:rFonts w:ascii="Arial" w:cs="Arial" w:eastAsia="Arial" w:hAnsi="Arial"/>
          <w:b/>
          <w:bCs/>
          <w:color w:val="1A2B4A"/>
          <w:sz w:val="44"/>
          <w:szCs w:val="44"/>
          <w:rtl/>
        </w:rPr>
        <w:t xml:space="preserve">Radix Investors Circle 2026</w:t>
      </w:r>
    </w:p>
    <w:p>
      <w:pPr>
        <w:bidi/>
        <w:spacing w:after="360" w:before="0"/>
        <w:jc w:val="center"/>
      </w:pPr>
      <w:r>
        <w:rPr>
          <w:rFonts w:ascii="Arial" w:cs="Arial" w:eastAsia="Arial" w:hAnsi="Arial"/>
          <w:color w:val="6B7280"/>
          <w:sz w:val="24"/>
          <w:szCs w:val="24"/>
          <w:rtl/>
        </w:rPr>
        <w:t xml:space="preserve">خلاصة شاملة لكل القرارات، الأرقام، المسؤوليات، والمراحل اللازمة للتنفيذ — النسخة المُحسَّنة (بعد دمج توصيات الفريق الأزرق B1–B12)</w:t>
      </w:r>
    </w:p>
    <w:p>
      <w:pPr>
        <w:bidi/>
        <w:spacing w:after="80" w:before="0"/>
        <w:jc w:val="center"/>
      </w:pPr>
      <w:r>
        <w:rPr>
          <w:rFonts w:ascii="Arial" w:cs="Arial" w:eastAsia="Arial" w:hAnsi="Arial"/>
          <w:i/>
          <w:iCs/>
          <w:color w:val="C49A22"/>
          <w:sz w:val="19"/>
          <w:szCs w:val="19"/>
          <w:rtl/>
        </w:rPr>
        <w:t xml:space="preserve">مرجع واحد يجمع كل ما هو مهم لإدارة المشروع ومتابعته — لا يُلغي تقرير التدقيق الكامل (20 صفحة)، بل يُلخِّصه في صيغة قابلة للتنفيذ</w:t>
      </w:r>
    </w:p>
    <w:p>
      <w:pPr>
        <w:bidi/>
        <w:spacing w:after="1200" w:before="200"/>
        <w:jc w:val="center"/>
      </w:pPr>
      <w:r>
        <w:rPr>
          <w:rFonts w:ascii="Arial" w:cs="Arial" w:eastAsia="Arial" w:hAnsi="Arial"/>
          <w:color w:val="6B7280"/>
          <w:sz w:val="18"/>
          <w:szCs w:val="18"/>
          <w:rtl/>
        </w:rPr>
        <w:t xml:space="preserve">مراجعة مستقلة من طرف ثالث · مُعدّة للعرض على مجلس الإدارة · يونيو 2026</w:t>
      </w: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0. لقطة سريعة — المشروع في نظرة واحدة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العنصر</w:t>
            </w:r>
          </w:p>
        </w:tc>
        <w:tc>
          <w:tcPr>
            <w:tcW w:type="dxa" w:w="65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القيمة المعتمدة</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اسم المشروع الموحَّد</w:t>
            </w:r>
          </w:p>
        </w:tc>
        <w:tc>
          <w:tcPr>
            <w:tcW w:type="dxa" w:w="6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Radix Investors Circle 2026 (تم توحيد الاسم — كانت هناك 3 تسميات متفرقة، انظر §8)</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الفكرة الأساسية</w:t>
            </w:r>
          </w:p>
        </w:tc>
        <w:tc>
          <w:tcPr>
            <w:tcW w:type="dxa" w:w="6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بناء مجتمع مستثمرين دائم في الرياض (مصريون + عرب مختارون) عبر CRM، إحالات، شراكات مجتمعية، وفعالية بمسارين — بدلاً من معرض تقليدي لمرة واحدة</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المشاريع المُستهدَفة بالبيع</w:t>
            </w:r>
          </w:p>
        </w:tc>
        <w:tc>
          <w:tcPr>
            <w:tcW w:type="dxa" w:w="6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Ray Residence · Agile Business Complex · Spinner Towers</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الميزانية الإجمالية المعتمدة (سقف أعلى)</w:t>
            </w:r>
          </w:p>
        </w:tc>
        <w:tc>
          <w:tcPr>
            <w:tcW w:type="dxa" w:w="6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1,000,000–2,000,000 جنيه مصري — تُفرَج عنها على 3 دفعات مرحلية، لا دفعة واحدة (انظر §1)</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نموذج التمويل</w:t>
            </w:r>
          </w:p>
        </w:tc>
        <w:tc>
          <w:tcPr>
            <w:tcW w:type="dxa" w:w="6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مرحلي ببوابات Go/No-Go (3 مراحل: استكشاف ← بناء وإطلاق ← إغلاق وتقرير)</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صيغة الفعالية الرئيسية</w:t>
            </w:r>
          </w:p>
        </w:tc>
        <w:tc>
          <w:tcPr>
            <w:tcW w:type="dxa" w:w="6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مسارين: (أ) استقبال مجتمعي واسع للجميع + (ب) جلسة Investor Circle مغلقة لعملاء مؤهَّلين مسبقاً فقط (التحسين B12)</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مؤشرات الأداء الأساسية (مُعاد ضبطها بمعايير واقعية)</w:t>
            </w:r>
          </w:p>
        </w:tc>
        <w:tc>
          <w:tcPr>
            <w:tcW w:type="dxa" w:w="65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انظر §2 — تم تعديلها من الأرقام الأصلية المتفائلة إلى نطاقات محافظة/متوقَّعة/طموحة</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الحالة الحالية</w:t>
            </w:r>
          </w:p>
        </w:tc>
        <w:tc>
          <w:tcPr>
            <w:tcW w:type="dxa" w:w="65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تمت الموافقة على تنفيذ النسخة المُحسَّنة. الخطوة التالية: تفعيل المرحلة 1 (استكشاف) فوراً.</w:t>
            </w:r>
          </w:p>
        </w:tc>
      </w:tr>
    </w:tbl>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هذا الدليل هو مرجع شامل لكل قرار ورقم مهم تم اعتماده، لا خطة عمل يومية تفصيلية (تقويم يومي، تذكيرات، تكليفات فردية). الفريق المُنفِّذ يحتاج، بناءً على هذا الدليل، أن يبني جدول Excel/Trello تفصيلياً للمهام اليومية لكل مرحلة.</w:t>
      </w:r>
    </w:p>
    <w:p>
      <w:pPr>
        <w:pBdr>
          <w:bottom w:val="single" w:color="F3F4F6" w:sz="4"/>
        </w:pBdr>
        <w:spacing w:after="200" w:before="200"/>
      </w:pP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1. التمويل المرحلي والميزانية المعتمدة</w:t>
      </w:r>
    </w:p>
    <w:p>
      <w:pPr>
        <w:bidi/>
        <w:spacing w:after="60" w:before="60"/>
        <w:jc w:val="right"/>
      </w:pPr>
      <w:r>
        <w:rPr>
          <w:rFonts w:ascii="Arial" w:cs="Arial" w:eastAsia="Arial" w:hAnsi="Arial"/>
          <w:color w:val="0A0A0A"/>
          <w:sz w:val="21"/>
          <w:szCs w:val="21"/>
          <w:rtl/>
        </w:rPr>
        <w:t xml:space="preserve">بدلاً من الإفراج عن كامل 1–2 مليون جنيه دفعة واحدة (كما كان في الخطة الأصلية)، تم اعتماد نموذج تمويل مرحلي بثلاث دفعات، كل دفعة مشروطة بمراجعة Go/No-Go قبل الإفراج عن التالية (التحسين B1).</w:t>
      </w:r>
    </w:p>
    <w:p>
      <w:pPr>
        <w:pStyle w:val="Heading2"/>
        <w:bidi/>
        <w:spacing w:after="100" w:before="280"/>
        <w:jc w:val="right"/>
      </w:pPr>
      <w:r>
        <w:rPr>
          <w:rFonts w:ascii="Arial" w:cs="Arial" w:eastAsia="Arial" w:hAnsi="Arial"/>
          <w:b/>
          <w:bCs/>
          <w:color w:val="1A2B4A"/>
          <w:sz w:val="26"/>
          <w:szCs w:val="26"/>
          <w:rtl/>
        </w:rPr>
        <w:t xml:space="preserve">1.1 المراحل المالية الثلاث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300"/>
        <w:gridCol w:w="2000"/>
        <w:gridCol w:w="2460"/>
      </w:tblGrid>
      <w:tr>
        <w:trPr>
          <w:tblHeader/>
        </w:trPr>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المرحلة المالية</w:t>
            </w:r>
          </w:p>
        </w:tc>
        <w:tc>
          <w:tcPr>
            <w:tcW w:type="dxa" w:w="1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تغطي مراحل التنفيذ</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النسبة من الميزانية</w:t>
            </w:r>
          </w:p>
        </w:tc>
        <w:tc>
          <w:tcPr>
            <w:tcW w:type="dxa" w:w="2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المبلغ التقديري (جنيه)</w:t>
            </w:r>
          </w:p>
        </w:tc>
        <w:tc>
          <w:tcPr>
            <w:tcW w:type="dxa" w:w="24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بوابة الاعتماد للمرحلة التالية</w:t>
            </w:r>
          </w:p>
        </w:tc>
      </w:tr>
      <w:tr>
        <w:tc>
          <w:tcPr>
            <w:tcW w:type="dxa" w:w="18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right"/>
            </w:pPr>
            <w:r>
              <w:rPr>
                <w:rFonts w:ascii="Arial" w:cs="Arial" w:eastAsia="Arial" w:hAnsi="Arial"/>
                <w:b/>
                <w:bCs/>
                <w:color w:val="9A7D0A"/>
                <w:sz w:val="17"/>
                <w:szCs w:val="17"/>
                <w:rtl/>
              </w:rPr>
              <w:t xml:space="preserve">1 — استكشاف</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المراحل 0–2 (تدقيق CRM، إعادة تنشيط، رسم خريطة المجتمع)</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‎10–15%‎</w:t>
            </w:r>
          </w:p>
        </w:tc>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‎100,000–300,000‎</w:t>
            </w:r>
          </w:p>
        </w:tc>
        <w:tc>
          <w:tcPr>
            <w:tcW w:type="dxa" w:w="2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تقرير مكتوب: حجم قاعدة العملاء الفعلية + 5–10 شركاء مُسمَّون + تقييم أولي لحجم المجتمع المُتاح</w:t>
            </w:r>
          </w:p>
        </w:tc>
      </w:tr>
      <w:tr>
        <w:tc>
          <w:tcPr>
            <w:tcW w:type="dxa" w:w="1800"/>
            <w:tcBorders>
              <w:top w:val="single" w:color="D8DBE0" w:sz="1"/>
              <w:left w:val="single" w:color="D8DBE0" w:sz="1"/>
              <w:bottom w:val="single" w:color="D8DBE0" w:sz="1"/>
              <w:right w:val="single" w:color="D8DBE0" w:sz="1"/>
            </w:tcBorders>
            <w:shd w:fill="E3ECF7" w:val="clear"/>
            <w:tcMar>
              <w:top w:type="dxa" w:w="55"/>
              <w:left w:type="dxa" w:w="80"/>
              <w:bottom w:type="dxa" w:w="55"/>
              <w:right w:type="dxa" w:w="80"/>
            </w:tcMar>
            <w:vAlign w:val="center"/>
          </w:tcPr>
          <w:p>
            <w:pPr>
              <w:bidi/>
              <w:jc w:val="right"/>
            </w:pPr>
            <w:r>
              <w:rPr>
                <w:rFonts w:ascii="Arial" w:cs="Arial" w:eastAsia="Arial" w:hAnsi="Arial"/>
                <w:b/>
                <w:bCs/>
                <w:color w:val="1B4F8A"/>
                <w:sz w:val="17"/>
                <w:szCs w:val="17"/>
                <w:rtl/>
              </w:rPr>
              <w:t xml:space="preserve">2 — بناء وإطلاق</w:t>
            </w:r>
          </w:p>
        </w:tc>
        <w:tc>
          <w:tcPr>
            <w:tcW w:type="dxa" w:w="1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المراحل 3–6 (شراكات، توليد عملاء، إطلاق الدائرة، الفعالية)</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‎60–65%‎</w:t>
            </w:r>
          </w:p>
        </w:tc>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‎600,000–1,300,000‎</w:t>
            </w:r>
          </w:p>
        </w:tc>
        <w:tc>
          <w:tcPr>
            <w:tcW w:type="dxa" w:w="2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تقرير ما بعد الفعالية: أعداد الحضور الفعلية + نتائج الجلسة المغلقة + طلبات الزيارات الخاصة</w:t>
            </w:r>
          </w:p>
        </w:tc>
      </w:tr>
      <w:tr>
        <w:tc>
          <w:tcPr>
            <w:tcW w:type="dxa" w:w="18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3 — إغلاق وتقرير</w:t>
            </w:r>
          </w:p>
        </w:tc>
        <w:tc>
          <w:tcPr>
            <w:tcW w:type="dxa" w:w="1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المراحل 7–8 (متابعة المبيعات، تقرير وتكرار)</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‎20–25%‎</w:t>
            </w:r>
          </w:p>
        </w:tc>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‎200,000–500,000‎</w:t>
            </w:r>
          </w:p>
        </w:tc>
        <w:tc>
          <w:tcPr>
            <w:tcW w:type="dxa" w:w="2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تقرير ختامي: عقود موقَّعة + تكلفة الاكتساب الفعلية + توصية بشأن التوسّع لمدينة ثانية</w:t>
            </w:r>
          </w:p>
        </w:tc>
      </w:tr>
    </w:tbl>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هذا التوزيع تقديري ويُعاد ضبطه فعلياً بعد إتمام البند 2 من خطة المرحلة 1 (الحصول على بيانات سعر الوحدة/الهامش وبناء مصفوفة الحساسية، انظر §3) — لا يُعامَل كرقم نهائي حتى تتوفر تلك البيانات.</w:t>
      </w:r>
    </w:p>
    <w:p>
      <w:pPr>
        <w:pStyle w:val="Heading2"/>
        <w:bidi/>
        <w:spacing w:after="100" w:before="280"/>
        <w:jc w:val="right"/>
      </w:pPr>
      <w:r>
        <w:rPr>
          <w:rFonts w:ascii="Arial" w:cs="Arial" w:eastAsia="Arial" w:hAnsi="Arial"/>
          <w:b/>
          <w:bCs/>
          <w:color w:val="1A2B4A"/>
          <w:sz w:val="26"/>
          <w:szCs w:val="26"/>
          <w:rtl/>
        </w:rPr>
        <w:t xml:space="preserve">1.2 توزيع الميزانية الوظيفي (داخل المراحل 2–3 بشكل أساسي)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الفئة الوظيفية</w:t>
            </w:r>
          </w:p>
        </w:tc>
        <w:tc>
          <w:tcPr>
            <w:tcW w:type="dxa" w:w="16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النسبة الأصلية</w:t>
            </w:r>
          </w:p>
        </w:tc>
        <w:tc>
          <w:tcPr>
            <w:tcW w:type="dxa" w:w="49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ملاحظة التعديل</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توليد العملاء المحتملين</w:t>
            </w:r>
          </w:p>
        </w:tc>
        <w:tc>
          <w:tcPr>
            <w:tcW w:type="dxa" w:w="1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w:t>
            </w:r>
          </w:p>
        </w:tc>
        <w:tc>
          <w:tcPr>
            <w:tcW w:type="dxa" w:w="4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يُربَط الآن بخطة مزيج قنوات مُحدَّدة بدلاً من رقم مفتوح (انظر §4) — قد تتغيّر النسبة بعد تقدير حجم كل قناة</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الفعالية</w:t>
            </w:r>
          </w:p>
        </w:tc>
        <w:tc>
          <w:tcPr>
            <w:tcW w:type="dxa" w:w="1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w:t>
            </w:r>
          </w:p>
        </w:tc>
        <w:tc>
          <w:tcPr>
            <w:tcW w:type="dxa" w:w="4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يُعاد بناؤها كتقدير تفصيلي من القاعدة (Bottom-up) بدلاً من نسبة عامة — راجع §5 لمعيار التكلفة المرجعي قبل تثبيت أي رقم نهائي</w:t>
            </w:r>
          </w:p>
        </w:tc>
      </w:tr>
      <w:tr>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المتابعة بعد الفعالية</w:t>
            </w:r>
          </w:p>
        </w:tc>
        <w:tc>
          <w:tcPr>
            <w:tcW w:type="dxa" w:w="1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w:t>
            </w:r>
          </w:p>
        </w:tc>
        <w:tc>
          <w:tcPr>
            <w:tcW w:type="dxa" w:w="4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تُمَوِّل الآن بروتوكول متابعة محدَّد (72 ساعة + RSVP 30 يوماً، انظر §6) بدلاً من بند عام بلا برنامج</w:t>
            </w:r>
          </w:p>
        </w:tc>
      </w:tr>
      <w:tr>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الشراكات والعلاقات العامة</w:t>
            </w:r>
          </w:p>
        </w:tc>
        <w:tc>
          <w:tcPr>
            <w:tcW w:type="dxa" w:w="1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w:t>
            </w:r>
          </w:p>
        </w:tc>
        <w:tc>
          <w:tcPr>
            <w:tcW w:type="dxa" w:w="4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تُربَط بقائمة شركاء مُسمَّاة فعلياً (ناتجة من مرحلة الاستكشاف) لا فئة فارغة</w:t>
            </w:r>
          </w:p>
        </w:tc>
      </w:tr>
    </w:tbl>
    <w:p>
      <w:pPr>
        <w:pStyle w:val="ListParagraph"/>
        <w:numPr>
          <w:ilvl w:val="0"/>
          <w:numId w:val="2"/>
        </w:numPr>
        <w:bidi/>
        <w:spacing w:after="40" w:before="40"/>
        <w:jc w:val="right"/>
      </w:pPr>
      <w:r>
        <w:rPr>
          <w:rFonts w:ascii="Arial" w:cs="Arial" w:eastAsia="Arial" w:hAnsi="Arial"/>
          <w:color w:val="0A0A0A"/>
          <w:sz w:val="20"/>
          <w:szCs w:val="20"/>
          <w:rtl/>
        </w:rPr>
        <w:t xml:space="preserve">المراحل 0 و8 (تدقيق CRM، وتقرير/تكرار) لا تظهران في هذا التوزيع الرباعي لأنهما تُغطَّيان من مرحلة التمويل 1 و3 على التوالي (وقت فريق داخلي بشكل أساسي، لا بند ميزانية وظيفي منفصل).</w:t>
      </w:r>
    </w:p>
    <w:p>
      <w:pPr>
        <w:pStyle w:val="ListParagraph"/>
        <w:numPr>
          <w:ilvl w:val="0"/>
          <w:numId w:val="2"/>
        </w:numPr>
        <w:bidi/>
        <w:spacing w:after="40" w:before="40"/>
        <w:jc w:val="right"/>
      </w:pPr>
      <w:r>
        <w:rPr>
          <w:rFonts w:ascii="Arial" w:cs="Arial" w:eastAsia="Arial" w:hAnsi="Arial"/>
          <w:color w:val="0A0A0A"/>
          <w:sz w:val="20"/>
          <w:szCs w:val="20"/>
          <w:rtl/>
        </w:rPr>
        <w:t xml:space="preserve">بند احتياطي صرف عملة (ريال/جنيه): يُضاف 5–10% احتياطي على كل التكاليف المُقامة فعلياً بالريال السعودي (التحسين B11) — يُحسَب ضمن مرحلة التمويل 2.</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2. مؤشرات الأداء (KPIs) — مُعاد ضبطها بمعايير واقعية</w:t>
      </w:r>
    </w:p>
    <w:p>
      <w:pPr>
        <w:bidi/>
        <w:spacing w:after="60" w:before="60"/>
        <w:jc w:val="right"/>
      </w:pPr>
      <w:r>
        <w:rPr>
          <w:rFonts w:ascii="Arial" w:cs="Arial" w:eastAsia="Arial" w:hAnsi="Arial"/>
          <w:color w:val="0A0A0A"/>
          <w:sz w:val="21"/>
          <w:szCs w:val="21"/>
          <w:rtl/>
        </w:rPr>
        <w:t xml:space="preserve">الأرقام الأصلية (150 حاضراً، 10–35 وحدة) كانت ثابتة منذ المقترح الأول دون إعادة حساب. هذا الجدول يستبدلها بنطاقات محافظة/متوقَّعة/طموحة، مُستنَدة إلى معايير مرجعية لفعاليات مماثلة (مستوى الثقة: منخفض إلى متوسط — تُضبَط هذه الأرقام تلقائياً بمجرد توفر بيانات Radix التاريخية الفعلية من مرحلة الاستكشاف).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300"/>
        <w:gridCol w:w="3460"/>
      </w:tblGrid>
      <w:tr>
        <w:trPr>
          <w:tblHeader/>
        </w:trPr>
        <w:tc>
          <w:tcPr>
            <w:tcW w:type="dxa" w:w="2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المرحلة في المسار</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محافظ</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متوقَّع</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طموح</w:t>
            </w:r>
          </w:p>
        </w:tc>
        <w:tc>
          <w:tcPr>
            <w:tcW w:type="dxa" w:w="34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ملاحظة</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عملاء محتملون</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‎700‎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‎1,100‎</w:t>
            </w:r>
          </w:p>
        </w:tc>
        <w:tc>
          <w:tcPr>
            <w:tcW w:type="dxa" w:w="3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يُحدَّد بدقة بعد إتمام خطة مزيج القنوات في §4</w:t>
            </w:r>
          </w:p>
        </w:tc>
      </w:tr>
      <w:tr>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عملاء مؤهَّلون</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‎60 (15%)‎</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‎150 (21%)‎</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‎250 (23%)‎</w:t>
            </w:r>
          </w:p>
        </w:tc>
        <w:tc>
          <w:tcPr>
            <w:tcW w:type="dxa" w:w="3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حسب معادلة التقييم الجديدة في §4.2</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الاستقبال المجتمعي (المسار الواسع)</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‎40–60‎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‎80–100‎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‎110–140‎</w:t>
            </w:r>
          </w:p>
        </w:tc>
        <w:tc>
          <w:tcPr>
            <w:tcW w:type="dxa" w:w="3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هذا هو الحضور العام غير المُصفَّى — راجع §5 لتفاصيل المسارين</w:t>
            </w:r>
          </w:p>
        </w:tc>
      </w:tr>
      <w:tr>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جلسة Investor Circle (المسار المغلق)</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‎8–12‎</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‎12–16‎</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‎16–20‎</w:t>
            </w:r>
          </w:p>
        </w:tc>
        <w:tc>
          <w:tcPr>
            <w:tcW w:type="dxa" w:w="3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عملاء محتملون مؤهَّلون مسبقاً فقط (تقييم ≥70) — هنا يكون معدل التحويل الواقعي أعلى بكثير</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طلبات زيارة خاصة (30–90 يوماً بعد الفعالية)</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‎5–10‎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‎12–20‎</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‎20–30‎</w:t>
            </w:r>
          </w:p>
        </w:tc>
        <w:tc>
          <w:tcPr>
            <w:tcW w:type="dxa" w:w="3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مؤشر قائد رئيسي لمرحلة المتابعة — يجب تتبّعه أسبوعياً</w:t>
            </w:r>
          </w:p>
        </w:tc>
      </w:tr>
      <w:tr>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عقود موقَّعة (خلال 90 يوماً)</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‎3–5‎</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‎6–10‎</w:t>
            </w:r>
          </w:p>
        </w:tc>
        <w:tc>
          <w:tcPr>
            <w:tcW w:type="dxa" w:w="13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‎10–16‎</w:t>
            </w:r>
          </w:p>
        </w:tc>
        <w:tc>
          <w:tcPr>
            <w:tcW w:type="dxa" w:w="3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مُعاد ضبطها من السيناريو الأصلي (10–35) لتعكس معدلات تحويل واقعية مع الاستفادة من المسار المغلق</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العائد بالجنيه</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w:t>
            </w:r>
          </w:p>
        </w:tc>
        <w:tc>
          <w:tcPr>
            <w:tcW w:type="dxa" w:w="13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w:t>
            </w:r>
          </w:p>
        </w:tc>
        <w:tc>
          <w:tcPr>
            <w:tcW w:type="dxa" w:w="3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يُحسَب فقط بعد استكمال البند 1 في §3 (سعر الوحدة والهامش) — حتى ذلك الوقت هذا الحقل غير قابل للتعبئة</w:t>
            </w:r>
          </w:p>
        </w:tc>
      </w:tr>
    </w:tbl>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الهدف الأساسي للمتابعة الأسبوعية: عدد طلبات الزيارة الخاصة وعدد العقود الموقَّعة. هذان الرقمان هما الأكثر دلالة على الأداء الفعلي للمشروع، أكثر من عدد الحضور وحده.</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3. اقتصاديات العائد (ROI) — البيانات المطلوبة والمصفوفة</w:t>
      </w:r>
    </w:p>
    <w:p>
      <w:pPr>
        <w:bidi/>
        <w:spacing w:after="60" w:before="60"/>
        <w:jc w:val="right"/>
      </w:pPr>
      <w:r>
        <w:rPr>
          <w:rFonts w:ascii="Arial" w:cs="Arial" w:eastAsia="Arial" w:hAnsi="Arial"/>
          <w:color w:val="0A0A0A"/>
          <w:sz w:val="21"/>
          <w:szCs w:val="21"/>
          <w:rtl/>
        </w:rPr>
        <w:t xml:space="preserve">هذا هو أهم بند مفرد في كامل خطة التنفيذ. حتى يُستكمَل، لا يمكن لأي تقرير مالي عن هذا المشروع أن يُعبِّر عن عائد حقيقي بالجنيه.</w:t>
      </w:r>
    </w:p>
    <w:p>
      <w:pPr>
        <w:pStyle w:val="Heading2"/>
        <w:bidi/>
        <w:spacing w:after="100" w:before="280"/>
        <w:jc w:val="right"/>
      </w:pPr>
      <w:r>
        <w:rPr>
          <w:rFonts w:ascii="Arial" w:cs="Arial" w:eastAsia="Arial" w:hAnsi="Arial"/>
          <w:b/>
          <w:bCs/>
          <w:color w:val="1A2B4A"/>
          <w:sz w:val="26"/>
          <w:szCs w:val="26"/>
          <w:rtl/>
        </w:rPr>
        <w:t xml:space="preserve">3.1 البيانات المطلوبة من الإدارة المالية (أولوية قصوى — مرحلة الاستكشاف)</w:t>
      </w:r>
    </w:p>
    <w:p>
      <w:pPr>
        <w:pStyle w:val="ListParagraph"/>
        <w:numPr>
          <w:ilvl w:val="0"/>
          <w:numId w:val="3"/>
        </w:numPr>
        <w:bidi/>
        <w:spacing w:after="50" w:before="50"/>
        <w:jc w:val="right"/>
      </w:pPr>
      <w:r>
        <w:rPr>
          <w:rFonts w:ascii="Arial" w:cs="Arial" w:eastAsia="Arial" w:hAnsi="Arial"/>
          <w:color w:val="0A0A0A"/>
          <w:sz w:val="20"/>
          <w:szCs w:val="20"/>
          <w:rtl/>
        </w:rPr>
        <w:t xml:space="preserve">متوسط سعر الوحدة ونطاقه لكل من: Ray Residence، Agile Business Complex، Spinner Towers.</w:t>
      </w:r>
    </w:p>
    <w:p>
      <w:pPr>
        <w:pStyle w:val="ListParagraph"/>
        <w:numPr>
          <w:ilvl w:val="0"/>
          <w:numId w:val="3"/>
        </w:numPr>
        <w:bidi/>
        <w:spacing w:after="50" w:before="50"/>
        <w:jc w:val="right"/>
      </w:pPr>
      <w:r>
        <w:rPr>
          <w:rFonts w:ascii="Arial" w:cs="Arial" w:eastAsia="Arial" w:hAnsi="Arial"/>
          <w:color w:val="0A0A0A"/>
          <w:sz w:val="20"/>
          <w:szCs w:val="20"/>
          <w:rtl/>
        </w:rPr>
        <w:t xml:space="preserve">هامش/عمولة Radix لكل وحدة تُباع عبر هذه القناة (لا سعر البيع الكامل، بل صافي الربح/العمولة التي تُحتسَب كعائد فعلي على هذا الإنفاق التسويقي).</w:t>
      </w:r>
    </w:p>
    <w:p>
      <w:pPr>
        <w:pStyle w:val="ListParagraph"/>
        <w:numPr>
          <w:ilvl w:val="0"/>
          <w:numId w:val="3"/>
        </w:numPr>
        <w:bidi/>
        <w:spacing w:after="50" w:before="50"/>
        <w:jc w:val="right"/>
      </w:pPr>
      <w:r>
        <w:rPr>
          <w:rFonts w:ascii="Arial" w:cs="Arial" w:eastAsia="Arial" w:hAnsi="Arial"/>
          <w:color w:val="0A0A0A"/>
          <w:sz w:val="20"/>
          <w:szCs w:val="20"/>
          <w:rtl/>
        </w:rPr>
        <w:t xml:space="preserve">تكلفة الاكتساب الحالية لـ Radix عبر المعارض التقليدية (إن وُجدت بيانات تاريخية) — لتكون خط أساس للمقارنة.</w:t>
      </w:r>
    </w:p>
    <w:p>
      <w:pPr>
        <w:pStyle w:val="Heading2"/>
        <w:bidi/>
        <w:spacing w:after="100" w:before="280"/>
        <w:jc w:val="right"/>
      </w:pPr>
      <w:r>
        <w:rPr>
          <w:rFonts w:ascii="Arial" w:cs="Arial" w:eastAsia="Arial" w:hAnsi="Arial"/>
          <w:b/>
          <w:bCs/>
          <w:color w:val="1A2B4A"/>
          <w:sz w:val="26"/>
          <w:szCs w:val="26"/>
          <w:rtl/>
        </w:rPr>
        <w:t xml:space="preserve">3.2 مصفوفة الحساسية (تُبنى فور توفر بيانات §3.1)</w:t>
      </w:r>
    </w:p>
    <w:p>
      <w:pPr>
        <w:bidi/>
        <w:spacing w:after="60" w:before="60"/>
        <w:jc w:val="right"/>
      </w:pPr>
      <w:r>
        <w:rPr>
          <w:rFonts w:ascii="Arial" w:cs="Arial" w:eastAsia="Arial" w:hAnsi="Arial"/>
          <w:color w:val="0A0A0A"/>
          <w:sz w:val="21"/>
          <w:szCs w:val="21"/>
          <w:rtl/>
        </w:rPr>
        <w:t xml:space="preserve">شكل المصفوفة المطلوب بناؤها (3×3): محور أفقي = [سعر وحدة منخفض / متوسط / مرتفع]، محور رأسي = [عقود محافظة / متوقَّعة / طموحة من §2]. كل خلية تقاطع = العائد التقديري بالجنيه. هذا يُعطي مجلس الإدارة مدى من النتائج المحتملة بدلاً من رقم واحد غير مؤكَّد.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
            </w:r>
          </w:p>
        </w:tc>
        <w:tc>
          <w:tcPr>
            <w:tcW w:type="dxa" w:w="234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سعر وحدة منخفض</w:t>
            </w:r>
          </w:p>
        </w:tc>
        <w:tc>
          <w:tcPr>
            <w:tcW w:type="dxa" w:w="234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سعر وحدة متوسط</w:t>
            </w:r>
          </w:p>
        </w:tc>
        <w:tc>
          <w:tcPr>
            <w:tcW w:type="dxa" w:w="234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سعر وحدة مرتفع</w:t>
            </w:r>
          </w:p>
        </w:tc>
      </w:tr>
      <w:tr>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عقود محافظة (3–5)</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r>
      <w:tr>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عقود متوقَّعة (6–10)</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r>
      <w:tr>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عقود طموحة (10–16)</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c>
          <w:tcPr>
            <w:tcW w:type="dxa" w:w="234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يُحسَب بعد §3.1</w:t>
            </w:r>
          </w:p>
        </w:tc>
      </w:tr>
    </w:tbl>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مسؤولية تعبئة هذه المصفوفة: الإدارة المالية، بالتنسيق مع فريق إدارة المشروع، خلال مرحلة الاستكشاف (المرحلة المالية 1). هذه المصفوفة شرط أساسي قبل الموافقة على الإفراج عن مرحلة التمويل 2.</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4. خطة توليد العملاء المحتملين (مزيج القنوات + التقييم)</w:t>
      </w:r>
    </w:p>
    <w:p>
      <w:pPr>
        <w:pStyle w:val="Heading2"/>
        <w:bidi/>
        <w:spacing w:after="100" w:before="280"/>
        <w:jc w:val="right"/>
      </w:pPr>
      <w:r>
        <w:rPr>
          <w:rFonts w:ascii="Arial" w:cs="Arial" w:eastAsia="Arial" w:hAnsi="Arial"/>
          <w:b/>
          <w:bCs/>
          <w:color w:val="1A2B4A"/>
          <w:sz w:val="26"/>
          <w:szCs w:val="26"/>
          <w:rtl/>
        </w:rPr>
        <w:t xml:space="preserve">4.1 مزيج القنوات المعتمد (يستبدل الرقم المفتوح 1,000 بلا مصدر)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القناة</w:t>
            </w:r>
          </w:p>
        </w:tc>
        <w:tc>
          <w:tcPr>
            <w:tcW w:type="dxa" w:w="43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الوصف</w:t>
            </w:r>
          </w:p>
        </w:tc>
        <w:tc>
          <w:tcPr>
            <w:tcW w:type="dxa" w:w="30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ملاحظة الحجم</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1. إعادة تنشيط قاعدة العملاء الحالية</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قاعدة عملاء/عملاء محتملين سابقين لـRadix — تُستخرَج وتُنظَّف في مرحلة الاستكشاف (المرحلة 0)</w:t>
            </w:r>
          </w:p>
        </w:tc>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رقم معروف بدقة فور إتمام تدقيق CRM — أولوية أولى لأنها الأقل تكلفة والأعلى ثقة</w:t>
            </w:r>
          </w:p>
        </w:tc>
      </w:tr>
      <w:tr>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2. إحالات العملاء الحاليين</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حافز مُحدَّد لكل عميل حالي يُحيل عميلاً محتملاً يحجز زيارة موقع (انظر §4.3)</w:t>
            </w:r>
          </w:p>
        </w:tc>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هدف مبدئي: 1–2 إحالة لكل عميل حالي في السنة الأولى</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3. شركاء/جمعيات مجتمعية مُسمَّون</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5–10 جمعيات مهنية/مجموعات مجتمعية مصرية في الرياض (تُسمَّى فعلياً خلال مرحلة الاستكشاف، لا تظل فئة فارغة)</w:t>
            </w:r>
          </w:p>
        </w:tc>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يُحدَّد الحجم بعد محادثات الاستكشاف الأولية مع كل شريك</w:t>
            </w:r>
          </w:p>
        </w:tc>
      </w:tr>
      <w:tr>
        <w:tc>
          <w:tcPr>
            <w:tcW w:type="dxa" w:w="2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4. رقمي مدفوع (تكميلي)</w:t>
            </w:r>
          </w:p>
        </w:tc>
        <w:tc>
          <w:tcPr>
            <w:tcW w:type="dxa" w:w="4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إعلانات مدفوعة بافتراض تكلفة عميل محتمل صريح</w:t>
            </w:r>
          </w:p>
        </w:tc>
        <w:tc>
          <w:tcPr>
            <w:tcW w:type="dxa" w:w="30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يُستخدَم لتعويض أي عجز بين القنوات 1–3 والهدف الإجمالي بعد §2 — ليس القناة الأساسية</w:t>
            </w:r>
          </w:p>
        </w:tc>
      </w:tr>
      <w:tr>
        <w:tc>
          <w:tcPr>
            <w:tcW w:type="dxa" w:w="2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5. أقرباء العملاء الحاليين في الخليج</w:t>
            </w:r>
          </w:p>
        </w:tc>
        <w:tc>
          <w:tcPr>
            <w:tcW w:type="dxa" w:w="4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قناة جديدة مُضافة: عملاء حاليون لديهم أقرباء (إخوة/أبناء) يعملون في الرياض</w:t>
            </w:r>
          </w:p>
        </w:tc>
        <w:tc>
          <w:tcPr>
            <w:tcW w:type="dxa" w:w="30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قناة منخفضة التكلفة وعالية الثقة — تُدمَج ضمن جهد إعادة التنشيط (القناة 1)</w:t>
            </w:r>
          </w:p>
        </w:tc>
      </w:tr>
    </w:tbl>
    <w:p>
      <w:pPr>
        <w:pStyle w:val="Heading2"/>
        <w:bidi/>
        <w:spacing w:after="100" w:before="280"/>
        <w:jc w:val="right"/>
      </w:pPr>
      <w:r>
        <w:rPr>
          <w:rFonts w:ascii="Arial" w:cs="Arial" w:eastAsia="Arial" w:hAnsi="Arial"/>
          <w:b/>
          <w:bCs/>
          <w:color w:val="1A2B4A"/>
          <w:sz w:val="26"/>
          <w:szCs w:val="26"/>
          <w:rtl/>
        </w:rPr>
        <w:t xml:space="preserve">4.2 معادلة تقييم العملاء المحتملين (تستبدل ورقة Lead_Scoring الفارغة)</w:t>
      </w:r>
    </w:p>
    <w:p>
      <w:pPr>
        <w:bidi/>
        <w:spacing w:after="60" w:before="60"/>
        <w:jc w:val="right"/>
      </w:pPr>
      <w:r>
        <w:rPr>
          <w:rFonts w:ascii="Arial" w:cs="Arial" w:eastAsia="Arial" w:hAnsi="Arial"/>
          <w:color w:val="0A0A0A"/>
          <w:sz w:val="21"/>
          <w:szCs w:val="21"/>
          <w:rtl/>
        </w:rPr>
        <w:t xml:space="preserve">خمسة عناصر تقييم، كل واحد من 0 إلى 25 نقطة، الإجمالي من 100:</w:t>
      </w:r>
    </w:p>
    <w:p>
      <w:pPr>
        <w:pStyle w:val="ListParagraph"/>
        <w:numPr>
          <w:ilvl w:val="0"/>
          <w:numId w:val="2"/>
        </w:numPr>
        <w:bidi/>
        <w:spacing w:after="40" w:before="40"/>
        <w:jc w:val="right"/>
      </w:pPr>
      <w:r>
        <w:rPr>
          <w:rFonts w:ascii="Arial" w:cs="Arial" w:eastAsia="Arial" w:hAnsi="Arial"/>
          <w:color w:val="0A0A0A"/>
          <w:sz w:val="20"/>
          <w:szCs w:val="20"/>
          <w:rtl/>
        </w:rPr>
        <w:t xml:space="preserve">الدخل: 25 نقطة إذا الدخل الشهري المُقدَّر &gt; 30,000 ريال، 15 نقطة إذا 15,000–30,000 ريال، 5 نقاط إذا أقل (تُعدَّل هذه الحدود فعلياً بعد بيانات سعر الوحدة في §3).</w:t>
      </w:r>
    </w:p>
    <w:p>
      <w:pPr>
        <w:pStyle w:val="ListParagraph"/>
        <w:numPr>
          <w:ilvl w:val="0"/>
          <w:numId w:val="2"/>
        </w:numPr>
        <w:bidi/>
        <w:spacing w:after="40" w:before="40"/>
        <w:jc w:val="right"/>
      </w:pPr>
      <w:r>
        <w:rPr>
          <w:rFonts w:ascii="Arial" w:cs="Arial" w:eastAsia="Arial" w:hAnsi="Arial"/>
          <w:color w:val="0A0A0A"/>
          <w:sz w:val="20"/>
          <w:szCs w:val="20"/>
          <w:rtl/>
        </w:rPr>
        <w:t xml:space="preserve">الاهتمام المُعلَن: 25 نقطة لطلب معلومات مباشر/حضور جلسة تعريفية، 10 نقاط لتفاعل غير مباشر (متابعة محتوى، إلخ).</w:t>
      </w:r>
    </w:p>
    <w:p>
      <w:pPr>
        <w:pStyle w:val="ListParagraph"/>
        <w:numPr>
          <w:ilvl w:val="0"/>
          <w:numId w:val="2"/>
        </w:numPr>
        <w:bidi/>
        <w:spacing w:after="40" w:before="40"/>
        <w:jc w:val="right"/>
      </w:pPr>
      <w:r>
        <w:rPr>
          <w:rFonts w:ascii="Arial" w:cs="Arial" w:eastAsia="Arial" w:hAnsi="Arial"/>
          <w:color w:val="0A0A0A"/>
          <w:sz w:val="20"/>
          <w:szCs w:val="20"/>
          <w:rtl/>
        </w:rPr>
        <w:t xml:space="preserve">سهولة التواصل/الاجتماع: 25 نقطة لمن وافق على اجتماع أو مكالمة، 10 نقاط لمن استجاب رسالة واحدة فقط.</w:t>
      </w:r>
    </w:p>
    <w:p>
      <w:pPr>
        <w:pStyle w:val="ListParagraph"/>
        <w:numPr>
          <w:ilvl w:val="0"/>
          <w:numId w:val="2"/>
        </w:numPr>
        <w:bidi/>
        <w:spacing w:after="40" w:before="40"/>
        <w:jc w:val="right"/>
      </w:pPr>
      <w:r>
        <w:rPr>
          <w:rFonts w:ascii="Arial" w:cs="Arial" w:eastAsia="Arial" w:hAnsi="Arial"/>
          <w:color w:val="0A0A0A"/>
          <w:sz w:val="20"/>
          <w:szCs w:val="20"/>
          <w:rtl/>
        </w:rPr>
        <w:t xml:space="preserve">مصدر الإحالة: 25 نقطة لإحالة من عميل حالي، 15 نقطة لإحالة من شريك مجتمعي، 5 نقاط لعميل محتمل رقمي بارد.</w:t>
      </w:r>
    </w:p>
    <w:p>
      <w:pPr>
        <w:pStyle w:val="ListParagraph"/>
        <w:numPr>
          <w:ilvl w:val="0"/>
          <w:numId w:val="2"/>
        </w:numPr>
        <w:bidi/>
        <w:spacing w:after="40" w:before="40"/>
        <w:jc w:val="right"/>
      </w:pPr>
      <w:r>
        <w:rPr>
          <w:rFonts w:ascii="Arial" w:cs="Arial" w:eastAsia="Arial" w:hAnsi="Arial"/>
          <w:color w:val="0A0A0A"/>
          <w:sz w:val="20"/>
          <w:szCs w:val="20"/>
          <w:rtl/>
        </w:rPr>
        <w:t xml:space="preserve">التفاعل التاريخي: 25 نقطة لعميل سابق أو من عائلته، 0 لعميل محتمل جديد بالكامل.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2920"/>
        <w:gridCol w:w="2920"/>
      </w:tblGrid>
      <w:tr>
        <w:trPr>
          <w:tblHeader/>
        </w:trPr>
        <w:tc>
          <w:tcPr>
            <w:tcW w:type="dxa" w:w="29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المستوى</w:t>
            </w:r>
          </w:p>
        </w:tc>
        <w:tc>
          <w:tcPr>
            <w:tcW w:type="dxa" w:w="29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النطاق</w:t>
            </w:r>
          </w:p>
        </w:tc>
        <w:tc>
          <w:tcPr>
            <w:tcW w:type="dxa" w:w="292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الإجراء</w:t>
            </w:r>
          </w:p>
        </w:tc>
      </w:tr>
      <w:tr>
        <w:tc>
          <w:tcPr>
            <w:tcW w:type="dxa" w:w="2920"/>
            <w:tcBorders>
              <w:top w:val="single" w:color="D8DBE0" w:sz="1"/>
              <w:left w:val="single" w:color="D8DBE0" w:sz="1"/>
              <w:bottom w:val="single" w:color="D8DBE0" w:sz="1"/>
              <w:right w:val="single" w:color="D8DBE0" w:sz="1"/>
            </w:tcBorders>
            <w:shd w:fill="FBE5E3" w:val="clear"/>
            <w:tcMar>
              <w:top w:type="dxa" w:w="55"/>
              <w:left w:type="dxa" w:w="80"/>
              <w:bottom w:type="dxa" w:w="55"/>
              <w:right w:type="dxa" w:w="80"/>
            </w:tcMar>
            <w:vAlign w:val="center"/>
          </w:tcPr>
          <w:p>
            <w:pPr>
              <w:bidi/>
              <w:jc w:val="right"/>
            </w:pPr>
            <w:r>
              <w:rPr>
                <w:rFonts w:ascii="Arial" w:cs="Arial" w:eastAsia="Arial" w:hAnsi="Arial"/>
                <w:b/>
                <w:bCs/>
                <w:color w:val="C0392B"/>
                <w:sz w:val="17"/>
                <w:szCs w:val="17"/>
                <w:rtl/>
              </w:rPr>
              <w:t xml:space="preserve">حار</w:t>
            </w:r>
          </w:p>
        </w:tc>
        <w:tc>
          <w:tcPr>
            <w:tcW w:type="dxa" w:w="29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 70 نقطة</w:t>
            </w:r>
          </w:p>
        </w:tc>
        <w:tc>
          <w:tcPr>
            <w:tcW w:type="dxa" w:w="29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دعوة مباشرة لجلسة Investor Circle المغلقة (المسار ب في §5)</w:t>
            </w:r>
          </w:p>
        </w:tc>
      </w:tr>
      <w:tr>
        <w:tc>
          <w:tcPr>
            <w:tcW w:type="dxa" w:w="292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right"/>
            </w:pPr>
            <w:r>
              <w:rPr>
                <w:rFonts w:ascii="Arial" w:cs="Arial" w:eastAsia="Arial" w:hAnsi="Arial"/>
                <w:b/>
                <w:bCs/>
                <w:color w:val="9A7D0A"/>
                <w:sz w:val="17"/>
                <w:szCs w:val="17"/>
                <w:rtl/>
              </w:rPr>
              <w:t xml:space="preserve">دافئ</w:t>
            </w:r>
          </w:p>
        </w:tc>
        <w:tc>
          <w:tcPr>
            <w:tcW w:type="dxa" w:w="29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40–69 نقطة</w:t>
            </w:r>
          </w:p>
        </w:tc>
        <w:tc>
          <w:tcPr>
            <w:tcW w:type="dxa" w:w="292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دعوة للاستقبال المجتمعي الواسع (المسار أ في §5)، مع متابعة فردية لاحقاً</w:t>
            </w:r>
          </w:p>
        </w:tc>
      </w:tr>
      <w:tr>
        <w:tc>
          <w:tcPr>
            <w:tcW w:type="dxa" w:w="292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right"/>
            </w:pPr>
            <w:r>
              <w:rPr>
                <w:rFonts w:ascii="Arial" w:cs="Arial" w:eastAsia="Arial" w:hAnsi="Arial"/>
                <w:b/>
                <w:bCs/>
                <w:color w:val="1A6B4A"/>
                <w:sz w:val="17"/>
                <w:szCs w:val="17"/>
                <w:rtl/>
              </w:rPr>
              <w:t xml:space="preserve">بارد</w:t>
            </w:r>
          </w:p>
        </w:tc>
        <w:tc>
          <w:tcPr>
            <w:tcW w:type="dxa" w:w="29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center"/>
            </w:pPr>
            <w:r>
              <w:rPr>
                <w:rFonts w:ascii="Arial" w:cs="Arial" w:eastAsia="Arial" w:hAnsi="Arial"/>
                <w:b w:val="false"/>
                <w:bCs w:val="false"/>
                <w:color w:val="0A0A0A"/>
                <w:sz w:val="17"/>
                <w:szCs w:val="17"/>
                <w:rtl/>
              </w:rPr>
              <w:t xml:space="preserve">&lt; 40 نقطة</w:t>
            </w:r>
          </w:p>
        </w:tc>
        <w:tc>
          <w:tcPr>
            <w:tcW w:type="dxa" w:w="292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يبقى في قاعدة البيانات للتواصل التسويقي العام، لا دعوة مباشرة للفعالية</w:t>
            </w:r>
          </w:p>
        </w:tc>
      </w:tr>
    </w:tbl>
    <w:p>
      <w:pPr>
        <w:pStyle w:val="Heading2"/>
        <w:bidi/>
        <w:spacing w:after="100" w:before="280"/>
        <w:jc w:val="right"/>
      </w:pPr>
      <w:r>
        <w:rPr>
          <w:rFonts w:ascii="Arial" w:cs="Arial" w:eastAsia="Arial" w:hAnsi="Arial"/>
          <w:b/>
          <w:bCs/>
          <w:color w:val="1A2B4A"/>
          <w:sz w:val="26"/>
          <w:szCs w:val="26"/>
          <w:rtl/>
        </w:rPr>
        <w:t xml:space="preserve">4.3 بنية حافز الإحالة</w:t>
      </w:r>
    </w:p>
    <w:p>
      <w:pPr>
        <w:bidi/>
        <w:spacing w:after="60" w:before="60"/>
        <w:jc w:val="right"/>
      </w:pPr>
      <w:r>
        <w:rPr>
          <w:rFonts w:ascii="Arial" w:cs="Arial" w:eastAsia="Arial" w:hAnsi="Arial"/>
          <w:color w:val="0A0A0A"/>
          <w:sz w:val="21"/>
          <w:szCs w:val="21"/>
          <w:rtl/>
        </w:rPr>
        <w:t xml:space="preserve">مكافأة متدرّجة لكل عميل حالي يُحيل عميلاً محتملاً يُتمِّم الخطوات التالية:</w:t>
      </w:r>
    </w:p>
    <w:p>
      <w:pPr>
        <w:pStyle w:val="ListParagraph"/>
        <w:numPr>
          <w:ilvl w:val="0"/>
          <w:numId w:val="2"/>
        </w:numPr>
        <w:bidi/>
        <w:spacing w:after="40" w:before="40"/>
        <w:jc w:val="right"/>
      </w:pPr>
      <w:r>
        <w:rPr>
          <w:rFonts w:ascii="Arial" w:cs="Arial" w:eastAsia="Arial" w:hAnsi="Arial"/>
          <w:color w:val="0A0A0A"/>
          <w:sz w:val="20"/>
          <w:szCs w:val="20"/>
          <w:rtl/>
        </w:rPr>
        <w:t xml:space="preserve">الإحالة تحجز زيارة موقع فعلية: حافز رمزي أول (يُحدَّد المبلغ من الإدارة المالية).</w:t>
      </w:r>
    </w:p>
    <w:p>
      <w:pPr>
        <w:pStyle w:val="ListParagraph"/>
        <w:numPr>
          <w:ilvl w:val="0"/>
          <w:numId w:val="2"/>
        </w:numPr>
        <w:bidi/>
        <w:spacing w:after="40" w:before="40"/>
        <w:jc w:val="right"/>
      </w:pPr>
      <w:r>
        <w:rPr>
          <w:rFonts w:ascii="Arial" w:cs="Arial" w:eastAsia="Arial" w:hAnsi="Arial"/>
          <w:color w:val="0A0A0A"/>
          <w:sz w:val="20"/>
          <w:szCs w:val="20"/>
          <w:rtl/>
        </w:rPr>
        <w:t xml:space="preserve">الإحالة تُوقِّع عقداً: حافز رئيسي أكبر (نسبة أو مبلغ ثابت، يُحدَّد من الإدارة المالية بناءً على هامش الوحدة من §3.1).</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5. تصميم الفعالية الرئيسية — صيغة المسارين (التحسين B12)</w:t>
      </w:r>
    </w:p>
    <w:p>
      <w:pPr>
        <w:bidi/>
        <w:spacing w:after="60" w:before="60"/>
        <w:jc w:val="right"/>
      </w:pPr>
      <w:r>
        <w:rPr>
          <w:rFonts w:ascii="Arial" w:cs="Arial" w:eastAsia="Arial" w:hAnsi="Arial"/>
          <w:color w:val="0A0A0A"/>
          <w:sz w:val="21"/>
          <w:szCs w:val="21"/>
          <w:rtl/>
        </w:rPr>
        <w:t xml:space="preserve">بدلاً من فعالية واحدة لـ120–150 شخصاً بمعدل تحويل غير واقعي، تُقسَّم الفعالية الرئيسية (المرحلة 6) إلى مسارين متكاملين في نفس اليوم/الفترة:</w:t>
      </w:r>
    </w:p>
    <w:p>
      <w:pPr>
        <w:pStyle w:val="Heading2"/>
        <w:bidi/>
        <w:spacing w:after="100" w:before="280"/>
        <w:jc w:val="right"/>
      </w:pPr>
      <w:r>
        <w:rPr>
          <w:rFonts w:ascii="Arial" w:cs="Arial" w:eastAsia="Arial" w:hAnsi="Arial"/>
          <w:b/>
          <w:bCs/>
          <w:color w:val="1A2B4A"/>
          <w:sz w:val="26"/>
          <w:szCs w:val="26"/>
          <w:rtl/>
        </w:rPr>
        <w:t xml:space="preserve">5.1 المسار أ — الاستقبال المجتمعي (الواسع)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العنصر</w:t>
            </w:r>
          </w:p>
        </w:tc>
        <w:tc>
          <w:tcPr>
            <w:tcW w:type="dxa" w:w="69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التفصيل</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الجمهور</w:t>
            </w:r>
          </w:p>
        </w:tc>
        <w:tc>
          <w:tcPr>
            <w:tcW w:type="dxa" w:w="6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كل المدعوين المؤهَّلين (دافئ + حار)، 80–140 حاضراً حسب §2</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الهدف</w:t>
            </w:r>
          </w:p>
        </w:tc>
        <w:tc>
          <w:tcPr>
            <w:tcW w:type="dxa" w:w="6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بناء علاقات وثقة، تعزيز مصداقية Radix والمشروع، لا بيع مباشر</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الصيغة</w:t>
            </w:r>
          </w:p>
        </w:tc>
        <w:tc>
          <w:tcPr>
            <w:tcW w:type="dxa" w:w="6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استقبال ← كلمات ترحيبية ← عشاء/تواصل مفتوح ← اختتام</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الدور في المسار</w:t>
            </w:r>
          </w:p>
        </w:tc>
        <w:tc>
          <w:tcPr>
            <w:tcW w:type="dxa" w:w="6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نقطة تجميع أولى لتحديد من يُدعى لاحقاً للمسار ب (إما في نفس اليوم في غرفة منفصلة، أو كدعوة لاحقة)</w:t>
            </w:r>
          </w:p>
        </w:tc>
      </w:tr>
    </w:tbl>
    <w:p>
      <w:pPr>
        <w:pStyle w:val="Heading2"/>
        <w:bidi/>
        <w:spacing w:after="100" w:before="280"/>
        <w:jc w:val="right"/>
      </w:pPr>
      <w:r>
        <w:rPr>
          <w:rFonts w:ascii="Arial" w:cs="Arial" w:eastAsia="Arial" w:hAnsi="Arial"/>
          <w:b/>
          <w:bCs/>
          <w:color w:val="1A2B4A"/>
          <w:sz w:val="26"/>
          <w:szCs w:val="26"/>
          <w:rtl/>
        </w:rPr>
        <w:t xml:space="preserve">5.2 المسار ب — جلسة Investor Circle (المغلقة)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العنصر</w:t>
            </w:r>
          </w:p>
        </w:tc>
        <w:tc>
          <w:tcPr>
            <w:tcW w:type="dxa" w:w="69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التفصيل</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الجمهور</w:t>
            </w:r>
          </w:p>
        </w:tc>
        <w:tc>
          <w:tcPr>
            <w:tcW w:type="dxa" w:w="6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عملاء محتملون مُقيَّمون “حار” فقط (≥70 نقطة من §4.2) — 12–20 شخصاً حسب §2</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الهدف</w:t>
            </w:r>
          </w:p>
        </w:tc>
        <w:tc>
          <w:tcPr>
            <w:tcW w:type="dxa" w:w="6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عرض تفصيلي للمشاريع الثلاثة، أسعار، عروض خاصة لأعضاء الدائرة، حجز زيارات ميدانية فورية</w:t>
            </w:r>
          </w:p>
        </w:tc>
      </w:tr>
      <w:tr>
        <w:tc>
          <w:tcPr>
            <w:tcW w:type="dxa" w:w="24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الصيغة</w:t>
            </w:r>
          </w:p>
        </w:tc>
        <w:tc>
          <w:tcPr>
            <w:tcW w:type="dxa" w:w="69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جلسة مغلقة أصغر — عرض تقديمي مباشر، نقاش فردي، طاولات اجتماعات صغيرة لكل مشروع</w:t>
            </w:r>
          </w:p>
        </w:tc>
      </w:tr>
      <w:tr>
        <w:tc>
          <w:tcPr>
            <w:tcW w:type="dxa" w:w="24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لماذا معدل التحويل هنا أعلى منطقياً</w:t>
            </w:r>
          </w:p>
        </w:tc>
        <w:tc>
          <w:tcPr>
            <w:tcW w:type="dxa" w:w="69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القاعة مُختارة مسبقاً بحسب النية والقدرة المالية — هذا يجعل معدل تحويل 6–23% (المذكور أصلاً في الخطة الأصلية) منطقياً لهذه المجموعة الفرعية المُصفَّاة، بعكس تطبيقه على كامل الـ150 حاضراً</w:t>
            </w:r>
          </w:p>
        </w:tc>
      </w:tr>
    </w:tbl>
    <w:p>
      <w:pPr>
        <w:pStyle w:val="Heading2"/>
        <w:bidi/>
        <w:spacing w:after="100" w:before="280"/>
        <w:jc w:val="right"/>
      </w:pPr>
      <w:r>
        <w:rPr>
          <w:rFonts w:ascii="Arial" w:cs="Arial" w:eastAsia="Arial" w:hAnsi="Arial"/>
          <w:b/>
          <w:bCs/>
          <w:color w:val="1A2B4A"/>
          <w:sz w:val="26"/>
          <w:szCs w:val="26"/>
          <w:rtl/>
        </w:rPr>
        <w:t xml:space="preserve">5.3 تقدير تكلفة الفعالية (من القاعدة — Bottom-up)</w:t>
      </w:r>
    </w:p>
    <w:p>
      <w:pPr>
        <w:bidi/>
        <w:spacing w:after="60" w:before="60"/>
        <w:jc w:val="right"/>
      </w:pPr>
      <w:r>
        <w:rPr>
          <w:rFonts w:ascii="Arial" w:cs="Arial" w:eastAsia="Arial" w:hAnsi="Arial"/>
          <w:color w:val="0A0A0A"/>
          <w:sz w:val="21"/>
          <w:szCs w:val="21"/>
          <w:rtl/>
        </w:rPr>
        <w:t xml:space="preserve">يُستبدَل بند “25% للفعالية” برقم نهائي مُحدَّد بعد بناء تقدير تكلفة تفصيلي يشمل البنود التالية لكل مسار:</w:t>
      </w:r>
    </w:p>
    <w:p>
      <w:pPr>
        <w:pStyle w:val="ListParagraph"/>
        <w:numPr>
          <w:ilvl w:val="0"/>
          <w:numId w:val="2"/>
        </w:numPr>
        <w:bidi/>
        <w:spacing w:after="40" w:before="40"/>
        <w:jc w:val="right"/>
      </w:pPr>
      <w:r>
        <w:rPr>
          <w:rFonts w:ascii="Arial" w:cs="Arial" w:eastAsia="Arial" w:hAnsi="Arial"/>
          <w:color w:val="0A0A0A"/>
          <w:sz w:val="20"/>
          <w:szCs w:val="20"/>
          <w:rtl/>
        </w:rPr>
        <w:t xml:space="preserve">المكان (قاعة استقبال واسعة + غرفة مغلقة أصغر للمسار ب).</w:t>
      </w:r>
    </w:p>
    <w:p>
      <w:pPr>
        <w:pStyle w:val="ListParagraph"/>
        <w:numPr>
          <w:ilvl w:val="0"/>
          <w:numId w:val="2"/>
        </w:numPr>
        <w:bidi/>
        <w:spacing w:after="40" w:before="40"/>
        <w:jc w:val="right"/>
      </w:pPr>
      <w:r>
        <w:rPr>
          <w:rFonts w:ascii="Arial" w:cs="Arial" w:eastAsia="Arial" w:hAnsi="Arial"/>
          <w:color w:val="0A0A0A"/>
          <w:sz w:val="20"/>
          <w:szCs w:val="20"/>
          <w:rtl/>
        </w:rPr>
        <w:t xml:space="preserve">الطعام والشراب (لكل مسار حسب عدد الحضور).</w:t>
      </w:r>
    </w:p>
    <w:p>
      <w:pPr>
        <w:pStyle w:val="ListParagraph"/>
        <w:numPr>
          <w:ilvl w:val="0"/>
          <w:numId w:val="2"/>
        </w:numPr>
        <w:bidi/>
        <w:spacing w:after="40" w:before="40"/>
        <w:jc w:val="right"/>
      </w:pPr>
      <w:r>
        <w:rPr>
          <w:rFonts w:ascii="Arial" w:cs="Arial" w:eastAsia="Arial" w:hAnsi="Arial"/>
          <w:color w:val="0A0A0A"/>
          <w:sz w:val="20"/>
          <w:szCs w:val="20"/>
          <w:rtl/>
        </w:rPr>
        <w:t xml:space="preserve">الصوتيات والصورة/الإنتاج.</w:t>
      </w:r>
    </w:p>
    <w:p>
      <w:pPr>
        <w:pStyle w:val="ListParagraph"/>
        <w:numPr>
          <w:ilvl w:val="0"/>
          <w:numId w:val="2"/>
        </w:numPr>
        <w:bidi/>
        <w:spacing w:after="40" w:before="40"/>
        <w:jc w:val="right"/>
      </w:pPr>
      <w:r>
        <w:rPr>
          <w:rFonts w:ascii="Arial" w:cs="Arial" w:eastAsia="Arial" w:hAnsi="Arial"/>
          <w:color w:val="0A0A0A"/>
          <w:sz w:val="20"/>
          <w:szCs w:val="20"/>
          <w:rtl/>
        </w:rPr>
        <w:t xml:space="preserve">الديكور والهوية البصرية.</w:t>
      </w:r>
    </w:p>
    <w:p>
      <w:pPr>
        <w:pStyle w:val="ListParagraph"/>
        <w:numPr>
          <w:ilvl w:val="0"/>
          <w:numId w:val="2"/>
        </w:numPr>
        <w:bidi/>
        <w:spacing w:after="40" w:before="40"/>
        <w:jc w:val="right"/>
      </w:pPr>
      <w:r>
        <w:rPr>
          <w:rFonts w:ascii="Arial" w:cs="Arial" w:eastAsia="Arial" w:hAnsi="Arial"/>
          <w:color w:val="0A0A0A"/>
          <w:sz w:val="20"/>
          <w:szCs w:val="20"/>
          <w:rtl/>
        </w:rPr>
        <w:t xml:space="preserve">طاقم العمل (استقبال، تنسيق، مبيعات للمسار ب).</w:t>
      </w:r>
    </w:p>
    <w:p>
      <w:pPr>
        <w:pStyle w:val="ListParagraph"/>
        <w:numPr>
          <w:ilvl w:val="0"/>
          <w:numId w:val="2"/>
        </w:numPr>
        <w:bidi/>
        <w:spacing w:after="40" w:before="40"/>
        <w:jc w:val="right"/>
      </w:pPr>
      <w:r>
        <w:rPr>
          <w:rFonts w:ascii="Arial" w:cs="Arial" w:eastAsia="Arial" w:hAnsi="Arial"/>
          <w:color w:val="0A0A0A"/>
          <w:sz w:val="20"/>
          <w:szCs w:val="20"/>
          <w:rtl/>
        </w:rPr>
        <w:t xml:space="preserve">هدايا/مواد تسويقية.</w:t>
      </w:r>
    </w:p>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معيار مرجعي للمقارنة (مستوى الثقة: متوسطة): فعالية خليجية مماثلة لجالية بحجم مشابه قُدِّرت بـ79,000–168,000 دولار (~3.9–8.3 مليون جنيه) في بحث مرجعي مستقل. هذا لا يعني أن فعالية Radix يجب أن تكلف نفس المبلغ (نطاق ومستوى الفعالية قد يكون أصغر)، لكنه معيار يجب مقارنة التقدير التفصيلي به قبل تثبيت الرقم النهائي.</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6. الجمهور المستهدف — التقسيم المُعتمَد</w:t>
      </w:r>
    </w:p>
    <w:p>
      <w:pPr>
        <w:bidi/>
        <w:spacing w:after="60" w:before="60"/>
        <w:jc w:val="right"/>
      </w:pPr>
      <w:r>
        <w:rPr>
          <w:rFonts w:ascii="Arial" w:cs="Arial" w:eastAsia="Arial" w:hAnsi="Arial"/>
          <w:color w:val="0A0A0A"/>
          <w:sz w:val="21"/>
          <w:szCs w:val="21"/>
          <w:rtl/>
        </w:rPr>
        <w:t xml:space="preserve">الجمهور مُقسَّم حسب شريحة الدخل/القدرة المالية، وليس فقط حسب المهنة، حتى يُربَط كل عميل محتمل بالمشروع المناسب فعلياً.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الشريحة</w:t>
            </w:r>
          </w:p>
        </w:tc>
        <w:tc>
          <w:tcPr>
            <w:tcW w:type="dxa" w:w="14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الأولوية</w:t>
            </w:r>
          </w:p>
        </w:tc>
        <w:tc>
          <w:tcPr>
            <w:tcW w:type="dxa" w:w="53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ملاحظة الاستهداف</w:t>
            </w:r>
          </w:p>
        </w:tc>
      </w:tr>
      <w:tr>
        <w:tc>
          <w:tcPr>
            <w:tcW w:type="dxa" w:w="2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تجار/أصحاب منشآت صغيرة ومتوسطة مصريون</w:t>
            </w:r>
          </w:p>
        </w:tc>
        <w:tc>
          <w:tcPr>
            <w:tcW w:type="dxa" w:w="14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أولوية عالية</w:t>
            </w:r>
          </w:p>
        </w:tc>
        <w:tc>
          <w:tcPr>
            <w:tcW w:type="dxa" w:w="5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أعلى شريحة من حيث السيولة وتحمّل المخاطر — كانت مُهمَلة في الخطة الأصلية تحت تسمية عامة “رجال أعمال”، الآن تُستهدَف بشكل مستقل ومباشر</w:t>
            </w:r>
          </w:p>
        </w:tc>
      </w:tr>
      <w:tr>
        <w:tc>
          <w:tcPr>
            <w:tcW w:type="dxa" w:w="2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أطباء وأصحاب عيادات خاصة</w:t>
            </w:r>
          </w:p>
        </w:tc>
        <w:tc>
          <w:tcPr>
            <w:tcW w:type="dxa" w:w="14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w:t>
            </w:r>
          </w:p>
        </w:tc>
        <w:tc>
          <w:tcPr>
            <w:tcW w:type="dxa" w:w="5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يُستهدَف أصحاب العيادات الخاصة بشكل مفضَّل عن الأطباء العاملين بأجر فقط (فرق القدرة المالية)</w:t>
            </w:r>
          </w:p>
        </w:tc>
      </w:tr>
      <w:tr>
        <w:tc>
          <w:tcPr>
            <w:tcW w:type="dxa" w:w="2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مهندسون كبار/مديرو مشاريع</w:t>
            </w:r>
          </w:p>
        </w:tc>
        <w:tc>
          <w:tcPr>
            <w:tcW w:type="dxa" w:w="14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w:t>
            </w:r>
          </w:p>
        </w:tc>
        <w:tc>
          <w:tcPr>
            <w:tcW w:type="dxa" w:w="5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يُستهدَف المستوى الإداري الأعلى تحديداً، لا كل المهندسين بلا تمييز</w:t>
            </w:r>
          </w:p>
        </w:tc>
      </w:tr>
      <w:tr>
        <w:tc>
          <w:tcPr>
            <w:tcW w:type="dxa" w:w="2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مصريون عائدون/راغبون بالعودة (2–5 سنوات)</w:t>
            </w:r>
          </w:p>
        </w:tc>
        <w:tc>
          <w:tcPr>
            <w:tcW w:type="dxa" w:w="14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w:t>
            </w:r>
          </w:p>
        </w:tc>
        <w:tc>
          <w:tcPr>
            <w:tcW w:type="dxa" w:w="5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شريحة جديدة مُضافة — أعلى نية شرائية لمسكن أساسي، لم تكن مُستهدَفة في الخطة الأصلية</w:t>
            </w:r>
          </w:p>
        </w:tc>
      </w:tr>
      <w:tr>
        <w:tc>
          <w:tcPr>
            <w:tcW w:type="dxa" w:w="2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أقرباء العملاء الحاليين في الخليج</w:t>
            </w:r>
          </w:p>
        </w:tc>
        <w:tc>
          <w:tcPr>
            <w:tcW w:type="dxa" w:w="14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أولوية عالية</w:t>
            </w:r>
          </w:p>
        </w:tc>
        <w:tc>
          <w:tcPr>
            <w:tcW w:type="dxa" w:w="5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تُدمَج ضمن قناة إعادة التنشيط (§4.1) — تكلفة منخفضة وثقة عالية</w:t>
            </w:r>
          </w:p>
        </w:tc>
      </w:tr>
      <w:tr>
        <w:tc>
          <w:tcPr>
            <w:tcW w:type="dxa" w:w="2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مديرون تنفيذيون (إدارة عليا)</w:t>
            </w:r>
          </w:p>
        </w:tc>
        <w:tc>
          <w:tcPr>
            <w:tcW w:type="dxa" w:w="14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منخفضة الأولوية للفعالية الجماعية</w:t>
            </w:r>
          </w:p>
        </w:tc>
        <w:tc>
          <w:tcPr>
            <w:tcW w:type="dxa" w:w="53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يُستهدَفون بتواصل فردي مباشر (1:1)، لا كجزء من جمهور الفعالية الجماعية — فئة صغيرة لا تناسب نموذج القاعة</w:t>
            </w:r>
          </w:p>
        </w:tc>
      </w:tr>
      <w:tr>
        <w:tc>
          <w:tcPr>
            <w:tcW w:type="dxa" w:w="2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bCs/>
                <w:color w:val="0A0A0A"/>
                <w:sz w:val="17"/>
                <w:szCs w:val="17"/>
                <w:rtl/>
              </w:rPr>
              <w:t xml:space="preserve">مستثمرون سعوديون/عرب</w:t>
            </w:r>
          </w:p>
        </w:tc>
        <w:tc>
          <w:tcPr>
            <w:tcW w:type="dxa" w:w="14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متوسطة — تحتاج عرض قيمة مخصَّص</w:t>
            </w:r>
          </w:p>
        </w:tc>
        <w:tc>
          <w:tcPr>
            <w:tcW w:type="dxa" w:w="53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يحتاجون رسالة تسويقية مختلفة تركّز على العائد/التنويع/سعر الصرف، لا نفس رسالة الجالية المصرية</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7. بروتوكول ما قبل الفعالية وبعدها</w:t>
      </w:r>
    </w:p>
    <w:p>
      <w:pPr>
        <w:pStyle w:val="Heading2"/>
        <w:bidi/>
        <w:spacing w:after="100" w:before="280"/>
        <w:jc w:val="right"/>
      </w:pPr>
      <w:r>
        <w:rPr>
          <w:rFonts w:ascii="Arial" w:cs="Arial" w:eastAsia="Arial" w:hAnsi="Arial"/>
          <w:b/>
          <w:bCs/>
          <w:color w:val="1A2B4A"/>
          <w:sz w:val="26"/>
          <w:szCs w:val="26"/>
          <w:rtl/>
        </w:rPr>
        <w:t xml:space="preserve">7.1 مسار الدعوة والتأكيد (RSVP) — 30 يوماً قبل الفعالية</w:t>
      </w:r>
    </w:p>
    <w:p>
      <w:pPr>
        <w:pStyle w:val="ListParagraph"/>
        <w:numPr>
          <w:ilvl w:val="0"/>
          <w:numId w:val="2"/>
        </w:numPr>
        <w:bidi/>
        <w:spacing w:after="40" w:before="40"/>
        <w:jc w:val="right"/>
      </w:pPr>
      <w:r>
        <w:rPr>
          <w:rFonts w:ascii="Arial" w:cs="Arial" w:eastAsia="Arial" w:hAnsi="Arial"/>
          <w:color w:val="0A0A0A"/>
          <w:sz w:val="20"/>
          <w:szCs w:val="20"/>
          <w:rtl/>
        </w:rPr>
        <w:t xml:space="preserve">الأسبوع 1–2 قبل الفعالية: دعوة أولى (رسالة مباشرة + مكالمة لمن صُنِّف “حار”).</w:t>
      </w:r>
    </w:p>
    <w:p>
      <w:pPr>
        <w:pStyle w:val="ListParagraph"/>
        <w:numPr>
          <w:ilvl w:val="0"/>
          <w:numId w:val="2"/>
        </w:numPr>
        <w:bidi/>
        <w:spacing w:after="40" w:before="40"/>
        <w:jc w:val="right"/>
      </w:pPr>
      <w:r>
        <w:rPr>
          <w:rFonts w:ascii="Arial" w:cs="Arial" w:eastAsia="Arial" w:hAnsi="Arial"/>
          <w:color w:val="0A0A0A"/>
          <w:sz w:val="20"/>
          <w:szCs w:val="20"/>
          <w:rtl/>
        </w:rPr>
        <w:t xml:space="preserve">الأسبوع 3: تأكيد ثانٍ + تذكير بتفاصيل المكان والموعد.</w:t>
      </w:r>
    </w:p>
    <w:p>
      <w:pPr>
        <w:pStyle w:val="ListParagraph"/>
        <w:numPr>
          <w:ilvl w:val="0"/>
          <w:numId w:val="2"/>
        </w:numPr>
        <w:bidi/>
        <w:spacing w:after="40" w:before="40"/>
        <w:jc w:val="right"/>
      </w:pPr>
      <w:r>
        <w:rPr>
          <w:rFonts w:ascii="Arial" w:cs="Arial" w:eastAsia="Arial" w:hAnsi="Arial"/>
          <w:color w:val="0A0A0A"/>
          <w:sz w:val="20"/>
          <w:szCs w:val="20"/>
          <w:rtl/>
        </w:rPr>
        <w:t xml:space="preserve">3–5 أيام قبل الفعالية: تأكيد نهائي بالحضور لكل من وافق.</w:t>
      </w:r>
    </w:p>
    <w:p>
      <w:pPr>
        <w:pStyle w:val="ListParagraph"/>
        <w:numPr>
          <w:ilvl w:val="0"/>
          <w:numId w:val="2"/>
        </w:numPr>
        <w:bidi/>
        <w:spacing w:after="40" w:before="40"/>
        <w:jc w:val="right"/>
      </w:pPr>
      <w:r>
        <w:rPr>
          <w:rFonts w:ascii="Arial" w:cs="Arial" w:eastAsia="Arial" w:hAnsi="Arial"/>
          <w:color w:val="0A0A0A"/>
          <w:sz w:val="20"/>
          <w:szCs w:val="20"/>
          <w:rtl/>
        </w:rPr>
        <w:t xml:space="preserve">يوم الفعالية: رسالة تذكير صباحية.</w:t>
      </w:r>
    </w:p>
    <w:p>
      <w:pPr>
        <w:pStyle w:val="Heading2"/>
        <w:bidi/>
        <w:spacing w:after="100" w:before="280"/>
        <w:jc w:val="right"/>
      </w:pPr>
      <w:r>
        <w:rPr>
          <w:rFonts w:ascii="Arial" w:cs="Arial" w:eastAsia="Arial" w:hAnsi="Arial"/>
          <w:b/>
          <w:bCs/>
          <w:color w:val="1A2B4A"/>
          <w:sz w:val="26"/>
          <w:szCs w:val="26"/>
          <w:rtl/>
        </w:rPr>
        <w:t xml:space="preserve">7.2 بروتوكول المتابعة — 72 ساعة بعد الفعالية</w:t>
      </w:r>
    </w:p>
    <w:p>
      <w:pPr>
        <w:pStyle w:val="ListParagraph"/>
        <w:numPr>
          <w:ilvl w:val="0"/>
          <w:numId w:val="2"/>
        </w:numPr>
        <w:bidi/>
        <w:spacing w:after="40" w:before="40"/>
        <w:jc w:val="right"/>
      </w:pPr>
      <w:r>
        <w:rPr>
          <w:rFonts w:ascii="Arial" w:cs="Arial" w:eastAsia="Arial" w:hAnsi="Arial"/>
          <w:color w:val="0A0A0A"/>
          <w:sz w:val="20"/>
          <w:szCs w:val="20"/>
          <w:rtl/>
        </w:rPr>
        <w:t xml:space="preserve">أول 24 ساعة: رسالة شكر شخصية لكل حاضر (تُخصَّص لحضور المسار ب بشكل خاص بمعلومات إضافية عن المشروع الذي أظهروا اهتماماً به).</w:t>
      </w:r>
    </w:p>
    <w:p>
      <w:pPr>
        <w:pStyle w:val="ListParagraph"/>
        <w:numPr>
          <w:ilvl w:val="0"/>
          <w:numId w:val="2"/>
        </w:numPr>
        <w:bidi/>
        <w:spacing w:after="40" w:before="40"/>
        <w:jc w:val="right"/>
      </w:pPr>
      <w:r>
        <w:rPr>
          <w:rFonts w:ascii="Arial" w:cs="Arial" w:eastAsia="Arial" w:hAnsi="Arial"/>
          <w:color w:val="0A0A0A"/>
          <w:sz w:val="20"/>
          <w:szCs w:val="20"/>
          <w:rtl/>
        </w:rPr>
        <w:t xml:space="preserve">24–48 ساعة: مكالمة متابعة لكل من حضر المسار ب (الجلسة المغلقة) لتحديد موعد زيارة ميدانية.</w:t>
      </w:r>
    </w:p>
    <w:p>
      <w:pPr>
        <w:pStyle w:val="ListParagraph"/>
        <w:numPr>
          <w:ilvl w:val="0"/>
          <w:numId w:val="2"/>
        </w:numPr>
        <w:bidi/>
        <w:spacing w:after="40" w:before="40"/>
        <w:jc w:val="right"/>
      </w:pPr>
      <w:r>
        <w:rPr>
          <w:rFonts w:ascii="Arial" w:cs="Arial" w:eastAsia="Arial" w:hAnsi="Arial"/>
          <w:color w:val="0A0A0A"/>
          <w:sz w:val="20"/>
          <w:szCs w:val="20"/>
          <w:rtl/>
        </w:rPr>
        <w:t xml:space="preserve">48–72 ساعة: متابعة بريد/رسالة لحضور المسار أ الذين أظهروا اهتماماً، مع دعوة لجلسة فردية أو زيارة موقع.</w:t>
      </w:r>
    </w:p>
    <w:p>
      <w:pPr>
        <w:pStyle w:val="ListParagraph"/>
        <w:numPr>
          <w:ilvl w:val="0"/>
          <w:numId w:val="2"/>
        </w:numPr>
        <w:bidi/>
        <w:spacing w:after="40" w:before="40"/>
        <w:jc w:val="right"/>
      </w:pPr>
      <w:r>
        <w:rPr>
          <w:rFonts w:ascii="Arial" w:cs="Arial" w:eastAsia="Arial" w:hAnsi="Arial"/>
          <w:color w:val="0A0A0A"/>
          <w:sz w:val="20"/>
          <w:szCs w:val="20"/>
          <w:rtl/>
        </w:rPr>
        <w:t xml:space="preserve">بعد 30 يوماً: تقييم أولي لعدد طلبات الزيارة الفعلية مقابل الأهداف في §2.</w:t>
      </w:r>
    </w:p>
    <w:p>
      <w:pPr>
        <w:pStyle w:val="ListParagraph"/>
        <w:numPr>
          <w:ilvl w:val="0"/>
          <w:numId w:val="2"/>
        </w:numPr>
        <w:bidi/>
        <w:spacing w:after="40" w:before="40"/>
        <w:jc w:val="right"/>
      </w:pPr>
      <w:r>
        <w:rPr>
          <w:rFonts w:ascii="Arial" w:cs="Arial" w:eastAsia="Arial" w:hAnsi="Arial"/>
          <w:color w:val="0A0A0A"/>
          <w:sz w:val="20"/>
          <w:szCs w:val="20"/>
          <w:rtl/>
        </w:rPr>
        <w:t xml:space="preserve">بعد 90 يوماً: تقييم نهائي لعدد العقود الموقَّعة — هذا هو رقم تقرير الإغلاق (مرحلة التمويل 3).</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8. المسؤوليات والجدول الزمني العام</w:t>
      </w:r>
    </w:p>
    <w:p>
      <w:pPr>
        <w:pBdr>
          <w:right w:val="single" w:color="1B4F8A" w:sz="16"/>
        </w:pBdr>
        <w:shd w:fill="E3ECF7" w:val="clear"/>
        <w:bidi/>
        <w:spacing w:after="100" w:before="100"/>
        <w:ind w:right="300"/>
        <w:jc w:val="right"/>
      </w:pPr>
      <w:r>
        <w:rPr>
          <w:rFonts w:ascii="Arial" w:cs="Arial" w:eastAsia="Arial" w:hAnsi="Arial"/>
          <w:color w:val="1B4F8A"/>
          <w:sz w:val="20"/>
          <w:szCs w:val="20"/>
          <w:rtl/>
        </w:rPr>
        <w:t xml:space="preserve">هذا جدول زمني إطاري بمستوى الشهر/المرحلة، لا جدولاً يومياً تفصيلياً. على فريق إدارة المشروع بناء تقويم تنفيذي تفصيلي (Excel/Trello/Asana) استناداً لهذا الإطار.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2800"/>
        <w:gridCol w:w="2760"/>
      </w:tblGrid>
      <w:tr>
        <w:trPr>
          <w:tblHeader/>
        </w:trPr>
        <w:tc>
          <w:tcPr>
            <w:tcW w:type="dxa" w:w="9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المرحلة</w:t>
            </w:r>
          </w:p>
        </w:tc>
        <w:tc>
          <w:tcPr>
            <w:tcW w:type="dxa" w:w="29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الوصف</w:t>
            </w:r>
          </w:p>
        </w:tc>
        <w:tc>
          <w:tcPr>
            <w:tcW w:type="dxa" w:w="28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المسؤول (يُحدَّد بالاسم/الجهة)</w:t>
            </w:r>
          </w:p>
        </w:tc>
        <w:tc>
          <w:tcPr>
            <w:tcW w:type="dxa" w:w="27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مدة تقديرية</w:t>
            </w:r>
          </w:p>
        </w:tc>
      </w:tr>
      <w:tr>
        <w:tc>
          <w:tcPr>
            <w:tcW w:type="dxa" w:w="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‎0‎</w:t>
            </w:r>
          </w:p>
        </w:tc>
        <w:tc>
          <w:tcPr>
            <w:tcW w:type="dxa" w:w="2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تدقيق CRM وتنظيف قاعدة البيانات الحالية</w:t>
            </w:r>
          </w:p>
        </w:tc>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داخلي/مختص بيانات]</w:t>
            </w:r>
          </w:p>
        </w:tc>
        <w:tc>
          <w:tcPr>
            <w:tcW w:type="dxa" w:w="2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2–3 أسابيع</w:t>
            </w:r>
          </w:p>
        </w:tc>
      </w:tr>
      <w:tr>
        <w:tc>
          <w:tcPr>
            <w:tcW w:type="dxa" w:w="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‎1‎</w:t>
            </w:r>
          </w:p>
        </w:tc>
        <w:tc>
          <w:tcPr>
            <w:tcW w:type="dxa" w:w="2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إعادة تنشيط العملاء الحاليين وأقربائهم بالخليج</w:t>
            </w:r>
          </w:p>
        </w:tc>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المبيعات]</w:t>
            </w:r>
          </w:p>
        </w:tc>
        <w:tc>
          <w:tcPr>
            <w:tcW w:type="dxa" w:w="27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3–4 أسابيع</w:t>
            </w:r>
          </w:p>
        </w:tc>
      </w:tr>
      <w:tr>
        <w:tc>
          <w:tcPr>
            <w:tcW w:type="dxa" w:w="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w:t>
            </w:r>
          </w:p>
        </w:tc>
        <w:tc>
          <w:tcPr>
            <w:tcW w:type="dxa" w:w="2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رسم خريطة المجتمع وتحديد الشركاء المحتملين</w:t>
            </w:r>
          </w:p>
        </w:tc>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التسويق/علاقات عامة]</w:t>
            </w:r>
          </w:p>
        </w:tc>
        <w:tc>
          <w:tcPr>
            <w:tcW w:type="dxa" w:w="2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3–4 أسابيع</w:t>
            </w:r>
          </w:p>
        </w:tc>
      </w:tr>
      <w:tr>
        <w:tc>
          <w:tcPr>
            <w:tcW w:type="dxa" w:w="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‎3‎</w:t>
            </w:r>
          </w:p>
        </w:tc>
        <w:tc>
          <w:tcPr>
            <w:tcW w:type="dxa" w:w="2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اكتساب الشراكات (تحويل القائمة المبدئية لاتفاقيات فعلية)</w:t>
            </w:r>
          </w:p>
        </w:tc>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علاقات عامة]</w:t>
            </w:r>
          </w:p>
        </w:tc>
        <w:tc>
          <w:tcPr>
            <w:tcW w:type="dxa" w:w="27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4–6 أسابيع</w:t>
            </w:r>
          </w:p>
        </w:tc>
      </w:tr>
      <w:tr>
        <w:tc>
          <w:tcPr>
            <w:tcW w:type="dxa" w:w="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‎4‎</w:t>
            </w:r>
          </w:p>
        </w:tc>
        <w:tc>
          <w:tcPr>
            <w:tcW w:type="dxa" w:w="2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تنفيذ خطة توليد العملاء المحتملين (مزيج القنوات)</w:t>
            </w:r>
          </w:p>
        </w:tc>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التسويق]</w:t>
            </w:r>
          </w:p>
        </w:tc>
        <w:tc>
          <w:tcPr>
            <w:tcW w:type="dxa" w:w="2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6–8 أسابيع (يتوازى مع المرحلة 3)</w:t>
            </w:r>
          </w:p>
        </w:tc>
      </w:tr>
      <w:tr>
        <w:tc>
          <w:tcPr>
            <w:tcW w:type="dxa" w:w="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‎5‎</w:t>
            </w:r>
          </w:p>
        </w:tc>
        <w:tc>
          <w:tcPr>
            <w:tcW w:type="dxa" w:w="2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إطلاق “Investor Circle” رسمياً (هوية، مستويات عضوية)</w:t>
            </w:r>
          </w:p>
        </w:tc>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تسويق + تصميم]</w:t>
            </w:r>
          </w:p>
        </w:tc>
        <w:tc>
          <w:tcPr>
            <w:tcW w:type="dxa" w:w="27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2–3 أسابيع</w:t>
            </w:r>
          </w:p>
        </w:tc>
      </w:tr>
      <w:tr>
        <w:tc>
          <w:tcPr>
            <w:tcW w:type="dxa" w:w="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‎6‎</w:t>
            </w:r>
          </w:p>
        </w:tc>
        <w:tc>
          <w:tcPr>
            <w:tcW w:type="dxa" w:w="2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الفعالية الرئيسية (المسار أ + المسار ب)</w:t>
            </w:r>
          </w:p>
        </w:tc>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مدير فعاليات + فريق مبيعات]</w:t>
            </w:r>
          </w:p>
        </w:tc>
        <w:tc>
          <w:tcPr>
            <w:tcW w:type="dxa" w:w="2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يوم/يومان + 4–6 أسابيع تحضير مباشر</w:t>
            </w:r>
          </w:p>
        </w:tc>
      </w:tr>
      <w:tr>
        <w:tc>
          <w:tcPr>
            <w:tcW w:type="dxa" w:w="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‎7‎</w:t>
            </w:r>
          </w:p>
        </w:tc>
        <w:tc>
          <w:tcPr>
            <w:tcW w:type="dxa" w:w="29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متابعة المبيعات (بروتوكول 72 ساعة + 30/90 يوماً)</w:t>
            </w:r>
          </w:p>
        </w:tc>
        <w:tc>
          <w:tcPr>
            <w:tcW w:type="dxa" w:w="28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المبيعات]</w:t>
            </w:r>
          </w:p>
        </w:tc>
        <w:tc>
          <w:tcPr>
            <w:tcW w:type="dxa" w:w="27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حتى 90 يوماً بعد الفعالية</w:t>
            </w:r>
          </w:p>
        </w:tc>
      </w:tr>
      <w:tr>
        <w:tc>
          <w:tcPr>
            <w:tcW w:type="dxa" w:w="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‎8‎</w:t>
            </w:r>
          </w:p>
        </w:tc>
        <w:tc>
          <w:tcPr>
            <w:tcW w:type="dxa" w:w="29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التقرير الختامي وتوصية التوسّع لمدينة ثانية</w:t>
            </w:r>
          </w:p>
        </w:tc>
        <w:tc>
          <w:tcPr>
            <w:tcW w:type="dxa" w:w="28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[يُسمَّى — فريق إدارة المشروع]</w:t>
            </w:r>
          </w:p>
        </w:tc>
        <w:tc>
          <w:tcPr>
            <w:tcW w:type="dxa" w:w="27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2–3 أسابيع بعد إغلاق المرحلة 7</w:t>
            </w:r>
          </w:p>
        </w:tc>
      </w:tr>
    </w:tbl>
    <w:p>
      <w:pPr>
        <w:pBdr>
          <w:right w:val="single" w:color="C0392B" w:sz="16"/>
        </w:pBdr>
        <w:shd w:fill="FBE5E3" w:val="clear"/>
        <w:bidi/>
        <w:spacing w:after="100" w:before="100"/>
        <w:ind w:right="300"/>
        <w:jc w:val="right"/>
      </w:pPr>
      <w:r>
        <w:rPr>
          <w:rFonts w:ascii="Arial" w:cs="Arial" w:eastAsia="Arial" w:hAnsi="Arial"/>
          <w:color w:val="C0392B"/>
          <w:sz w:val="20"/>
          <w:szCs w:val="20"/>
          <w:rtl/>
        </w:rPr>
        <w:t xml:space="preserve">نقطتا تحقق Go/No-Go إلزاميتان: بعد المرحلة 2 (هل المجتمع المُتاح بالحجم الكافي؟) وبعد المرحلة 4 (هل معدلات توليد العملاء تتماشى مع الهدف؟). إذا فشلت أي بوابة، تُعاد جدولة أو تُعدَّل المراحل التالية قبل الاستمرار — لا تُموَّل المرحلة التالية تلقائياً.</w:t>
      </w:r>
    </w:p>
    <w:p>
      <w:pPr>
        <w:bidi/>
        <w:spacing w:after="60" w:before="60"/>
        <w:jc w:val="right"/>
      </w:pPr>
      <w:r>
        <w:rPr>
          <w:rFonts w:ascii="Arial" w:cs="Arial" w:eastAsia="Arial" w:hAnsi="Arial"/>
          <w:b/>
          <w:bCs/>
          <w:color w:val="0A0A0A"/>
          <w:sz w:val="21"/>
          <w:szCs w:val="21"/>
          <w:rtl/>
        </w:rPr>
        <w:t xml:space="preserve">ملاحظة: التوسّع لمدينة ثانية (جدة/المنطقة الشرقية) — كان في الخطة الأصلية مرحلة مُسلسَلة قبل توفر أي بيانات من الرياض. تم تأجيله رسمياً ليكون قراراً منفصلاً يُتَّخذ فقط بعد التقرير الختامي للمرحلة 8، وليس جزءاً من هذا التنفيذ.</w:t>
      </w:r>
    </w:p>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9. المخاطر الرئيسية التي يجب مراقبتها أثناء التنفيذ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460"/>
      </w:tblGrid>
      <w:tr>
        <w:trPr>
          <w:tblHeader/>
        </w:trPr>
        <w:tc>
          <w:tcPr>
            <w:tcW w:type="dxa" w:w="36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الخطر</w:t>
            </w:r>
          </w:p>
        </w:tc>
        <w:tc>
          <w:tcPr>
            <w:tcW w:type="dxa" w:w="130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المستوى</w:t>
            </w:r>
          </w:p>
        </w:tc>
        <w:tc>
          <w:tcPr>
            <w:tcW w:type="dxa" w:w="4460"/>
            <w:tcBorders>
              <w:top w:val="single" w:color="1A2B4A" w:sz="1"/>
              <w:left w:val="single" w:color="1A2B4A" w:sz="1"/>
              <w:bottom w:val="single" w:color="1A2B4A" w:sz="1"/>
              <w:right w:val="single" w:color="1A2B4A" w:sz="1"/>
            </w:tcBorders>
            <w:shd w:fill="1A2B4A" w:val="clear"/>
            <w:tcMar>
              <w:top w:type="dxa" w:w="60"/>
              <w:left w:type="dxa" w:w="80"/>
              <w:bottom w:type="dxa" w:w="60"/>
              <w:right w:type="dxa" w:w="80"/>
            </w:tcMar>
            <w:vAlign w:val="center"/>
          </w:tcPr>
          <w:p>
            <w:pPr>
              <w:bidi/>
              <w:jc w:val="center"/>
            </w:pPr>
            <w:r>
              <w:rPr>
                <w:rFonts w:ascii="Arial" w:cs="Arial" w:eastAsia="Arial" w:hAnsi="Arial"/>
                <w:b/>
                <w:bCs/>
                <w:color w:val="C49A22"/>
                <w:sz w:val="17"/>
                <w:szCs w:val="17"/>
                <w:rtl/>
              </w:rPr>
              <w:t xml:space="preserve">إجراء المراقبة/التخفيف</w:t>
            </w:r>
          </w:p>
        </w:tc>
      </w:tr>
      <w:tr>
        <w:tc>
          <w:tcPr>
            <w:tcW w:type="dxa" w:w="3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المجتمع المُتاح فعلياً أصغر من المُفترَض</w:t>
            </w:r>
          </w:p>
        </w:tc>
        <w:tc>
          <w:tcPr>
            <w:tcW w:type="dxa" w:w="1300"/>
            <w:tcBorders>
              <w:top w:val="single" w:color="D8DBE0" w:sz="1"/>
              <w:left w:val="single" w:color="D8DBE0" w:sz="1"/>
              <w:bottom w:val="single" w:color="D8DBE0" w:sz="1"/>
              <w:right w:val="single" w:color="D8DBE0" w:sz="1"/>
            </w:tcBorders>
            <w:shd w:fill="FCEBDD" w:val="clear"/>
            <w:tcMar>
              <w:top w:type="dxa" w:w="55"/>
              <w:left w:type="dxa" w:w="80"/>
              <w:bottom w:type="dxa" w:w="55"/>
              <w:right w:type="dxa" w:w="80"/>
            </w:tcMar>
            <w:vAlign w:val="center"/>
          </w:tcPr>
          <w:p>
            <w:pPr>
              <w:bidi/>
              <w:jc w:val="center"/>
            </w:pPr>
            <w:r>
              <w:rPr>
                <w:rFonts w:ascii="Arial" w:cs="Arial" w:eastAsia="Arial" w:hAnsi="Arial"/>
                <w:b/>
                <w:bCs/>
                <w:color w:val="C0651B"/>
                <w:sz w:val="17"/>
                <w:szCs w:val="17"/>
                <w:rtl/>
              </w:rPr>
              <w:t xml:space="preserve">عالي</w:t>
            </w:r>
          </w:p>
        </w:tc>
        <w:tc>
          <w:tcPr>
            <w:tcW w:type="dxa" w:w="4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يُكتشَف في بوابة Go/No-Go بعد المرحلة 2 — إذا تأكَّد، تُعدَّل أهداف §2 ومزيج القنوات في §4 قبل الاستمرار</w:t>
            </w:r>
          </w:p>
        </w:tc>
      </w:tr>
      <w:tr>
        <w:tc>
          <w:tcPr>
            <w:tcW w:type="dxa" w:w="3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تقلّب سعر الصرف ريال/جنيه</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4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بند احتياطي 5–10% مُدرَج فعلياً في مرحلة التمويل 2 (§1.2) — يُراجَع سعر الصرف المعتمد شهرياً</w:t>
            </w:r>
          </w:p>
        </w:tc>
      </w:tr>
      <w:tr>
        <w:tc>
          <w:tcPr>
            <w:tcW w:type="dxa" w:w="3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تأخر تأكيد الشركاء المجتمعيين</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4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تُبدَأ محادثات الشراكة من مرحلة الاستكشاف (المرحلة 0–2) لا من المرحلة 3 فقط، لتوفير وقت احتياطي</w:t>
            </w:r>
          </w:p>
        </w:tc>
      </w:tr>
      <w:tr>
        <w:tc>
          <w:tcPr>
            <w:tcW w:type="dxa" w:w="360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معدل تحويل المسار ب أقل من المتوقَّع رغم التصفية المسبقة</w:t>
            </w:r>
          </w:p>
        </w:tc>
        <w:tc>
          <w:tcPr>
            <w:tcW w:type="dxa" w:w="1300"/>
            <w:tcBorders>
              <w:top w:val="single" w:color="D8DBE0" w:sz="1"/>
              <w:left w:val="single" w:color="D8DBE0" w:sz="1"/>
              <w:bottom w:val="single" w:color="D8DBE0" w:sz="1"/>
              <w:right w:val="single" w:color="D8DBE0" w:sz="1"/>
            </w:tcBorders>
            <w:shd w:fill="FBF3D9" w:val="clear"/>
            <w:tcMar>
              <w:top w:type="dxa" w:w="55"/>
              <w:left w:type="dxa" w:w="80"/>
              <w:bottom w:type="dxa" w:w="55"/>
              <w:right w:type="dxa" w:w="80"/>
            </w:tcMar>
            <w:vAlign w:val="center"/>
          </w:tcPr>
          <w:p>
            <w:pPr>
              <w:bidi/>
              <w:jc w:val="center"/>
            </w:pPr>
            <w:r>
              <w:rPr>
                <w:rFonts w:ascii="Arial" w:cs="Arial" w:eastAsia="Arial" w:hAnsi="Arial"/>
                <w:b/>
                <w:bCs/>
                <w:color w:val="9A7D0A"/>
                <w:sz w:val="17"/>
                <w:szCs w:val="17"/>
                <w:rtl/>
              </w:rPr>
              <w:t xml:space="preserve">متوسط</w:t>
            </w:r>
          </w:p>
        </w:tc>
        <w:tc>
          <w:tcPr>
            <w:tcW w:type="dxa" w:w="4460"/>
            <w:tcBorders>
              <w:top w:val="single" w:color="D8DBE0" w:sz="1"/>
              <w:left w:val="single" w:color="D8DBE0" w:sz="1"/>
              <w:bottom w:val="single" w:color="D8DBE0" w:sz="1"/>
              <w:right w:val="single" w:color="D8DBE0" w:sz="1"/>
            </w:tcBorders>
            <w:shd w:fill="F3F4F6"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يُتابَع أسبوعياً بعد الفعالية عبر مؤشر طلبات الزيارة الخاصة (§7.2) — إذا انخفض عن النطاق المحافظ في §2 تُعدَّل استراتيجية المتابعة فوراً</w:t>
            </w:r>
          </w:p>
        </w:tc>
      </w:tr>
      <w:tr>
        <w:tc>
          <w:tcPr>
            <w:tcW w:type="dxa" w:w="360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غياب مسؤول واضح لمرحلة ما يؤخّر التنفيذ</w:t>
            </w:r>
          </w:p>
        </w:tc>
        <w:tc>
          <w:tcPr>
            <w:tcW w:type="dxa" w:w="1300"/>
            <w:tcBorders>
              <w:top w:val="single" w:color="D8DBE0" w:sz="1"/>
              <w:left w:val="single" w:color="D8DBE0" w:sz="1"/>
              <w:bottom w:val="single" w:color="D8DBE0" w:sz="1"/>
              <w:right w:val="single" w:color="D8DBE0" w:sz="1"/>
            </w:tcBorders>
            <w:shd w:fill="E3F0EA" w:val="clear"/>
            <w:tcMar>
              <w:top w:type="dxa" w:w="55"/>
              <w:left w:type="dxa" w:w="80"/>
              <w:bottom w:type="dxa" w:w="55"/>
              <w:right w:type="dxa" w:w="80"/>
            </w:tcMar>
            <w:vAlign w:val="center"/>
          </w:tcPr>
          <w:p>
            <w:pPr>
              <w:bidi/>
              <w:jc w:val="center"/>
            </w:pPr>
            <w:r>
              <w:rPr>
                <w:rFonts w:ascii="Arial" w:cs="Arial" w:eastAsia="Arial" w:hAnsi="Arial"/>
                <w:b/>
                <w:bCs/>
                <w:color w:val="1A6B4A"/>
                <w:sz w:val="17"/>
                <w:szCs w:val="17"/>
                <w:rtl/>
              </w:rPr>
              <w:t xml:space="preserve">منخفض بعد التعيين</w:t>
            </w:r>
          </w:p>
        </w:tc>
        <w:tc>
          <w:tcPr>
            <w:tcW w:type="dxa" w:w="4460"/>
            <w:tcBorders>
              <w:top w:val="single" w:color="D8DBE0" w:sz="1"/>
              <w:left w:val="single" w:color="D8DBE0" w:sz="1"/>
              <w:bottom w:val="single" w:color="D8DBE0" w:sz="1"/>
              <w:right w:val="single" w:color="D8DBE0" w:sz="1"/>
            </w:tcBorders>
            <w:shd w:fill="FFFFFF" w:val="clear"/>
            <w:tcMar>
              <w:top w:type="dxa" w:w="55"/>
              <w:left w:type="dxa" w:w="80"/>
              <w:bottom w:type="dxa" w:w="55"/>
              <w:right w:type="dxa" w:w="80"/>
            </w:tcMar>
            <w:vAlign w:val="center"/>
          </w:tcPr>
          <w:p>
            <w:pPr>
              <w:bidi/>
              <w:jc w:val="right"/>
            </w:pPr>
            <w:r>
              <w:rPr>
                <w:rFonts w:ascii="Arial" w:cs="Arial" w:eastAsia="Arial" w:hAnsi="Arial"/>
                <w:b w:val="false"/>
                <w:bCs w:val="false"/>
                <w:color w:val="0A0A0A"/>
                <w:sz w:val="17"/>
                <w:szCs w:val="17"/>
                <w:rtl/>
              </w:rPr>
              <w:t xml:space="preserve">كل خلية “[يُسمَّى]” في جدول §8 يجب أن تُملأ باسم/جهة فعلية قبل بدء أي مرحلة — هذا أول إجراء إداري مطلوب فوراً</w:t>
            </w:r>
          </w:p>
        </w:tc>
      </w:tr>
    </w:tbl>
    <w:p>
      <w:pPr>
        <w:pBdr>
          <w:bottom w:val="single" w:color="F3F4F6" w:sz="4"/>
        </w:pBdr>
        <w:spacing w:after="200" w:before="200"/>
      </w:pPr>
    </w:p>
    <w:p>
      <w:r>
        <w:br w:type="page"/>
      </w:r>
    </w:p>
    <w:p>
      <w:pPr>
        <w:pStyle w:val="Heading1"/>
        <w:pBdr>
          <w:bottom w:val="single" w:color="C49A22" w:sz="8" w:space="4"/>
        </w:pBdr>
        <w:bidi/>
        <w:spacing w:after="160" w:before="440"/>
        <w:jc w:val="right"/>
      </w:pPr>
      <w:r>
        <w:rPr>
          <w:rFonts w:ascii="Arial" w:cs="Arial" w:eastAsia="Arial" w:hAnsi="Arial"/>
          <w:b/>
          <w:bCs/>
          <w:color w:val="1A2B4A"/>
          <w:sz w:val="32"/>
          <w:szCs w:val="32"/>
          <w:rtl/>
        </w:rPr>
        <w:t xml:space="preserve">10. الملخص الختامي</w:t>
      </w:r>
    </w:p>
    <w:p>
      <w:pPr>
        <w:bidi/>
        <w:spacing w:after="60" w:before="60"/>
        <w:jc w:val="right"/>
      </w:pPr>
      <w:r>
        <w:rPr>
          <w:rFonts w:ascii="Arial" w:cs="Arial" w:eastAsia="Arial" w:hAnsi="Arial"/>
          <w:b/>
          <w:bCs/>
          <w:color w:val="0A0A0A"/>
          <w:sz w:val="21"/>
          <w:szCs w:val="21"/>
          <w:rtl/>
        </w:rPr>
        <w:t xml:space="preserve">هذا الدليل يجمع النسخة المُحسَّنة من Radix Investors Circle 2026 بعد دمج كل توصيات الفريق الأزرق (B1–B12) في الخطة الأصلية ذات 9 مراحل. أهم خمسة تغييرات جوهرية عن الخطة الأصلية:</w:t>
      </w:r>
    </w:p>
    <w:p>
      <w:pPr>
        <w:pStyle w:val="ListParagraph"/>
        <w:numPr>
          <w:ilvl w:val="0"/>
          <w:numId w:val="4"/>
        </w:numPr>
        <w:bidi/>
        <w:spacing w:after="50" w:before="50"/>
        <w:jc w:val="right"/>
      </w:pPr>
      <w:r>
        <w:rPr>
          <w:rFonts w:ascii="Arial" w:cs="Arial" w:eastAsia="Arial" w:hAnsi="Arial"/>
          <w:color w:val="0A0A0A"/>
          <w:sz w:val="20"/>
          <w:szCs w:val="20"/>
          <w:rtl/>
        </w:rPr>
        <w:t xml:space="preserve">التمويل أصبح مرحلياً على 3 دفعات ببوابات Go/No-Go، بدلاً من إفراج فوري عن كامل المبلغ (§1).</w:t>
      </w:r>
    </w:p>
    <w:p>
      <w:pPr>
        <w:pStyle w:val="ListParagraph"/>
        <w:numPr>
          <w:ilvl w:val="0"/>
          <w:numId w:val="4"/>
        </w:numPr>
        <w:bidi/>
        <w:spacing w:after="50" w:before="50"/>
        <w:jc w:val="right"/>
      </w:pPr>
      <w:r>
        <w:rPr>
          <w:rFonts w:ascii="Arial" w:cs="Arial" w:eastAsia="Arial" w:hAnsi="Arial"/>
          <w:color w:val="0A0A0A"/>
          <w:sz w:val="20"/>
          <w:szCs w:val="20"/>
          <w:rtl/>
        </w:rPr>
        <w:t xml:space="preserve">مؤشرات الأداء أُعيد ضبطها بنطاقات محافظة/متوقَّعة/طموحة واقعية، بدلاً من رقمين ثابتين منذ المقترح الأول (§2).</w:t>
      </w:r>
    </w:p>
    <w:p>
      <w:pPr>
        <w:pStyle w:val="ListParagraph"/>
        <w:numPr>
          <w:ilvl w:val="0"/>
          <w:numId w:val="4"/>
        </w:numPr>
        <w:bidi/>
        <w:spacing w:after="50" w:before="50"/>
        <w:jc w:val="right"/>
      </w:pPr>
      <w:r>
        <w:rPr>
          <w:rFonts w:ascii="Arial" w:cs="Arial" w:eastAsia="Arial" w:hAnsi="Arial"/>
          <w:color w:val="0A0A0A"/>
          <w:sz w:val="20"/>
          <w:szCs w:val="20"/>
          <w:rtl/>
        </w:rPr>
        <w:t xml:space="preserve">الفعالية الرئيسية أصبحت بصيغة مسارين (استقبال واسع + جلسة مغلقة لمؤهَّلين مسبقاً)، بدلاً من فعالية واحدة بمعدل تحويل غير واقعي (§5).</w:t>
      </w:r>
    </w:p>
    <w:p>
      <w:pPr>
        <w:pStyle w:val="ListParagraph"/>
        <w:numPr>
          <w:ilvl w:val="0"/>
          <w:numId w:val="4"/>
        </w:numPr>
        <w:bidi/>
        <w:spacing w:after="50" w:before="50"/>
        <w:jc w:val="right"/>
      </w:pPr>
      <w:r>
        <w:rPr>
          <w:rFonts w:ascii="Arial" w:cs="Arial" w:eastAsia="Arial" w:hAnsi="Arial"/>
          <w:color w:val="0A0A0A"/>
          <w:sz w:val="20"/>
          <w:szCs w:val="20"/>
          <w:rtl/>
        </w:rPr>
        <w:t xml:space="preserve">خطة توليد العملاء المحتملين أصبحت بمزيج قنوات مُحدَّد ومعادلة تقييم فعلية، بدلاً من رقم مفتوح بلا مصدر (§4).</w:t>
      </w:r>
    </w:p>
    <w:p>
      <w:pPr>
        <w:pStyle w:val="ListParagraph"/>
        <w:numPr>
          <w:ilvl w:val="0"/>
          <w:numId w:val="4"/>
        </w:numPr>
        <w:bidi/>
        <w:spacing w:after="50" w:before="50"/>
        <w:jc w:val="right"/>
      </w:pPr>
      <w:r>
        <w:rPr>
          <w:rFonts w:ascii="Arial" w:cs="Arial" w:eastAsia="Arial" w:hAnsi="Arial"/>
          <w:color w:val="0A0A0A"/>
          <w:sz w:val="20"/>
          <w:szCs w:val="20"/>
          <w:rtl/>
        </w:rPr>
        <w:t xml:space="preserve">التوسّع لمدينة ثانية أُجِّل رسمياً ليكون قراراً لاحقاً منفصلاً، بدلاً من مرحلة مُسلسَلة سابقة لأوانها (§8).</w:t>
      </w:r>
    </w:p>
    <w:p>
      <w:pPr>
        <w:bidi/>
        <w:spacing w:after="60" w:before="60"/>
        <w:jc w:val="right"/>
      </w:pPr>
      <w:r>
        <w:rPr>
          <w:rFonts w:ascii="Arial" w:cs="Arial" w:eastAsia="Arial" w:hAnsi="Arial"/>
          <w:b/>
          <w:bCs/>
          <w:color w:val="0A0A0A"/>
          <w:sz w:val="21"/>
          <w:szCs w:val="21"/>
          <w:rtl/>
        </w:rPr>
        <w:t xml:space="preserve">الخطوة العملية الفورية: تفعيل مرحلة التمويل 1 (الاستكشاف) بميزانية 100,000–300,000 جنيه، وتعيين المسؤولين الفعليين لكل خلية “[يُسمَّى]” في §8، بدءاً من تدقيق CRM (المرحلة 0).</w:t>
      </w:r>
    </w:p>
    <w:p>
      <w:pPr>
        <w:bidi/>
        <w:spacing w:after="0" w:before="360"/>
        <w:jc w:val="center"/>
      </w:pPr>
      <w:r>
        <w:rPr>
          <w:rFonts w:ascii="Arial" w:cs="Arial" w:eastAsia="Arial" w:hAnsi="Arial"/>
          <w:color w:val="6B7280"/>
          <w:sz w:val="17"/>
          <w:szCs w:val="17"/>
          <w:rtl/>
        </w:rPr>
        <w:t xml:space="preserve">Radix Investors Circle 2026 — دليل تنفيذي مرجعي  ·  داخلي — لاستخدام فريق التنفيذ  ·  يونيو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3F4F6" w:sz="4"/>
      </w:pBdr>
      <w:bidi/>
      <w:jc w:val="center"/>
    </w:pPr>
    <w:r>
      <w:rPr>
        <w:rFonts w:ascii="Arial" w:cs="Arial" w:eastAsia="Arial" w:hAnsi="Arial"/>
        <w:color w:val="6B7280"/>
        <w:sz w:val="18"/>
        <w:szCs w:val="18"/>
        <w:rtl/>
      </w:rPr>
      <w:t xml:space="preserve">صفحة </w:t>
    </w:r>
    <w:r>
      <w:rPr>
        <w:rFonts w:ascii="Arial" w:cs="Arial" w:eastAsia="Arial" w:hAnsi="Arial"/>
        <w:color w:val="C49A22"/>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22" w:sz="6"/>
      </w:pBdr>
      <w:bidi/>
    </w:pPr>
    <w:r>
      <w:rPr>
        <w:rFonts w:ascii="Arial" w:cs="Arial" w:eastAsia="Arial" w:hAnsi="Arial"/>
        <w:b/>
        <w:bCs/>
        <w:color w:val="1A2B4A"/>
        <w:sz w:val="18"/>
        <w:szCs w:val="18"/>
        <w:rtl/>
      </w:rPr>
      <w:t xml:space="preserve">Radix Investors Circle 2026</w:t>
    </w:r>
    <w:r>
      <w:rPr>
        <w:rFonts w:ascii="Arial" w:cs="Arial" w:eastAsia="Arial" w:hAnsi="Arial"/>
        <w:color w:val="6B7280"/>
        <w:sz w:val="16"/>
        <w:szCs w:val="16"/>
        <w:rtl/>
      </w:rPr>
      <w:t xml:space="preserve">   |   دليل تنفيذي مرجعي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abstractNum w:abstractNumId="4"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40"/>
      <w:jc w:val="right"/>
      <w:outlineLvl w:val="0"/>
    </w:pPr>
    <w:rPr>
      <w:rFonts w:ascii="Arial" w:cs="Arial" w:eastAsia="Arial" w:hAnsi="Arial"/>
      <w:b/>
      <w:bCs/>
      <w:sz w:val="32"/>
      <w:szCs w:val="32"/>
      <w:rtl/>
    </w:rPr>
  </w:style>
  <w:style w:type="paragraph" w:styleId="Heading2">
    <w:name w:val="Heading 2"/>
    <w:basedOn w:val="Normal"/>
    <w:next w:val="Normal"/>
    <w:qFormat/>
    <w:pPr>
      <w:bidi/>
      <w:spacing w:after="100" w:before="280"/>
      <w:jc w:val="right"/>
      <w:outlineLvl w:val="1"/>
    </w:pPr>
    <w:rPr>
      <w:rFonts w:ascii="Arial" w:cs="Arial" w:eastAsia="Arial" w:hAnsi="Arial"/>
      <w:b/>
      <w:bCs/>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2026-06-16T20:47:17.025Z</dcterms:created>
  <dcterms:modified xsi:type="dcterms:W3CDTF">2026-06-16T20:47:17.044Z</dcterms:modified>
</cp:coreProperties>
</file>

<file path=docProps/custom.xml><?xml version="1.0" encoding="utf-8"?>
<Properties xmlns="http://schemas.openxmlformats.org/officeDocument/2006/custom-properties" xmlns:vt="http://schemas.openxmlformats.org/officeDocument/2006/docPropsVTypes"/>
</file>