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000"/>
        <w:jc w:val="center"/>
      </w:pPr>
      <w:r>
        <w:rPr>
          <w:rFonts w:ascii="Arial" w:cs="Arial" w:eastAsia="Arial" w:hAnsi="Arial"/>
          <w:b/>
          <w:bCs/>
          <w:color w:val="C49A22"/>
          <w:sz w:val="24"/>
          <w:szCs w:val="24"/>
          <w:rtl/>
        </w:rPr>
        <w:t xml:space="preserve">تدقيق استراتيجي ومالي مستقل</w:t>
      </w:r>
    </w:p>
    <w:p>
      <w:pPr>
        <w:bidi/>
        <w:spacing w:after="120" w:before="0"/>
        <w:jc w:val="center"/>
      </w:pPr>
      <w:r>
        <w:rPr>
          <w:rFonts w:ascii="Arial" w:cs="Arial" w:eastAsia="Arial" w:hAnsi="Arial"/>
          <w:b/>
          <w:bCs/>
          <w:color w:val="1A2B4A"/>
          <w:sz w:val="44"/>
          <w:szCs w:val="44"/>
          <w:rtl/>
        </w:rPr>
        <w:t xml:space="preserve">Radix Investors Circle 2026</w:t>
      </w:r>
    </w:p>
    <w:p>
      <w:pPr>
        <w:bidi/>
        <w:spacing w:after="360" w:before="0"/>
        <w:jc w:val="center"/>
      </w:pPr>
      <w:r>
        <w:rPr>
          <w:rFonts w:ascii="Arial" w:cs="Arial" w:eastAsia="Arial" w:hAnsi="Arial"/>
          <w:color w:val="6B7280"/>
          <w:sz w:val="24"/>
          <w:szCs w:val="24"/>
          <w:rtl/>
        </w:rPr>
        <w:t xml:space="preserve">مراجعة جاهزية مشروع “Egypt Future Investment Forum / Investors Circle” للعرض على مجلس الإدارة — الرياض 2026</w:t>
      </w:r>
    </w:p>
    <w:p>
      <w:pPr>
        <w:bidi/>
        <w:spacing w:after="80" w:before="0"/>
        <w:jc w:val="center"/>
      </w:pPr>
      <w:r>
        <w:rPr>
          <w:rFonts w:ascii="Arial" w:cs="Arial" w:eastAsia="Arial" w:hAnsi="Arial"/>
          <w:i/>
          <w:iCs/>
          <w:color w:val="C49A22"/>
          <w:sz w:val="19"/>
          <w:szCs w:val="19"/>
          <w:rtl/>
        </w:rPr>
        <w:t xml:space="preserve">أُعدّ هذا التقرير كما لو كانت شركة Radix Developments قد كلّفت طرفاً مستقلاً بمراجعته قبل اعتماد ميزانية بملايين الجنيهات</w:t>
      </w:r>
    </w:p>
    <w:p>
      <w:pPr>
        <w:bidi/>
        <w:spacing w:after="1200" w:before="200"/>
        <w:jc w:val="center"/>
      </w:pPr>
      <w:r>
        <w:rPr>
          <w:rFonts w:ascii="Arial" w:cs="Arial" w:eastAsia="Arial" w:hAnsi="Arial"/>
          <w:color w:val="6B7280"/>
          <w:sz w:val="18"/>
          <w:szCs w:val="18"/>
          <w:rtl/>
        </w:rPr>
        <w:t xml:space="preserve">مراجعة مستقلة من طرف ثالث · مُعدّة للعرض على مجلس الإدارة · يونيو 2026</w:t>
      </w: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كيف تُقرأ هذه الوثيقة</w:t>
      </w:r>
    </w:p>
    <w:p>
      <w:pPr>
        <w:bidi/>
        <w:spacing w:after="60" w:before="60"/>
        <w:jc w:val="right"/>
      </w:pPr>
      <w:r>
        <w:rPr>
          <w:rFonts w:ascii="Arial" w:cs="Arial" w:eastAsia="Arial" w:hAnsi="Arial"/>
          <w:color w:val="0A0A0A"/>
          <w:sz w:val="21"/>
          <w:szCs w:val="21"/>
          <w:rtl/>
        </w:rPr>
        <w:t xml:space="preserve">تستعرض هذه المراجعة كل المستندات المُقدَّمة: المقترح الأصلي (صفحة واحدة باسم “Radix Developments Proposal”)، الاستراتيجية المُعدَّلة (“Volume 1: Strategy &amp; Master Plan”)، أربع حِزَم “نهائية” لمجلس الإدارة (v2، Complete Bilingual، Final Approval، Master Execution Bilingual)، وملفّي إكسل تشغيليين (“Project Templates” و“Enterprise Project System”)، بالإضافة إلى مجموعة مرجعية منفصلة من 10 مستندات (“Original Project Files”، مستندات 01–05 عربي/إنجليزي) تخص مشروعاً مختلف النطاق تماماً لفعاليات الجالية المصرية بدول الخليج.</w:t>
      </w:r>
    </w:p>
    <w:p>
      <w:pPr>
        <w:bidi/>
        <w:spacing w:after="60" w:before="60"/>
        <w:jc w:val="right"/>
      </w:pPr>
      <w:r>
        <w:rPr>
          <w:rFonts w:ascii="Arial" w:cs="Arial" w:eastAsia="Arial" w:hAnsi="Arial"/>
          <w:b/>
          <w:bCs/>
          <w:color w:val="0A0A0A"/>
          <w:sz w:val="21"/>
          <w:szCs w:val="21"/>
          <w:rtl/>
        </w:rPr>
        <w:t xml:space="preserve">وفقاً للتكليف، هذه المراجعة لا تهدف إلى “الموافقة” على المشروع — بل كُتبت لكشف كل نقطة ضعف، وكل افتراض مخفي، وكل فرصة ضائعة، وكل خطر تنفيذي وخلل استراتيجي قبل اعتماد أي ميزانية. وكل استنتاج في هذا التقرير مُصنَّف بمستوى ثقة محدد: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مستوى الثقة</w:t>
            </w:r>
          </w:p>
        </w:tc>
        <w:tc>
          <w:tcPr>
            <w:tcW w:type="dxa" w:w="75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المعنى</w:t>
            </w:r>
          </w:p>
        </w:tc>
      </w:tr>
      <w:tr>
        <w:tc>
          <w:tcPr>
            <w:tcW w:type="dxa" w:w="18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center"/>
            </w:pPr>
            <w:r>
              <w:rPr>
                <w:rFonts w:ascii="Arial" w:cs="Arial" w:eastAsia="Arial" w:hAnsi="Arial"/>
                <w:b/>
                <w:bCs/>
                <w:color w:val="1A6B4A"/>
                <w:sz w:val="17"/>
                <w:szCs w:val="17"/>
                <w:rtl/>
              </w:rPr>
              <w:t xml:space="preserve">عالية</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قابل للتحقق مباشرة من المستندات المُقدَّمة (مثال: “هذا الجدول لا يحتوي صفوف بيانات”).</w:t>
            </w:r>
          </w:p>
        </w:tc>
      </w:tr>
      <w:tr>
        <w:tc>
          <w:tcPr>
            <w:tcW w:type="dxa" w:w="18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متوسطة</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استنتاج معقول من المستندات بالإضافة إلى معايير عامة لقطاع التسويق العقاري/الفعاليات في الخليج (شاملة البحث المرجعي في مستندات 01–05).</w:t>
            </w:r>
          </w:p>
        </w:tc>
      </w:tr>
      <w:tr>
        <w:tc>
          <w:tcPr>
            <w:tcW w:type="dxa" w:w="18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منخفضة</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تقدير في حالات لا تتوفر فيها المُدخلات الأساسية (مثل أسعار الوحدات، معدلات التحويل التاريخية، حجم قاعدة بيانات Radix الحالية) في أي مكان بالملف — ويُذكر ذلك صريحاً كل مرة يظهر فيها.</w:t>
            </w:r>
          </w:p>
        </w:tc>
      </w:tr>
    </w:tbl>
    <w:p>
      <w:pPr>
        <w:pBdr>
          <w:right w:val="single" w:color="1B4F8A" w:sz="16"/>
        </w:pBdr>
        <w:shd w:fill="E3ECF7" w:val="clear"/>
        <w:bidi/>
        <w:spacing w:after="100" w:before="100"/>
        <w:ind w:right="300"/>
        <w:jc w:val="right"/>
      </w:pPr>
      <w:r>
        <w:rPr>
          <w:rFonts w:ascii="Arial" w:cs="Arial" w:eastAsia="Arial" w:hAnsi="Arial"/>
          <w:color w:val="1B4F8A"/>
          <w:sz w:val="20"/>
          <w:szCs w:val="20"/>
          <w:rtl/>
        </w:rPr>
        <w:t xml:space="preserve">اتفاقية التقييم: كل الدرجات من 1 إلى 10 في هذا التقرير تتبع مبدأ “الأعلى = الأفضل/الأكثر صحة”، بما في ذلك “التعقيد التشغيلي” — الذي يُقيَّم هنا من زاوية “سهولة الإدارة” (خطة بسيطة قليلة التعقيد تأخذ درجة مرتفعة؛ خطة معقدة وغير منظمة تأخذ درجة منخفضة). يُذكر هذا مرة واحدة هنا لتجنّب أي لبس في باقي الجداول.</w:t>
      </w:r>
    </w:p>
    <w:p>
      <w:pPr>
        <w:pBdr>
          <w:bottom w:val="single" w:color="F3F4F6" w:sz="4"/>
        </w:pBdr>
        <w:spacing w:after="200" w:before="200"/>
      </w:pP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1 — تدقيق الفكرة الأصلية</w:t>
      </w:r>
    </w:p>
    <w:p>
      <w:pPr>
        <w:pStyle w:val="Heading2"/>
        <w:bidi/>
        <w:spacing w:after="100" w:before="280"/>
        <w:jc w:val="right"/>
      </w:pPr>
      <w:r>
        <w:rPr>
          <w:rFonts w:ascii="Arial" w:cs="Arial" w:eastAsia="Arial" w:hAnsi="Arial"/>
          <w:b/>
          <w:bCs/>
          <w:color w:val="1A2B4A"/>
          <w:sz w:val="26"/>
          <w:szCs w:val="26"/>
          <w:rtl/>
        </w:rPr>
        <w:t xml:space="preserve">1.1 إعادة بناء المفهوم الأصلي</w:t>
      </w:r>
    </w:p>
    <w:p>
      <w:pPr>
        <w:bidi/>
        <w:spacing w:after="60" w:before="60"/>
        <w:jc w:val="right"/>
      </w:pPr>
      <w:r>
        <w:rPr>
          <w:rFonts w:ascii="Arial" w:cs="Arial" w:eastAsia="Arial" w:hAnsi="Arial"/>
          <w:color w:val="0A0A0A"/>
          <w:sz w:val="21"/>
          <w:szCs w:val="21"/>
          <w:rtl/>
        </w:rPr>
        <w:t xml:space="preserve">المفهوم الأصلي موجود في مستند تنفيذي واحد من صفحة واحدة فقط، باسم “Radix Developments Proposal”، بعنوان “Egypt Future Investment Forum — Riyadh 2026”. محتواه بالكامل قابل لإعادة صياغته في عدد قليل من النقاط — وهذا في نفسه يُعدّ ملاحظة تتكرر في أكثر من موضع بهذا التقرير (انظر §1.2 و§8).</w:t>
      </w:r>
    </w:p>
    <w:p>
      <w:pPr>
        <w:bidi/>
        <w:spacing w:after="70" w:before="160"/>
        <w:jc w:val="right"/>
      </w:pPr>
      <w:r>
        <w:rPr>
          <w:rFonts w:ascii="Arial" w:cs="Arial" w:eastAsia="Arial" w:hAnsi="Arial"/>
          <w:b/>
          <w:bCs/>
          <w:color w:val="0A0A0A"/>
          <w:sz w:val="22"/>
          <w:szCs w:val="22"/>
          <w:rtl/>
        </w:rPr>
        <w:t xml:space="preserve">ما كانت الفكرة الأصلية فعلياً</w:t>
      </w:r>
    </w:p>
    <w:p>
      <w:pPr>
        <w:pStyle w:val="ListParagraph"/>
        <w:numPr>
          <w:ilvl w:val="0"/>
          <w:numId w:val="2"/>
        </w:numPr>
        <w:bidi/>
        <w:spacing w:after="40" w:before="40"/>
        <w:jc w:val="right"/>
      </w:pPr>
      <w:r>
        <w:rPr>
          <w:rFonts w:ascii="Arial" w:cs="Arial" w:eastAsia="Arial" w:hAnsi="Arial"/>
          <w:color w:val="0A0A0A"/>
          <w:sz w:val="20"/>
          <w:szCs w:val="20"/>
          <w:rtl/>
        </w:rPr>
        <w:t xml:space="preserve">تنظيم فعالية استثمارية/مجتمعية مميّزة في الرياض، تستهدف المهنيين المصريين والعرب، رجال الأعمال، المديرين التنفيذيين، والمستثمرين.</w:t>
      </w:r>
    </w:p>
    <w:p>
      <w:pPr>
        <w:pStyle w:val="ListParagraph"/>
        <w:numPr>
          <w:ilvl w:val="0"/>
          <w:numId w:val="2"/>
        </w:numPr>
        <w:bidi/>
        <w:spacing w:after="40" w:before="40"/>
        <w:jc w:val="right"/>
      </w:pPr>
      <w:r>
        <w:rPr>
          <w:rFonts w:ascii="Arial" w:cs="Arial" w:eastAsia="Arial" w:hAnsi="Arial"/>
          <w:color w:val="0A0A0A"/>
          <w:sz w:val="20"/>
          <w:szCs w:val="20"/>
          <w:rtl/>
        </w:rPr>
        <w:t xml:space="preserve">توليد فرص بيع مؤهَّلة لثلاثة مشاريع محددة لـ Radix: Ray Residence، Agile Business Complex، و Spinner Towers.</w:t>
      </w:r>
    </w:p>
    <w:p>
      <w:pPr>
        <w:pStyle w:val="ListParagraph"/>
        <w:numPr>
          <w:ilvl w:val="0"/>
          <w:numId w:val="2"/>
        </w:numPr>
        <w:bidi/>
        <w:spacing w:after="40" w:before="40"/>
        <w:jc w:val="right"/>
      </w:pPr>
      <w:r>
        <w:rPr>
          <w:rFonts w:ascii="Arial" w:cs="Arial" w:eastAsia="Arial" w:hAnsi="Arial"/>
          <w:color w:val="0A0A0A"/>
          <w:sz w:val="20"/>
          <w:szCs w:val="20"/>
          <w:rtl/>
        </w:rPr>
        <w:t xml:space="preserve">تموضع Radix كـ“الراعي المؤسِّس” لمجتمع حصري، بدل أن تكون عارضاً واحداً وسط الكثير.</w:t>
      </w:r>
    </w:p>
    <w:p>
      <w:pPr>
        <w:pStyle w:val="ListParagraph"/>
        <w:numPr>
          <w:ilvl w:val="0"/>
          <w:numId w:val="2"/>
        </w:numPr>
        <w:bidi/>
        <w:spacing w:after="40" w:before="40"/>
        <w:jc w:val="right"/>
      </w:pPr>
      <w:r>
        <w:rPr>
          <w:rFonts w:ascii="Arial" w:cs="Arial" w:eastAsia="Arial" w:hAnsi="Arial"/>
          <w:color w:val="0A0A0A"/>
          <w:sz w:val="20"/>
          <w:szCs w:val="20"/>
          <w:rtl/>
        </w:rPr>
        <w:t xml:space="preserve">بناء قاعدة بيانات/مجتمع استثماري قابل لإعادة الاستخدام كقناة استحواذ طويلة الأجل للمشاريع المستقبلية.</w:t>
      </w:r>
    </w:p>
    <w:p>
      <w:pPr>
        <w:bidi/>
        <w:spacing w:after="70" w:before="160"/>
        <w:jc w:val="right"/>
      </w:pPr>
      <w:r>
        <w:rPr>
          <w:rFonts w:ascii="Arial" w:cs="Arial" w:eastAsia="Arial" w:hAnsi="Arial"/>
          <w:b/>
          <w:bCs/>
          <w:color w:val="0A0A0A"/>
          <w:sz w:val="22"/>
          <w:szCs w:val="22"/>
          <w:rtl/>
        </w:rPr>
        <w:t xml:space="preserve">الأهداف الأساسية (كما وردت)</w:t>
      </w:r>
    </w:p>
    <w:p>
      <w:pPr>
        <w:pStyle w:val="ListParagraph"/>
        <w:numPr>
          <w:ilvl w:val="0"/>
          <w:numId w:val="2"/>
        </w:numPr>
        <w:bidi/>
        <w:spacing w:after="40" w:before="40"/>
        <w:jc w:val="right"/>
      </w:pPr>
      <w:r>
        <w:rPr>
          <w:rFonts w:ascii="Arial" w:cs="Arial" w:eastAsia="Arial" w:hAnsi="Arial"/>
          <w:color w:val="0A0A0A"/>
          <w:sz w:val="20"/>
          <w:szCs w:val="20"/>
          <w:rtl/>
        </w:rPr>
        <w:t xml:space="preserve">120–150 “حاضر مؤهَّل” في فعالية واحدة.</w:t>
      </w:r>
    </w:p>
    <w:p>
      <w:pPr>
        <w:pStyle w:val="ListParagraph"/>
        <w:numPr>
          <w:ilvl w:val="0"/>
          <w:numId w:val="2"/>
        </w:numPr>
        <w:bidi/>
        <w:spacing w:after="40" w:before="40"/>
        <w:jc w:val="right"/>
      </w:pPr>
      <w:r>
        <w:rPr>
          <w:rFonts w:ascii="Arial" w:cs="Arial" w:eastAsia="Arial" w:hAnsi="Arial"/>
          <w:color w:val="0A0A0A"/>
          <w:sz w:val="20"/>
          <w:szCs w:val="20"/>
          <w:rtl/>
        </w:rPr>
        <w:t xml:space="preserve">10–15 وحدة (سيناريو أساسي)، 20–25 (مستهدف)، 35+ (طموح).</w:t>
      </w:r>
    </w:p>
    <w:p>
      <w:pPr>
        <w:pStyle w:val="ListParagraph"/>
        <w:numPr>
          <w:ilvl w:val="0"/>
          <w:numId w:val="2"/>
        </w:numPr>
        <w:bidi/>
        <w:spacing w:after="40" w:before="40"/>
        <w:jc w:val="right"/>
      </w:pPr>
      <w:r>
        <w:rPr>
          <w:rFonts w:ascii="Arial" w:cs="Arial" w:eastAsia="Arial" w:hAnsi="Arial"/>
          <w:color w:val="0A0A0A"/>
          <w:sz w:val="20"/>
          <w:szCs w:val="20"/>
          <w:rtl/>
        </w:rPr>
        <w:t xml:space="preserve">ميزانية 1,000,000–2,000,000 جنيه مصري.</w:t>
      </w:r>
    </w:p>
    <w:p>
      <w:pPr>
        <w:pStyle w:val="ListParagraph"/>
        <w:numPr>
          <w:ilvl w:val="0"/>
          <w:numId w:val="2"/>
        </w:numPr>
        <w:bidi/>
        <w:spacing w:after="40" w:before="40"/>
        <w:jc w:val="right"/>
      </w:pPr>
      <w:r>
        <w:rPr>
          <w:rFonts w:ascii="Arial" w:cs="Arial" w:eastAsia="Arial" w:hAnsi="Arial"/>
          <w:color w:val="0A0A0A"/>
          <w:sz w:val="20"/>
          <w:szCs w:val="20"/>
          <w:rtl/>
        </w:rPr>
        <w:t xml:space="preserve">التوصية كما وردت حرفياً: “APPROVE PROJECT FOR EXECUTION AND START PHASE 1 IMMEDIATELY” (الموافقة على المشروع للتنفيذ والبدء فوراً في المرحلة 1).</w:t>
      </w:r>
    </w:p>
    <w:p>
      <w:pPr>
        <w:bidi/>
        <w:spacing w:after="70" w:before="160"/>
        <w:jc w:val="right"/>
      </w:pPr>
      <w:r>
        <w:rPr>
          <w:rFonts w:ascii="Arial" w:cs="Arial" w:eastAsia="Arial" w:hAnsi="Arial"/>
          <w:b/>
          <w:bCs/>
          <w:color w:val="0A0A0A"/>
          <w:sz w:val="22"/>
          <w:szCs w:val="22"/>
          <w:rtl/>
        </w:rPr>
        <w:t xml:space="preserve">الافتراضات الأساسية المُتضمَّنة في المستند</w:t>
      </w:r>
    </w:p>
    <w:p>
      <w:pPr>
        <w:pStyle w:val="ListParagraph"/>
        <w:numPr>
          <w:ilvl w:val="0"/>
          <w:numId w:val="2"/>
        </w:numPr>
        <w:bidi/>
        <w:spacing w:after="40" w:before="40"/>
        <w:jc w:val="right"/>
      </w:pPr>
      <w:r>
        <w:rPr>
          <w:rFonts w:ascii="Arial" w:cs="Arial" w:eastAsia="Arial" w:hAnsi="Arial"/>
          <w:color w:val="0A0A0A"/>
          <w:sz w:val="20"/>
          <w:szCs w:val="20"/>
          <w:rtl/>
        </w:rPr>
        <w:t xml:space="preserve">أن 120–150 شخصاً يتطابقون مع الملف الشخصي المستهدف يمكن تحديدهم وجمعهم في قاعة واحدة بالرياض.</w:t>
      </w:r>
    </w:p>
    <w:p>
      <w:pPr>
        <w:pStyle w:val="ListParagraph"/>
        <w:numPr>
          <w:ilvl w:val="0"/>
          <w:numId w:val="2"/>
        </w:numPr>
        <w:bidi/>
        <w:spacing w:after="40" w:before="40"/>
        <w:jc w:val="right"/>
      </w:pPr>
      <w:r>
        <w:rPr>
          <w:rFonts w:ascii="Arial" w:cs="Arial" w:eastAsia="Arial" w:hAnsi="Arial"/>
          <w:color w:val="0A0A0A"/>
          <w:sz w:val="20"/>
          <w:szCs w:val="20"/>
          <w:rtl/>
        </w:rPr>
        <w:t xml:space="preserve">أن صياغة “مجتمع/احتفال” تحوِّل بشكل أفضل من جناح عرض تقليدي — هذا مُفترَض هنا، وليس مدعوماً بدليل في هذا المستند بالذات (لكنه نمط مُوثَّق في مكان آخر — انظر المجموعة المرجعية 01–05، المستند 4).</w:t>
      </w:r>
    </w:p>
    <w:p>
      <w:pPr>
        <w:pStyle w:val="ListParagraph"/>
        <w:numPr>
          <w:ilvl w:val="0"/>
          <w:numId w:val="2"/>
        </w:numPr>
        <w:bidi/>
        <w:spacing w:after="40" w:before="40"/>
        <w:jc w:val="right"/>
      </w:pPr>
      <w:r>
        <w:rPr>
          <w:rFonts w:ascii="Arial" w:cs="Arial" w:eastAsia="Arial" w:hAnsi="Arial"/>
          <w:color w:val="0A0A0A"/>
          <w:sz w:val="20"/>
          <w:szCs w:val="20"/>
          <w:rtl/>
        </w:rPr>
        <w:t xml:space="preserve">أن 1–2 مليون جنيه كافية لتغطية الفعالية نفسها بالإضافة إلى “إطلاق المنصة المجتمعية” — دون أي تفصيل لتكلفة كل عنصر بشكل منفصل.</w:t>
      </w:r>
    </w:p>
    <w:p>
      <w:pPr>
        <w:pStyle w:val="ListParagraph"/>
        <w:numPr>
          <w:ilvl w:val="0"/>
          <w:numId w:val="2"/>
        </w:numPr>
        <w:bidi/>
        <w:spacing w:after="40" w:before="40"/>
        <w:jc w:val="right"/>
      </w:pPr>
      <w:r>
        <w:rPr>
          <w:rFonts w:ascii="Arial" w:cs="Arial" w:eastAsia="Arial" w:hAnsi="Arial"/>
          <w:color w:val="0A0A0A"/>
          <w:sz w:val="20"/>
          <w:szCs w:val="20"/>
          <w:rtl/>
        </w:rPr>
        <w:t xml:space="preserve">أن الحضور يمكن تحويلهم إلى عقود موقّعة بمعدل 6.7%–23.3% (10–35 وحدة ÷ 150 حاضراً) خلال إطار زمني غير مُحدَّد.</w:t>
      </w:r>
    </w:p>
    <w:p>
      <w:pPr>
        <w:bidi/>
        <w:spacing w:after="70" w:before="160"/>
        <w:jc w:val="right"/>
      </w:pPr>
      <w:r>
        <w:rPr>
          <w:rFonts w:ascii="Arial" w:cs="Arial" w:eastAsia="Arial" w:hAnsi="Arial"/>
          <w:b/>
          <w:bCs/>
          <w:color w:val="0A0A0A"/>
          <w:sz w:val="22"/>
          <w:szCs w:val="22"/>
          <w:rtl/>
        </w:rPr>
        <w:t xml:space="preserve">النتائج المتوقعة (كما وردت)</w:t>
      </w:r>
    </w:p>
    <w:p>
      <w:pPr>
        <w:pStyle w:val="ListParagraph"/>
        <w:numPr>
          <w:ilvl w:val="0"/>
          <w:numId w:val="2"/>
        </w:numPr>
        <w:bidi/>
        <w:spacing w:after="40" w:before="40"/>
        <w:jc w:val="right"/>
      </w:pPr>
      <w:r>
        <w:rPr>
          <w:rFonts w:ascii="Arial" w:cs="Arial" w:eastAsia="Arial" w:hAnsi="Arial"/>
          <w:color w:val="0A0A0A"/>
          <w:sz w:val="20"/>
          <w:szCs w:val="20"/>
          <w:rtl/>
        </w:rPr>
        <w:t xml:space="preserve">قاعدة بيانات مستثمرين مؤهَّلة؛ إطلاق منصة مجتمعية؛ مبيعات مباشرة للمشروع؛ منظومة إحالات؛ “نموذج توسّع خليجي طويل الأجل”.</w:t>
      </w:r>
    </w:p>
    <w:p>
      <w:pPr>
        <w:pStyle w:val="Heading2"/>
        <w:bidi/>
        <w:spacing w:after="100" w:before="280"/>
        <w:jc w:val="right"/>
      </w:pPr>
      <w:r>
        <w:rPr>
          <w:rFonts w:ascii="Arial" w:cs="Arial" w:eastAsia="Arial" w:hAnsi="Arial"/>
          <w:b/>
          <w:bCs/>
          <w:color w:val="1A2B4A"/>
          <w:sz w:val="26"/>
          <w:szCs w:val="26"/>
          <w:rtl/>
        </w:rPr>
        <w:t xml:space="preserve">1.2 تقييم المرحلة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البُعد</w:t>
            </w:r>
          </w:p>
        </w:tc>
        <w:tc>
          <w:tcPr>
            <w:tcW w:type="dxa" w:w="10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الدرجة</w:t>
            </w:r>
          </w:p>
        </w:tc>
        <w:tc>
          <w:tcPr>
            <w:tcW w:type="dxa" w:w="59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السبب</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الجودة الاستراتيجية</w:t>
            </w:r>
          </w:p>
        </w:tc>
        <w:tc>
          <w:tcPr>
            <w:tcW w:type="dxa" w:w="10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4/10</w:t>
            </w:r>
          </w:p>
        </w:tc>
        <w:tc>
          <w:tcPr>
            <w:tcW w:type="dxa" w:w="5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الفكرة الجوهرية (المجتمع أفضل من المعرض) منطقية ومتوافقة مع أنماط مُوثَّقة لفعاليات الجاليات. لكن المستند كما هو مكتوب، قائمة أمنيات بنتائج دون منهجية تربط المُدخلات بالمخرجات — يقرأ كطلب ميزانية، لا كاستراتيجية.</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قابلية التوسّع</w:t>
            </w:r>
          </w:p>
        </w:tc>
        <w:tc>
          <w:tcPr>
            <w:tcW w:type="dxa" w:w="10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3/10</w:t>
            </w:r>
          </w:p>
        </w:tc>
        <w:tc>
          <w:tcPr>
            <w:tcW w:type="dxa" w:w="59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“نموذج توسّع خليجي طويل الأجل” مذكور في قائمة النتائج المتوقعة، لكن لا يوجد في المستند أي وصف لما سيُكرَّر، أو كيف تنتقل دروس الرياض، أو ما تحتاجه مدينة ثانية.</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إمكانية تحقيق العائد</w:t>
            </w:r>
          </w:p>
        </w:tc>
        <w:tc>
          <w:tcPr>
            <w:tcW w:type="dxa" w:w="10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5/10</w:t>
            </w:r>
          </w:p>
        </w:tc>
        <w:tc>
          <w:tcPr>
            <w:tcW w:type="dxa" w:w="5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مرتبط بثلاثة مشاريع محددة، يُفترَض أنها حقيقية — أمر ملموس من حيث المبدأ. لكن مع غياب أي بيانات عن سعر الوحدة أو الهامش، فإن إمكانية العائد لا يمكن تحديدها كمياً؛ الدرجة تعكس “معقول لكن غير قابل للتحقق”.</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التعقيد التشغيلي (سهولة الإدارة)</w:t>
            </w:r>
          </w:p>
        </w:tc>
        <w:tc>
          <w:tcPr>
            <w:tcW w:type="dxa" w:w="10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center"/>
            </w:pPr>
            <w:r>
              <w:rPr>
                <w:rFonts w:ascii="Arial" w:cs="Arial" w:eastAsia="Arial" w:hAnsi="Arial"/>
                <w:b/>
                <w:bCs/>
                <w:color w:val="1A6B4A"/>
                <w:sz w:val="17"/>
                <w:szCs w:val="17"/>
                <w:rtl/>
              </w:rPr>
              <w:t xml:space="preserve">8/10</w:t>
            </w:r>
          </w:p>
        </w:tc>
        <w:tc>
          <w:tcPr>
            <w:tcW w:type="dxa" w:w="59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كخطة فعالية واحدة بميزانية محدّدة ونطاق صفحة واحدة، هذه النسخة بسيطة وسهلة الإدارة — بساطتها، على سبيل المفارقة، من نقاط قوتها القليلة مقارنة بما تحوّلت إليه لاحقاً (المرحلة 2).</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احتمالية النجاح الواقعية (كما هي مكتوبة)</w:t>
            </w:r>
          </w:p>
        </w:tc>
        <w:tc>
          <w:tcPr>
            <w:tcW w:type="dxa" w:w="10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3/10</w:t>
            </w:r>
          </w:p>
        </w:tc>
        <w:tc>
          <w:tcPr>
            <w:tcW w:type="dxa" w:w="5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مستند ينتهي بـ“الموافقة فوراً” ولا يحتوي على مكان، تاريخ، طريقة لجمع قائمة الضيوف، خطة متابعة، أو تفصيل تكلفة — لا يمكن تنفيذه كما هو مكتوب؛ من سيُنفِّذه عليه أن يبتكر الـ80% المفقودة بنفسه أثناء العمل.</w:t>
            </w:r>
          </w:p>
        </w:tc>
      </w:tr>
    </w:tbl>
    <w:p>
      <w:pPr>
        <w:pStyle w:val="Heading2"/>
        <w:bidi/>
        <w:spacing w:after="100" w:before="280"/>
        <w:jc w:val="right"/>
      </w:pPr>
      <w:r>
        <w:rPr>
          <w:rFonts w:ascii="Arial" w:cs="Arial" w:eastAsia="Arial" w:hAnsi="Arial"/>
          <w:b/>
          <w:bCs/>
          <w:color w:val="1A2B4A"/>
          <w:sz w:val="26"/>
          <w:szCs w:val="26"/>
          <w:rtl/>
        </w:rPr>
        <w:t xml:space="preserve">1.3 ملاحظة حول “ملفات المشروع الأصلية” (مستندات 01–05)</w:t>
      </w:r>
    </w:p>
    <w:p>
      <w:pPr>
        <w:pBdr>
          <w:right w:val="single" w:color="C0392B" w:sz="16"/>
        </w:pBdr>
        <w:shd w:fill="FBE5E3" w:val="clear"/>
        <w:bidi/>
        <w:spacing w:after="100" w:before="100"/>
        <w:ind w:right="300"/>
        <w:jc w:val="right"/>
      </w:pPr>
      <w:r>
        <w:rPr>
          <w:rFonts w:ascii="Arial" w:cs="Arial" w:eastAsia="Arial" w:hAnsi="Arial"/>
          <w:color w:val="C0392B"/>
          <w:sz w:val="20"/>
          <w:szCs w:val="20"/>
          <w:rtl/>
        </w:rPr>
        <w:t xml:space="preserve">هذه ملاحظة تتعلق بسلامة العملية، مستوى الثقة: عالية.</w:t>
      </w:r>
    </w:p>
    <w:p>
      <w:pPr>
        <w:bidi/>
        <w:spacing w:after="60" w:before="60"/>
        <w:jc w:val="right"/>
      </w:pPr>
      <w:r>
        <w:rPr>
          <w:rFonts w:ascii="Arial" w:cs="Arial" w:eastAsia="Arial" w:hAnsi="Arial"/>
          <w:color w:val="0A0A0A"/>
          <w:sz w:val="21"/>
          <w:szCs w:val="21"/>
          <w:rtl/>
        </w:rPr>
        <w:t xml:space="preserve">يحتوي الملف أيضاً على مجموعة مكتملة من 10 مستندات (عربي/إنجليزي) تغطي سلسلة احتفالات للجالية المصرية على 5 مناسبات (6 أكتوبر، 23 يوليو، رمضان، عيد الأضحى، 8 أغسطس) لمطوّر عام يسوّق “العاصمة الإدارية الجديدة” في السعودية وقطر وعُمان — تتضمن أطُراً قانونية مفصّلة، قوائم أماكن، قوائم شركاء، ميزانيات، وبرنامج متابعة.</w:t>
      </w:r>
    </w:p>
    <w:p>
      <w:pPr>
        <w:bidi/>
        <w:spacing w:after="60" w:before="60"/>
        <w:jc w:val="right"/>
      </w:pPr>
      <w:r>
        <w:rPr>
          <w:rFonts w:ascii="Arial" w:cs="Arial" w:eastAsia="Arial" w:hAnsi="Arial"/>
          <w:color w:val="0A0A0A"/>
          <w:sz w:val="21"/>
          <w:szCs w:val="21"/>
          <w:rtl/>
        </w:rPr>
        <w:t xml:space="preserve">هذه المستندات لا تذكر Radix، ولا Ray Residence، ولا Agile Business Complex، ولا Spinner Towers، ولا أي نطاق خاص بالرياض فقط، وهي موسومة باسم وكالة مختلفة تماماً. هي بالفعل عمل دقيق ومتقن — لكن لمشروع آخر. وجودها في هذا الملف يطرح احتمالين، كلاهما كان ينبغي توضيحهما من قِبل المجلس قبل هذه المراجعة:</w:t>
      </w:r>
    </w:p>
    <w:p>
      <w:pPr>
        <w:pStyle w:val="ListParagraph"/>
        <w:numPr>
          <w:ilvl w:val="0"/>
          <w:numId w:val="2"/>
        </w:numPr>
        <w:bidi/>
        <w:spacing w:after="40" w:before="40"/>
        <w:jc w:val="right"/>
      </w:pPr>
      <w:r>
        <w:rPr>
          <w:rFonts w:ascii="Arial" w:cs="Arial" w:eastAsia="Arial" w:hAnsi="Arial"/>
          <w:color w:val="0A0A0A"/>
          <w:sz w:val="20"/>
          <w:szCs w:val="20"/>
          <w:rtl/>
        </w:rPr>
        <w:t xml:space="preserve">(أ) أُدرجت كمرجع منهجي (“هذا هو مستوى التفصيل الذي يجب أن تتضمنه خطة مُطوَّرة بالكامل”) — وفي هذه الحالة فإن الفجوة بين عمقها وعمق المستندات الخاصة بـ Radix (من المرحلة 2 فصاعداً) هي نفسها الاستنتاج الرئيسي لهذا التقرير بالكامل؛ أو</w:t>
      </w:r>
    </w:p>
    <w:p>
      <w:pPr>
        <w:pStyle w:val="ListParagraph"/>
        <w:numPr>
          <w:ilvl w:val="0"/>
          <w:numId w:val="2"/>
        </w:numPr>
        <w:bidi/>
        <w:spacing w:after="40" w:before="40"/>
        <w:jc w:val="right"/>
      </w:pPr>
      <w:r>
        <w:rPr>
          <w:rFonts w:ascii="Arial" w:cs="Arial" w:eastAsia="Arial" w:hAnsi="Arial"/>
          <w:color w:val="0A0A0A"/>
          <w:sz w:val="20"/>
          <w:szCs w:val="20"/>
          <w:rtl/>
        </w:rPr>
        <w:t xml:space="preserve">(ب) أُدرجت عن طريق الخطأ / عملية إعادة استخدام قالب عام — وفي هذه الحالة يجب على المجلس أن يسأل: هل أُعِدَّت مستندات “التطوّر” الخاصة بـ Radix (المراحل 2–3) بنفس الدقة، أم تم تجميعها بشكل أسرع؟</w:t>
      </w:r>
    </w:p>
    <w:p>
      <w:pPr>
        <w:bidi/>
        <w:spacing w:after="60" w:before="60"/>
        <w:jc w:val="right"/>
      </w:pPr>
      <w:r>
        <w:rPr>
          <w:rFonts w:ascii="Arial" w:cs="Arial" w:eastAsia="Arial" w:hAnsi="Arial"/>
          <w:color w:val="0A0A0A"/>
          <w:sz w:val="21"/>
          <w:szCs w:val="21"/>
          <w:rtl/>
        </w:rPr>
        <w:t xml:space="preserve">تتعامل هذه المراجعة مع مستندات 01–05 كمرجع خارجي مفيد لـ“ما يبدو عليه العمل الجيد” (يُستشهد به حيث يكون ذلك مناسباً)، لكنها لا تُعامِلها كجزء من مسار تطوّر Radix Investors Circle، لأن لا شيء في مستندات Radix يشير إليها.</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2 — تحليل التطور</w:t>
      </w:r>
    </w:p>
    <w:p>
      <w:pPr>
        <w:bidi/>
        <w:spacing w:after="60" w:before="60"/>
        <w:jc w:val="right"/>
      </w:pPr>
      <w:r>
        <w:rPr>
          <w:rFonts w:ascii="Arial" w:cs="Arial" w:eastAsia="Arial" w:hAnsi="Arial"/>
          <w:color w:val="0A0A0A"/>
          <w:sz w:val="21"/>
          <w:szCs w:val="21"/>
          <w:rtl/>
        </w:rPr>
        <w:t xml:space="preserve">تم تقديم أربع “أجيال” من المستندات: المفهوم الأصلي (صفحة واحدة)، الاستراتيجية المُعدَّلة (“Volume 1: Investors Circle”)، وأربع حِزَم “نهائية” شبه متزامنة لمجلس الإدارة (v2، Complete Bilingual، Final Approval، Master Execution Bilingual). تُعامَل النسخ “النهائية” الأربعة كجيل واحد أدناه، لأنها متطابقة فعلياً في المضمون — وتُناقَش الاختلافات بينها بشكل منفصل في المرحلة 8 (الملاحظة C8).</w:t>
      </w:r>
    </w:p>
    <w:p>
      <w:pPr>
        <w:pStyle w:val="Heading2"/>
        <w:bidi/>
        <w:spacing w:after="100" w:before="280"/>
        <w:jc w:val="right"/>
      </w:pPr>
      <w:r>
        <w:rPr>
          <w:rFonts w:ascii="Arial" w:cs="Arial" w:eastAsia="Arial" w:hAnsi="Arial"/>
          <w:b/>
          <w:bCs/>
          <w:color w:val="1A2B4A"/>
          <w:sz w:val="26"/>
          <w:szCs w:val="26"/>
          <w:rtl/>
        </w:rPr>
        <w:t xml:space="preserve">2.1 مقارنة “قبل/بعد” — البنية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1850"/>
        <w:gridCol w:w="1850"/>
        <w:gridCol w:w="2310"/>
      </w:tblGrid>
      <w:tr>
        <w:trPr>
          <w:tblHeader/>
        </w:trPr>
        <w:tc>
          <w:tcPr>
            <w:tcW w:type="dxa" w:w="15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البُعد</w:t>
            </w:r>
          </w:p>
        </w:tc>
        <w:tc>
          <w:tcPr>
            <w:tcW w:type="dxa" w:w="185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المفهوم الأصلي (صفحة واحدة)</w:t>
            </w:r>
          </w:p>
        </w:tc>
        <w:tc>
          <w:tcPr>
            <w:tcW w:type="dxa" w:w="185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النسخة المُعدَّلة ("Investors Circle"، المجلد 1)</w:t>
            </w:r>
          </w:p>
        </w:tc>
        <w:tc>
          <w:tcPr>
            <w:tcW w:type="dxa" w:w="185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حِزَم مجلس الإدارة النهائية (×4)</w:t>
            </w:r>
          </w:p>
        </w:tc>
        <w:tc>
          <w:tcPr>
            <w:tcW w:type="dxa" w:w="231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صافي التغيير</w:t>
            </w:r>
          </w:p>
        </w:tc>
      </w:tr>
      <w:tr>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اسم المشروع</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“Egypt Future Investment Forum Riyadh 2026”</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“Radix Investors Circle – Riyadh 2026” / “Radix Gulf Expansion Program 2026”</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“Radix Investors Circle 2026” (في الغالب؛ نسخة واحدة لا تزال تقول “Gulf Expansion Program”)</w:t>
            </w:r>
          </w:p>
        </w:tc>
        <w:tc>
          <w:tcPr>
            <w:tcW w:type="dxa" w:w="231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ثلاثة أسماء مختلفة استُخدمت في مشروع واحد — هوية بصرية غير محسومة.</w:t>
            </w:r>
          </w:p>
        </w:tc>
      </w:tr>
      <w:tr>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النموذج الأساسي</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فعالية مجتمعية/احتفالية واحدة</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Community-Led Acquisition + CRM + Referral Engine + Partnerships + منصة “Investor Circle”</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نفس النسخة المُعدَّلة، مُعاد صياغتها</w:t>
            </w:r>
          </w:p>
        </w:tc>
        <w:tc>
          <w:tcPr>
            <w:tcW w:type="dxa" w:w="231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تطوّر مفاهيمي حقيقي؛ لم يُعاد بناؤه تشغيلياً أبداً (انظر 2.2).</w:t>
            </w:r>
          </w:p>
        </w:tc>
      </w:tr>
      <w:tr>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مراحل التنفيذ</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محدّدة (“بدء المرحلة 1 فوراً” — “المرحلة 1” غير مُعرَّفة)</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9 مراحل (0–8): تدقيق CRM ← إعادة تنشيط ← رسم خريطة المجتمع ← شراكات ← توليد عملاء ← إطلاق الدائرة ← الفعالية الرئيسية ← متابعة ← تقرير/تكرار</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نفس 9 المراحل، بترتيب/تسمية مختلفة قليلاً بين النسخ الأربعة (مثلاً “التوسّع” يكون أحياناً المرحلة 7 وأحياناً 8)</w:t>
            </w:r>
          </w:p>
        </w:tc>
        <w:tc>
          <w:tcPr>
            <w:tcW w:type="dxa" w:w="231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النطاق توسّع من “فعالية واحدة” إلى “9 مراحل، 6 منها تسبق الفعالية”.</w:t>
            </w:r>
          </w:p>
        </w:tc>
      </w:tr>
      <w:tr>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الميزانية</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1,000,000–2,000,000 جنيه (إجمالي)</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نفس الرقم، بلا تغيير</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نفس الرقم، بلا تغيير؛ فقط أُضيف توزيع وظيفي 40/25/20/15% (دون أرقام مطلقة)</w:t>
            </w:r>
          </w:p>
        </w:tc>
        <w:tc>
          <w:tcPr>
            <w:tcW w:type="dxa" w:w="231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الميزانية لم تُعاد حسابها رغم زيادة النطاق ~9 مرات (الملاحظة C2، المرحلة 8).</w:t>
            </w:r>
          </w:p>
        </w:tc>
      </w:tr>
      <w:tr>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مؤشرات الأداء</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150 حاضر؛ 10–35 وحدة</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1,000 عميل محتمل ← 300 مؤهَّل ← 120–150 حاضر ← 10–35 وحدة</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مطابقة للنسخة المُعدَّلة، حرفياً عبر النسخ الأربعة</w:t>
            </w:r>
          </w:p>
        </w:tc>
        <w:tc>
          <w:tcPr>
            <w:tcW w:type="dxa" w:w="231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أُضيف “مسار تحويل” فوق الرقمين الأصليين، لكن الرقمين الأصليين لم يتغيّرا قط — مما يشير إلى أن المسار صُمِّم لملاءمة استنتاج موجود مسبقاً، لا أنه نتج عنه.</w:t>
            </w:r>
          </w:p>
        </w:tc>
      </w:tr>
      <w:tr>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دور السفارة</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مذكور</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مذكور صريحاً، لكن “الأسئلة المتوقعة” في المجلد 1 تضعه فعلاً كـ“دعم، لا قناة أساسية”</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سؤال صريح: “السفارة = مصداقية، لا مصدر استحواذ أساسي”</w:t>
            </w:r>
          </w:p>
        </w:tc>
        <w:tc>
          <w:tcPr>
            <w:tcW w:type="dxa" w:w="231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تحسين حقيقي ومفيد — لكن لاحظ أن هذا الاستنتاج موجود مسبقاً، ومُستخلَص بشكل مستقل، في مجموعة 01–05 المرجعية غير المرتبطة (المستند 1 “المبدأ الذهبي”؛ المستند 5 خطر #2).</w:t>
            </w:r>
          </w:p>
        </w:tc>
      </w:tr>
      <w:tr>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بنية CRM / البيانات</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مذكورة</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“المرحلة 0: تدقيق CRM وتنظيف” أُدخلت كأول مرحلة</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تصنيفات CRM (A–D) وأسماء مؤشرات أداء؛ تم تسليم جدولَي “نظام” إكسل</w:t>
            </w:r>
          </w:p>
        </w:tc>
        <w:tc>
          <w:tcPr>
            <w:tcW w:type="dxa" w:w="231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الجدولان يحتويان عناوين أعمدة فقط — صفر صفوف بيانات، صفر معادلات، صفر منطق تقييم (الملاحظة C4، المرحلة 8).</w:t>
            </w:r>
          </w:p>
        </w:tc>
      </w:tr>
      <w:tr>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سجل المخاطر</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يوجد</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يوجد (فقط “أسئلة الإدارة المتوقعة” — 3 أسئلة وأجوبة)</w:t>
            </w:r>
          </w:p>
        </w:tc>
        <w:tc>
          <w:tcPr>
            <w:tcW w:type="dxa" w:w="185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أُضيف سجل “مخاطر” من 4 سطور: الحضور / جودة العملاء / التحويل / السمعة، كل واحد بـ“حل” من 2–4 كلمات</w:t>
            </w:r>
          </w:p>
        </w:tc>
        <w:tc>
          <w:tcPr>
            <w:tcW w:type="dxa" w:w="231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السجل موجود بالاسم؛ كل عنصر فيه جملة واحدة فقط دون احتمالية، أثر، مسؤول، أو محفّز — انظر المرحلة 9 لنسخة مُعاد بناؤها.</w:t>
            </w:r>
          </w:p>
        </w:tc>
      </w:tr>
      <w:tr>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الجدول الزمني / التواريخ</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“Riyadh 2026” فقط</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“Riyadh 2026” فقط</w:t>
            </w:r>
          </w:p>
        </w:tc>
        <w:tc>
          <w:tcPr>
            <w:tcW w:type="dxa" w:w="185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“Riyadh 2026” فقط</w:t>
            </w:r>
          </w:p>
        </w:tc>
        <w:tc>
          <w:tcPr>
            <w:tcW w:type="dxa" w:w="231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شهر، لا مدة لكل مرحلة، لا محطات (Milestones) عبر أربعة مستندات “نهائية”.</w:t>
            </w:r>
          </w:p>
        </w:tc>
      </w:tr>
    </w:tbl>
    <w:p>
      <w:pPr>
        <w:pStyle w:val="Heading2"/>
        <w:bidi/>
        <w:spacing w:after="100" w:before="280"/>
        <w:jc w:val="right"/>
      </w:pPr>
      <w:r>
        <w:rPr>
          <w:rFonts w:ascii="Arial" w:cs="Arial" w:eastAsia="Arial" w:hAnsi="Arial"/>
          <w:b/>
          <w:bCs/>
          <w:color w:val="1A2B4A"/>
          <w:sz w:val="26"/>
          <w:szCs w:val="26"/>
          <w:rtl/>
        </w:rPr>
        <w:t xml:space="preserve">2.2 تحليل كل تغيير على حدة</w:t>
      </w:r>
    </w:p>
    <w:p>
      <w:pPr>
        <w:bidi/>
        <w:spacing w:after="70" w:before="160"/>
        <w:jc w:val="right"/>
      </w:pPr>
      <w:r>
        <w:rPr>
          <w:rFonts w:ascii="Arial" w:cs="Arial" w:eastAsia="Arial" w:hAnsi="Arial"/>
          <w:b/>
          <w:bCs/>
          <w:color w:val="0A0A0A"/>
          <w:sz w:val="22"/>
          <w:szCs w:val="22"/>
          <w:rtl/>
        </w:rPr>
        <w:t xml:space="preserve">التغيير 1 — من فعالية واحدة إلى “Community-Led Acquisition + CRM + Referral Engine + Partnerships + Investor Circle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السؤال</w:t>
            </w:r>
          </w:p>
        </w:tc>
        <w:tc>
          <w:tcPr>
            <w:tcW w:type="dxa" w:w="71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التقييم</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لماذا اقُترح؟</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يذكر المجلد 1 أربعة أسباب: (1) جودة عملاء محتملين أعلى، (2) تكلفة استحواذ أقل، (3) بناء أصل تسويقي طويل الأجل، (4) ثقة/تحويل أعلى — جميعها صيغت كرد على “المعارض مزدحمة ومكلفة”.</w:t>
            </w:r>
          </w:p>
        </w:tc>
      </w:tr>
      <w:tr>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هل يُحسِّن المشروع؟</w:t>
            </w:r>
          </w:p>
        </w:tc>
        <w:tc>
          <w:tcPr>
            <w:tcW w:type="dxa" w:w="7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نعم من حيث التوجه — الفرضية الأساسية (مجتمع متكرر يتفوق على حضور معرض لمرة واحدة) موثَّقة جيداً (انظر المجموعة المرجعية 01–05، المستند 4: دراسة حالة “Hazi Misr Prime” على مدى 15 سنة). من حيث المبدأ، هذا هو الحدس الصحيح.</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هل يحلّ مشكلة حقيقية؟</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جزئياً. “المعارض مزدحمة/مكلفة” مشكلة حقيقية ومُوثَّقة. لكن الحل المقترَح (منصة CRM/مجتمعية من 9 مراحل) حجمه أكبر بكثير من ما تتطلبه المشكلة المذكورة — مطرقة ثقيلة لرفع مفك.</w:t>
            </w:r>
          </w:p>
        </w:tc>
      </w:tr>
      <w:tr>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مخاطر جديدة؟</w:t>
            </w:r>
          </w:p>
        </w:tc>
        <w:tc>
          <w:tcPr>
            <w:tcW w:type="dxa" w:w="7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نعم، وكبيرة: توسّع النطاق ~9 مرات (فعالية واحدة ← تسع مراحل، ست منها قبل الفعالية) دون إعادة النظر في الميزانية، الجدول الزمني، أو فرق العمل. الخطة الآن تفترض ضمنياً أن المراحل 0–5 تكلّف ~صفر جنيه (أي تُغطّى من وقت الموظفين الحالي) — افتراض غير مذكور في أي مكان.</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تعقيد غير ضروري؟</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إلى حدّ كبير، نعم. قارن بنسخة المجموعة المرجعية 01–05 الخاصة بها من “تحويل حضور لمرة واحدة إلى جمهور متكرر” (المستند 5، §5 — نظام “عضوية” مبسّط مبني على جدول بيانات، يُوصَف صريحاً بأنه “لا يحتاج بنية تحتية تقنية معقدة... للسنة الأولى”). نسخة Radix تتجه مباشرة إلى بنية CRM كاملة، وتقييم عملاء محتملين، و“منصة” ذات هوية، قبل تنظيم فعالية واحدة.</w:t>
            </w:r>
          </w:p>
        </w:tc>
      </w:tr>
    </w:tbl>
    <w:p>
      <w:pPr>
        <w:bidi/>
        <w:spacing w:after="70" w:before="160"/>
        <w:jc w:val="right"/>
      </w:pPr>
      <w:r>
        <w:rPr>
          <w:rFonts w:ascii="Arial" w:cs="Arial" w:eastAsia="Arial" w:hAnsi="Arial"/>
          <w:b/>
          <w:bCs/>
          <w:color w:val="0A0A0A"/>
          <w:sz w:val="22"/>
          <w:szCs w:val="22"/>
          <w:rtl/>
        </w:rPr>
        <w:t xml:space="preserve">التغيير 2 — بقاء مؤشرات الأداء الأساسية (150 حاضر، 10–35 وحدة، 1–2 مليون جنيه) بلا تغيير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السؤال</w:t>
            </w:r>
          </w:p>
        </w:tc>
        <w:tc>
          <w:tcPr>
            <w:tcW w:type="dxa" w:w="71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التقييم</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لماذا “اقُترح” (أي استمر)؟</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مُفسَّر في أي مكان — هذه الأرقام الثلاثة استمرت حرفياً من النسخة الأصلية بصفحة واحدة عبر المستندات الخمسة اللاحقة.</w:t>
            </w:r>
          </w:p>
        </w:tc>
      </w:tr>
      <w:tr>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هل يُحسِّن المشروع؟</w:t>
            </w:r>
          </w:p>
        </w:tc>
        <w:tc>
          <w:tcPr>
            <w:tcW w:type="dxa" w:w="7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منطبق — هذا غياب لإعادة التقييم، لا تغيير. لكن استمراره رغم زيادة النطاق 9 مرات هو نفسه ملاحظة جوهرية.</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مخاطر جديدة؟</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احتماليان متعارضان، لم يُتناوَل أي منهما: (أ) إما أن هذه الأرقام كانت مُصمَّمة من البداية لتغطية البرنامج الكامل من 9 مراحل — وفي هذه الحالة فإن النسخة الأصلية ذات الصفحة الواحدة قللت من تكلفة المشروع الحقيقية منذ اليوم الأول؛ أو (ب) أن الأرقام حُسبت لـ“فعالية واحدة” فقط — وفي هذه الحالة فإن المراحل 0–5 و7–8 لا تملك أي تمويل في الخطة الموثَّقة حالياً.</w:t>
            </w:r>
          </w:p>
        </w:tc>
      </w:tr>
      <w:tr>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يحلّ مشكلة حقيقية؟</w:t>
            </w:r>
          </w:p>
        </w:tc>
        <w:tc>
          <w:tcPr>
            <w:tcW w:type="dxa" w:w="7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 هذا غياب لحساب مطلوب، لا حل.</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تعقيد غير ضروري؟</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منطبق.</w:t>
            </w:r>
          </w:p>
        </w:tc>
      </w:tr>
    </w:tbl>
    <w:p>
      <w:pPr>
        <w:bidi/>
        <w:spacing w:after="70" w:before="160"/>
        <w:jc w:val="right"/>
      </w:pPr>
      <w:r>
        <w:rPr>
          <w:rFonts w:ascii="Arial" w:cs="Arial" w:eastAsia="Arial" w:hAnsi="Arial"/>
          <w:b/>
          <w:bCs/>
          <w:color w:val="0A0A0A"/>
          <w:sz w:val="22"/>
          <w:szCs w:val="22"/>
          <w:rtl/>
        </w:rPr>
        <w:t xml:space="preserve">التغيير 3 — تخفيض دور السفارة من ركيزة ضمنية إلى “مصداقية فقط”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السؤال</w:t>
            </w:r>
          </w:p>
        </w:tc>
        <w:tc>
          <w:tcPr>
            <w:tcW w:type="dxa" w:w="71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التقييم</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لماذا اقُترح؟</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ظهر فقط كرد دفاعي في قسم الأسئلة المتوقعة (“لماذا تقليل الاعتماد على السفارة؟”) — صيغ كرد استباقي على سؤال متوقع من المجلس، لا كعنصر مُصمَّم بشكل استباقي.</w:t>
            </w:r>
          </w:p>
        </w:tc>
      </w:tr>
      <w:tr>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هل يُحسِّن المشروع؟</w:t>
            </w:r>
          </w:p>
        </w:tc>
        <w:tc>
          <w:tcPr>
            <w:tcW w:type="dxa" w:w="7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نعم، من حيث التوجه — الاعتماد المفرط على جهة واحدة لا يمكن التحكم فيها لمصداقية الفعالية هو خطر حقيقي.</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يحلّ مشكلة حقيقية؟ / مخاطر جديدة؟</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يحلّ خطراً سبق أن حلّته المجموعة المرجعية 01–05 بشكل مستقل لمشروع آخر (“المبدأ الذهبي” ومصفوفة المخاطر فيها يُخفِّضان دور السفارة إلى “داعم، لا أساسي” بشكل صريح). مستندات Radix تُعيد استخلاص نفس الاستنتاج في جملة واحدة، دون أي تفصيل تشغيلي (أي جهة اتصال بالسفارة، أي طلب محدّد، أي جدول زمني للتواصل).</w:t>
            </w:r>
          </w:p>
        </w:tc>
      </w:tr>
      <w:tr>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تعقيد غير ضروري؟</w:t>
            </w:r>
          </w:p>
        </w:tc>
        <w:tc>
          <w:tcPr>
            <w:tcW w:type="dxa" w:w="7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 على العكس، هذا التغيير غير مُطوَّر بشكل كافٍ نسبةً لأهميته.</w:t>
            </w:r>
          </w:p>
        </w:tc>
      </w:tr>
    </w:tbl>
    <w:p>
      <w:pPr>
        <w:bidi/>
        <w:spacing w:after="70" w:before="160"/>
        <w:jc w:val="right"/>
      </w:pPr>
      <w:r>
        <w:rPr>
          <w:rFonts w:ascii="Arial" w:cs="Arial" w:eastAsia="Arial" w:hAnsi="Arial"/>
          <w:b/>
          <w:bCs/>
          <w:color w:val="0A0A0A"/>
          <w:sz w:val="22"/>
          <w:szCs w:val="22"/>
          <w:rtl/>
        </w:rPr>
        <w:t xml:space="preserve">التغيير 4 — إضافة “التوسّع إلى جدة / المنطقة الشرقية” كمرحلة أخيرة (7 أو 8 حسب النسخة)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السؤال</w:t>
            </w:r>
          </w:p>
        </w:tc>
        <w:tc>
          <w:tcPr>
            <w:tcW w:type="dxa" w:w="71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التقييم</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لماذا اقُترح؟</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يبدو أنه يُفعِّل نتيجة “نموذج التوسّع الخليجي طويل الأجل” من المستند الأصلي ذي الصفحة الواحدة.</w:t>
            </w:r>
          </w:p>
        </w:tc>
      </w:tr>
      <w:tr>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هل يُحسِّن المشروع؟</w:t>
            </w:r>
          </w:p>
        </w:tc>
        <w:tc>
          <w:tcPr>
            <w:tcW w:type="dxa" w:w="7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كهدف مُعلَن، لا ضرر. كمرحلة في خطة تنفيذ متسلسلة، فهو سابق لأوانه.</w:t>
            </w:r>
          </w:p>
        </w:tc>
      </w:tr>
      <w:tr>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مخاطر جديدة / تعقيد غير ضروري؟</w:t>
            </w:r>
          </w:p>
        </w:tc>
        <w:tc>
          <w:tcPr>
            <w:tcW w:type="dxa" w:w="7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وضع مرحلة توسّع قبل أن يُنتج المشروع التجريبي (الرياض، المرحلة 6) أي بيانات حضور أو تحويل هو “تخطيط للجزء الثاني قبل عرض الأول”. كما يفترض ضمنياً وجود ميزانية/جدول زمني لمدينة ثانية — وهذا غير موجود في أي مكان بالملف.</w:t>
            </w:r>
          </w:p>
        </w:tc>
      </w:tr>
    </w:tbl>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3 — تدقيق الاستراتيجية النهائية (مراجعة جاهزة لمجلس الإدارة)</w:t>
      </w:r>
    </w:p>
    <w:p>
      <w:pPr>
        <w:bidi/>
        <w:spacing w:after="60" w:before="60"/>
        <w:jc w:val="right"/>
      </w:pPr>
      <w:r>
        <w:rPr>
          <w:rFonts w:ascii="Arial" w:cs="Arial" w:eastAsia="Arial" w:hAnsi="Arial"/>
          <w:color w:val="0A0A0A"/>
          <w:sz w:val="21"/>
          <w:szCs w:val="21"/>
          <w:rtl/>
        </w:rPr>
        <w:t xml:space="preserve">كل من الـ13 محوراً المطلوبة مُقيَّم من 1 إلى 10 (الأعلى = الأصح). أضعف أربعة محاور — جميعها بدرجة 2/10 — هي الأكثر تأثيراً مباشراً على إمكانية تبرير طلب 1–2 مليون جنيه، وتُفصَّل في تحليلات معمّقة (نقاط قوة / ضعف / مخاطر / توصيات) بعد الجدول التلخيصي.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2320"/>
        <w:gridCol w:w="2320"/>
        <w:gridCol w:w="2320"/>
      </w:tblGrid>
      <w:tr>
        <w:trPr>
          <w:tblHeader/>
        </w:trPr>
        <w:tc>
          <w:tcPr>
            <w:tcW w:type="dxa" w:w="17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المحور</w:t>
            </w:r>
          </w:p>
        </w:tc>
        <w:tc>
          <w:tcPr>
            <w:tcW w:type="dxa" w:w="7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الدرجة</w:t>
            </w:r>
          </w:p>
        </w:tc>
        <w:tc>
          <w:tcPr>
            <w:tcW w:type="dxa" w:w="232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أهم نقطة قوة</w:t>
            </w:r>
          </w:p>
        </w:tc>
        <w:tc>
          <w:tcPr>
            <w:tcW w:type="dxa" w:w="232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أهم نقطة ضعف / خطر</w:t>
            </w:r>
          </w:p>
        </w:tc>
        <w:tc>
          <w:tcPr>
            <w:tcW w:type="dxa" w:w="232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أهم توصية</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1. توافق السوق</w:t>
            </w:r>
          </w:p>
        </w:tc>
        <w:tc>
          <w:tcPr>
            <w:tcW w:type="dxa" w:w="7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5/10</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صحيح للأطباء والمهندسين المصريين كأكبر شريحة مهنية في الرياض — متوافق مع بيانات الجالية المستقلة.</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يوجد تقسيم بحسب الدخل/الميزانية — “المهنيون المصريون” مدى واسع جداً من القدرة المالية، دون ربط بأي من المشاريع الثلاثة يناسب أي شريحة دخل.</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تقسيم القائمة المستهدفة بحسب شريحة الدخل الشهري التقديرية وربط كل شريحة بمشروع/مشاريع Radix المناسبة فعلياً.</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2. المنطق الاستراتيجي</w:t>
            </w:r>
          </w:p>
        </w:tc>
        <w:tc>
          <w:tcPr>
            <w:tcW w:type="dxa" w:w="7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5/10</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“المجتمع كقناة متكررة” متوافق مع الدليل (سابقة 15 سنة في البحث المرجعي 01–05).</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آلية الـ9 مراحل المختارة لتحقيق هذه الفائدة غير متناسبة؛ يوجد نموذج أبسط وأخف موثَّق لجمهور مماثل.</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تصحيح حجم الآلية: البدء بنظام عضوية مبسّط؛ إضافة بنية CRM كاملة فقط عندما يبرر الحجم ذلك.</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3. منطق العائد</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2/10</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مرتبط بثلاثة مشاريع محددة لـ Radix، يُفترَض أنها حقيقية — أمر ملموس من حيث المبدأ.</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صفر أسعار وحدات، صفر بيانات هامش/عمولة، صفر معادلة في أي مكان بالملف. “ROIA” خلية فارغة موسومة فقط.</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انظر التحليل المعمّق أدناه — هذه أهم فجوة في الملف بأكمله.</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4. نموذج المجتمع</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3/10</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متوافق من حيث التوجه مع أنماط مُثبَتة لمجتمعات الجاليات (جمعيات مهنية، مجموعات واتساب، إلخ).</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مرحلة “رسم خريطة المجتمع” لا تُسمّي أي مجموعة/منظمة فعلية؛ ورقة Community_Mapping فارغة في كلا الجدولين.</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تسمية 5–10 جمعيات مهنية/مجموعات مجتمعية مصرية محتملة في الرياض قبل اعتبار هذه المرحلة “مخطَّطة”.</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5. مفهوم “Investor Circle”</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3/10</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أداة تموضع قوية — الاسم نفسه يُلمِّح إلى الحصرية والعلاقة المتكررة.</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توجد مستويات عضوية، لا وتيرة نشاط، لا قيمة مُقدَّمة تتجاوز الاسم — هو تسمية، لا برنامج.</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2–3 مستويات عضوية بمعايير دخول ومزايا ملموسة (يوجد نموذج جاهز للاستخدام في المجموعة المرجعية 01–05، المستند 5 §5).</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6. استراتيجية الفعالية</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2/10</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من المُفترَض أنها تستفيد من خبرة Radix السابقة في الفعاليات (غير موثَّقة في هذا الملف).</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صفر تصميم فعالية في أي مكان — لا مكان، لا تاريخ، لا أجندة، لا تسلسل برنامج، لا صيغة — رغم تخصيص 25% من الميزانية لـ“الفعالية”.</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انظر التحليل المعمّق أدناه.</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7. استراتيجية CRM</w:t>
            </w:r>
          </w:p>
        </w:tc>
        <w:tc>
          <w:tcPr>
            <w:tcW w:type="dxa" w:w="7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4/10</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تصنيف معقول من A إلى D؛ هيكل CRM_Master في النظام المؤسسي يتضمن حقول مناسبة (المهنة، نطاق الدخل).</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صفر سجلات حالية رغم أن “المرحلة 0: تدقيق CRM” تفترض وجود قاعدة بيانات حالية للتدقيق؛ لا معايير محدّدة لما يجعل العميل المحتمل “دافئاً” أو “جديداً”.</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حجم واستيراد قاعدة بيانات عملاء/عملاء محتملين الحالية الفعلية لـ Radix قبل تسمية المرحلة 0 “تدقيقاً”.</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8. استراتيجية الإحالة</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3/10</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توجد ورقة Referral_Program مخصّصة بأعمدة منطقية (إحالات ← مؤهَّل ← حجوزات ← عقود).</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توجد بنية حافز محدّدة في أي مكان، ولا هدف إحالة لكل عميل حالي — برامج الإحالة دون حوافز نادراً ما تُولِّد حجماً كبيراً.</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حافز ملموس (مثلاً مكافأة متدرّجة لكل إحالة مؤهَّلة تحجز زيارة موقع) وهدف إحالة لكل عميل.</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9. استراتيجية الشراكات</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3/10</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مُعترَف بها كمرحلة مخصّصة بذاتها — يُظهر وعياً بأهمية الشركاء للوصول.</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صفر شركاء أو فئات شركاء مُسمَّاة؛ ورقتا “PartnersA” و“PartnershipsA” فارغتان كلتاهما.</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تسمية فئات الشركاء المرشّحين والمنظمات المحدّدة (نقابات مهنية، جمعيات مجتمعية) باتباع نهج المستند 3 في 01–05.</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10. استراتيجية السفارة</w:t>
            </w:r>
          </w:p>
        </w:tc>
        <w:tc>
          <w:tcPr>
            <w:tcW w:type="dxa" w:w="7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5/10</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خُفِّضت بشكل صحيح إلى “مصداقية، لا قناة أساسية” — لعلّها أكثر عنصر مُتقَن في الملف بأكمله.</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تزال مجرد جملة واحدة في الأسئلة المتوقعة — لا جهة اتصال مُسمَّاة، لا طلب محدّد، لا جدول زمني للتواصل.</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وضع خطة تواصل ملموسة مع السفارة (من تُتواصَل معه، بأي طلب، بحلول متى) — يحتوي المستند 1 في 01–05 على نموذج “ما يُطلَب/ما لا يُطلَب” جاهز للاستخدام.</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11. استراتيجية توليد العملاء المحتملين</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2/10</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نسبة 1,000 ← 300 (تأهيل 30%) على الأقل مذكورة كرقم داخلياً.</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صفر مزيج قنوات — من أين تأتي الـ1,000 عميل محتمل؟ لا افتراض تكلفة لكل عميل محتمل يربط هذا بنسبة 40% من الميزانية (أكبر بند فردي).</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انظر التحليل المعمّق أدناه.</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12. تصميم مسار التحويل</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3/10</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مراحل المسار مُسمَّاة بانسجام إلى حدّ كبير عبر مؤشرات الأداء وكلا جدولَي الإكسل — شكل المسار موجود.</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أهداف تحويل لأي مرحلة وسيطة؛ الجدولان حتى يتعارضان مع بعضهما — “زيارة الموقع” تظهر في تعريف مسار واحد وتغيب عن الآخر.</w:t>
            </w:r>
          </w:p>
        </w:tc>
        <w:tc>
          <w:tcPr>
            <w:tcW w:type="dxa" w:w="23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أهداف تحويل لكل مرحلة وسيطة وتوحيد الجدولين في تعريف مسار واحد.</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13. الجاهزية التشغيلية</w:t>
            </w:r>
          </w:p>
        </w:tc>
        <w:tc>
          <w:tcPr>
            <w:tcW w:type="dxa" w:w="7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2/10</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المراحل مُرتَّبة منطقياً (تدقيق ← إعادة تنشيط ← رسم خريطة ← ...) — منطق التسلسل صحيح.</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“Riyadh 2026” هو التاريخ الوحيد في الملف كله — لا شهر، لا مدة لكل مرحلة، لا مسؤولين. وتوزيع الميزانية بـ4 فئات (توليد عملاء/فعالية/متابعة/شراكات وعلاقات عامة) لا يتطابق مع 9 المراحل — “المرحلة 0: تدقيق CRM” و“المرحلة 8: تقرير وتكرار” لا تقابلان أي فئة ميزانية على الإطلاق.</w:t>
            </w:r>
          </w:p>
        </w:tc>
        <w:tc>
          <w:tcPr>
            <w:tcW w:type="dxa" w:w="23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انظر التحليل المعمّق أدناه.</w:t>
            </w:r>
          </w:p>
        </w:tc>
      </w:tr>
    </w:tbl>
    <w:p>
      <w:pPr>
        <w:pStyle w:val="Heading2"/>
        <w:bidi/>
        <w:spacing w:after="100" w:before="280"/>
        <w:jc w:val="right"/>
      </w:pPr>
      <w:r>
        <w:rPr>
          <w:rFonts w:ascii="Arial" w:cs="Arial" w:eastAsia="Arial" w:hAnsi="Arial"/>
          <w:b/>
          <w:bCs/>
          <w:color w:val="1A2B4A"/>
          <w:sz w:val="26"/>
          <w:szCs w:val="26"/>
          <w:rtl/>
        </w:rPr>
        <w:t xml:space="preserve">3.1 تحليل معمّق — منطق العائد (2/10)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c>
          <w:tcPr>
            <w:tcW w:type="dxa" w:w="75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r>
      <w:tr>
        <w:tc>
          <w:tcPr>
            <w:tcW w:type="dxa" w:w="18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right"/>
            </w:pPr>
            <w:r>
              <w:rPr>
                <w:rFonts w:ascii="Arial" w:cs="Arial" w:eastAsia="Arial" w:hAnsi="Arial"/>
                <w:b/>
                <w:bCs/>
                <w:color w:val="1A6B4A"/>
                <w:sz w:val="17"/>
                <w:szCs w:val="17"/>
                <w:rtl/>
              </w:rPr>
              <w:t xml:space="preserve">نقاط القوة</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الخطة مرتبطة بثلاثة مشاريع محددة وحقيقية لـ Radix، لا حدث عقاري عام — أساس حقيقي يمكن البناء عليه بمجرد إضافة بيانات التسعير.</w:t>
            </w:r>
          </w:p>
        </w:tc>
      </w:tr>
      <w:tr>
        <w:tc>
          <w:tcPr>
            <w:tcW w:type="dxa" w:w="18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right"/>
            </w:pPr>
            <w:r>
              <w:rPr>
                <w:rFonts w:ascii="Arial" w:cs="Arial" w:eastAsia="Arial" w:hAnsi="Arial"/>
                <w:b/>
                <w:bCs/>
                <w:color w:val="C0392B"/>
                <w:sz w:val="17"/>
                <w:szCs w:val="17"/>
                <w:rtl/>
              </w:rPr>
              <w:t xml:space="preserve">نقاط الضعف</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يظهر أي سعر متوسط، نطاق سعر، أو هامش/عمولة لـ Radix لكل وحدة في أي مكان عبر ثمانية مستندات وورد وملفّي إكسل. ورقة Executive_Dashboard تحتوي حرفياً على صف بعنوان “ROIA” دون قيمة، دون معادلة، ودون تعليمات لكيفية حسابها.</w:t>
            </w:r>
          </w:p>
        </w:tc>
      </w:tr>
      <w:tr>
        <w:tc>
          <w:tcPr>
            <w:tcW w:type="dxa" w:w="18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right"/>
            </w:pPr>
            <w:r>
              <w:rPr>
                <w:rFonts w:ascii="Arial" w:cs="Arial" w:eastAsia="Arial" w:hAnsi="Arial"/>
                <w:b/>
                <w:bCs/>
                <w:color w:val="C0651B"/>
                <w:sz w:val="17"/>
                <w:szCs w:val="17"/>
                <w:rtl/>
              </w:rPr>
              <w:t xml:space="preserve">المخاطر</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دون اقتصاديات وحدة، لا يمكن ترجمة “10–35 وحدة” إلى عائد بالجنيه المصري، مما يعني أن المجلس مُطالَب بالموافقة على إنفاق (1–2 مليون جنيه) مقابل عائد غير قابل للمعرفة هيكلياً من هذا الملف — لا “غير مؤكَّد” بالمعنى التنبؤي المعتاد، بل غير قابل للحساب فعلياً من أي رقم مُقدَّم.</w:t>
            </w:r>
          </w:p>
        </w:tc>
      </w:tr>
      <w:tr>
        <w:tc>
          <w:tcPr>
            <w:tcW w:type="dxa" w:w="1800"/>
            <w:tcBorders>
              <w:top w:val="single" w:color="D8DBE0" w:sz="1"/>
              <w:left w:val="single" w:color="D8DBE0" w:sz="1"/>
              <w:bottom w:val="single" w:color="D8DBE0" w:sz="1"/>
              <w:right w:val="single" w:color="D8DBE0" w:sz="1"/>
            </w:tcBorders>
            <w:shd w:fill="E3ECF7" w:val="clear"/>
            <w:tcMar>
              <w:top w:type="dxa" w:w="55"/>
              <w:left w:type="dxa" w:w="80"/>
              <w:bottom w:type="dxa" w:w="55"/>
              <w:right w:type="dxa" w:w="80"/>
            </w:tcMar>
            <w:vAlign w:val="center"/>
          </w:tcPr>
          <w:p>
            <w:pPr>
              <w:bidi/>
              <w:jc w:val="right"/>
            </w:pPr>
            <w:r>
              <w:rPr>
                <w:rFonts w:ascii="Arial" w:cs="Arial" w:eastAsia="Arial" w:hAnsi="Arial"/>
                <w:b/>
                <w:bCs/>
                <w:color w:val="1B4F8A"/>
                <w:sz w:val="17"/>
                <w:szCs w:val="17"/>
                <w:rtl/>
              </w:rPr>
              <w:t xml:space="preserve">التوصيات</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قبل أي تخطيط إضافي: الحصول على (أ) متوسط ونطاق أسعار الوحدات لـ Ray Residence، Agile Business Complex، و Spinner Towers، و(ب) هامش أو عمولة Radix لكل وحدة تُباع عبر هذه القناة. ثم بناء مصفوفة حساسية 3×3 — [عقود محافظة/متوقعة/طموحة] × [سعر وحدة منخفض/متوسط/مرتفع] — حتى يرى المجلس مدى من العوائد المحتملة مقابل طلب 1–2 مليون جنيه، لا رقماً واحداً غير قابل للتحقق.</w:t>
            </w:r>
          </w:p>
        </w:tc>
      </w:tr>
    </w:tbl>
    <w:p>
      <w:pPr>
        <w:pStyle w:val="Heading2"/>
        <w:bidi/>
        <w:spacing w:after="100" w:before="280"/>
        <w:jc w:val="right"/>
      </w:pPr>
      <w:r>
        <w:rPr>
          <w:rFonts w:ascii="Arial" w:cs="Arial" w:eastAsia="Arial" w:hAnsi="Arial"/>
          <w:b/>
          <w:bCs/>
          <w:color w:val="1A2B4A"/>
          <w:sz w:val="26"/>
          <w:szCs w:val="26"/>
          <w:rtl/>
        </w:rPr>
        <w:t xml:space="preserve">3.2 تحليل معمّق — استراتيجية الفعالية (2/10)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c>
          <w:tcPr>
            <w:tcW w:type="dxa" w:w="75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r>
      <w:tr>
        <w:tc>
          <w:tcPr>
            <w:tcW w:type="dxa" w:w="18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right"/>
            </w:pPr>
            <w:r>
              <w:rPr>
                <w:rFonts w:ascii="Arial" w:cs="Arial" w:eastAsia="Arial" w:hAnsi="Arial"/>
                <w:b/>
                <w:bCs/>
                <w:color w:val="1A6B4A"/>
                <w:sz w:val="17"/>
                <w:szCs w:val="17"/>
                <w:rtl/>
              </w:rPr>
              <w:t xml:space="preserve">نقاط القوة</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“المرحلة 6: فعالية الرياض الرئيسية” مُسمَّاة صريحاً على الأقل كواحدة من 9 المراحل، و25% من الميزانية مُخصَّصة لها نظرياً.</w:t>
            </w:r>
          </w:p>
        </w:tc>
      </w:tr>
      <w:tr>
        <w:tc>
          <w:tcPr>
            <w:tcW w:type="dxa" w:w="18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right"/>
            </w:pPr>
            <w:r>
              <w:rPr>
                <w:rFonts w:ascii="Arial" w:cs="Arial" w:eastAsia="Arial" w:hAnsi="Arial"/>
                <w:b/>
                <w:bCs/>
                <w:color w:val="C0392B"/>
                <w:sz w:val="17"/>
                <w:szCs w:val="17"/>
                <w:rtl/>
              </w:rPr>
              <w:t xml:space="preserve">نقاط الضعف</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يوجد مكان، لا تاريخ مقترَح، لا أجندة أو تسلسل برنامج، لا تحليل تكلفة لكل شخص، ولا وصف لما سيختبره فعلياً الـ120–150 حاضراً. “الفعالية” موجودة فقط كسطر في قائمة المراحل ونسبة في توزيع الميزانية.</w:t>
            </w:r>
          </w:p>
        </w:tc>
      </w:tr>
      <w:tr>
        <w:tc>
          <w:tcPr>
            <w:tcW w:type="dxa" w:w="18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right"/>
            </w:pPr>
            <w:r>
              <w:rPr>
                <w:rFonts w:ascii="Arial" w:cs="Arial" w:eastAsia="Arial" w:hAnsi="Arial"/>
                <w:b/>
                <w:bCs/>
                <w:color w:val="C0651B"/>
                <w:sz w:val="17"/>
                <w:szCs w:val="17"/>
                <w:rtl/>
              </w:rPr>
              <w:t xml:space="preserve">المخاطر</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25% من 1–2 مليون جنيه = 250,000–500,000 جنيه لكامل الفعالية (مكان، طعام/شراب، إنتاج، ديكور، طاقم عمل) لـ120–150 حاضراً — أي ما يقارب 1,700–4,200 جنيه للشخص. المعيار المرجعي المُستقل (من 01–05) لفعالية خليجية مماثلة لجالية (نطاق مختلف، لكن مقياس مفيد) قُدِّرت تكلفة مناسبة واحدة بـ79,000–168,000 دولار، أي ما يقارب 3.9–8.3 مليون جنيه بأسعار الصرف المعتادة لعام 2026 — أي 8–33 مرة كامل تخصيص الفعالية في Radix، وليس فقط الرقم لكل شخص. حتى مع احتساب فعالية أصغر وأقل تكلفة، فهذه الفجوة كبيرة بما يكفي لتستوجب تكلفة تفصيلية من القاعدة (Bottom-up) قبل اعتبار نسبة 25% رقماً حقيقياً.</w:t>
            </w:r>
          </w:p>
        </w:tc>
      </w:tr>
      <w:tr>
        <w:tc>
          <w:tcPr>
            <w:tcW w:type="dxa" w:w="1800"/>
            <w:tcBorders>
              <w:top w:val="single" w:color="D8DBE0" w:sz="1"/>
              <w:left w:val="single" w:color="D8DBE0" w:sz="1"/>
              <w:bottom w:val="single" w:color="D8DBE0" w:sz="1"/>
              <w:right w:val="single" w:color="D8DBE0" w:sz="1"/>
            </w:tcBorders>
            <w:shd w:fill="E3ECF7" w:val="clear"/>
            <w:tcMar>
              <w:top w:type="dxa" w:w="55"/>
              <w:left w:type="dxa" w:w="80"/>
              <w:bottom w:type="dxa" w:w="55"/>
              <w:right w:type="dxa" w:w="80"/>
            </w:tcMar>
            <w:vAlign w:val="center"/>
          </w:tcPr>
          <w:p>
            <w:pPr>
              <w:bidi/>
              <w:jc w:val="right"/>
            </w:pPr>
            <w:r>
              <w:rPr>
                <w:rFonts w:ascii="Arial" w:cs="Arial" w:eastAsia="Arial" w:hAnsi="Arial"/>
                <w:b/>
                <w:bCs/>
                <w:color w:val="1B4F8A"/>
                <w:sz w:val="17"/>
                <w:szCs w:val="17"/>
                <w:rtl/>
              </w:rPr>
              <w:t xml:space="preserve">التوصيات</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تصميم الفعالية بشكل صحيح: اختيار فئة المكان، وضع تسلسل برنامج (استقبال ← كلمات ← عشاء/تواصل ← اختتام)، وبناء تقدير تكلفة تفصيلي (مكان، طعام وشراب، إنتاج/صوتيات وصورة، ديكور، طاقم عمل، هدايا). المستندان 2 و4 في المجموعة المرجعية 01–05 يقدّمان هيكلاً قابلاً لإعادة الاستخدام مباشرة لتمرين التكلفة هذا، حتى لو لم ينتقل محتواهما (مواضيع المناسبات).</w:t>
            </w:r>
          </w:p>
        </w:tc>
      </w:tr>
    </w:tbl>
    <w:p>
      <w:pPr>
        <w:pStyle w:val="Heading2"/>
        <w:bidi/>
        <w:spacing w:after="100" w:before="280"/>
        <w:jc w:val="right"/>
      </w:pPr>
      <w:r>
        <w:rPr>
          <w:rFonts w:ascii="Arial" w:cs="Arial" w:eastAsia="Arial" w:hAnsi="Arial"/>
          <w:b/>
          <w:bCs/>
          <w:color w:val="1A2B4A"/>
          <w:sz w:val="26"/>
          <w:szCs w:val="26"/>
          <w:rtl/>
        </w:rPr>
        <w:t xml:space="preserve">3.3 تحليل معمّق — استراتيجية توليد العملاء المحتملين (2/10)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c>
          <w:tcPr>
            <w:tcW w:type="dxa" w:w="75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r>
      <w:tr>
        <w:tc>
          <w:tcPr>
            <w:tcW w:type="dxa" w:w="18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right"/>
            </w:pPr>
            <w:r>
              <w:rPr>
                <w:rFonts w:ascii="Arial" w:cs="Arial" w:eastAsia="Arial" w:hAnsi="Arial"/>
                <w:b/>
                <w:bCs/>
                <w:color w:val="1A6B4A"/>
                <w:sz w:val="17"/>
                <w:szCs w:val="17"/>
                <w:rtl/>
              </w:rPr>
              <w:t xml:space="preserve">نقاط القوة</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نسبة 1,000 ← 300 (معدل تأهيل 30%) على الأقل مذكورة كرقم، تُعطي شيئاً للتفاعل معه.</w:t>
            </w:r>
          </w:p>
        </w:tc>
      </w:tr>
      <w:tr>
        <w:tc>
          <w:tcPr>
            <w:tcW w:type="dxa" w:w="18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right"/>
            </w:pPr>
            <w:r>
              <w:rPr>
                <w:rFonts w:ascii="Arial" w:cs="Arial" w:eastAsia="Arial" w:hAnsi="Arial"/>
                <w:b/>
                <w:bCs/>
                <w:color w:val="C0392B"/>
                <w:sz w:val="17"/>
                <w:szCs w:val="17"/>
                <w:rtl/>
              </w:rPr>
              <w:t xml:space="preserve">نقاط الضعف</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يوجد وصف لمصدر الـ1,000 عميل محتمل. لا مزيج قنوات (قاعدة بيانات حالية / إحالات / شركاء مجتمعيون / إعلانات رقمية / جمعيات مهنية)، لا تكلفة لكل عميل محتمل، ولا مبرر لاختيار 1,000 بدلاً من 500 أو 5,000.</w:t>
            </w:r>
          </w:p>
        </w:tc>
      </w:tr>
      <w:tr>
        <w:tc>
          <w:tcPr>
            <w:tcW w:type="dxa" w:w="18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right"/>
            </w:pPr>
            <w:r>
              <w:rPr>
                <w:rFonts w:ascii="Arial" w:cs="Arial" w:eastAsia="Arial" w:hAnsi="Arial"/>
                <w:b/>
                <w:bCs/>
                <w:color w:val="C0651B"/>
                <w:sz w:val="17"/>
                <w:szCs w:val="17"/>
                <w:rtl/>
              </w:rPr>
              <w:t xml:space="preserve">المخاطر</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40% من إجمالي الميزانية (أكبر تخصيص فردي بين الأربعة — 400,000–800,000 جنيه) مُخصَّص لـ“توليد العملاء المحتملين” دون خطة وراءه. إذا كان المقصود تمويل استحواذ رقمي مدفوع، فإن 400–800 ألف جنيه بتكلفة عميل محتمل تتراوح بين 50–150 جنيه يُولِّد ما يقارب 2,700–16,000 عميل محتمل — تعارض حاد مع هدف الـ1,000 عميل، مما يُشير إلى أن نسبة الميزانية أو هدف العملاء المحتملين (أو كلاهما) لم يُستخلَصا من بعضهما.</w:t>
            </w:r>
          </w:p>
        </w:tc>
      </w:tr>
      <w:tr>
        <w:tc>
          <w:tcPr>
            <w:tcW w:type="dxa" w:w="1800"/>
            <w:tcBorders>
              <w:top w:val="single" w:color="D8DBE0" w:sz="1"/>
              <w:left w:val="single" w:color="D8DBE0" w:sz="1"/>
              <w:bottom w:val="single" w:color="D8DBE0" w:sz="1"/>
              <w:right w:val="single" w:color="D8DBE0" w:sz="1"/>
            </w:tcBorders>
            <w:shd w:fill="E3ECF7" w:val="clear"/>
            <w:tcMar>
              <w:top w:type="dxa" w:w="55"/>
              <w:left w:type="dxa" w:w="80"/>
              <w:bottom w:type="dxa" w:w="55"/>
              <w:right w:type="dxa" w:w="80"/>
            </w:tcMar>
            <w:vAlign w:val="center"/>
          </w:tcPr>
          <w:p>
            <w:pPr>
              <w:bidi/>
              <w:jc w:val="right"/>
            </w:pPr>
            <w:r>
              <w:rPr>
                <w:rFonts w:ascii="Arial" w:cs="Arial" w:eastAsia="Arial" w:hAnsi="Arial"/>
                <w:b/>
                <w:bCs/>
                <w:color w:val="1B4F8A"/>
                <w:sz w:val="17"/>
                <w:szCs w:val="17"/>
                <w:rtl/>
              </w:rPr>
              <w:t xml:space="preserve">التوصيات</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مزيج القنوات بوضوح وتقدير حجم كل قناة: (1) إعادة تنشيط قاعدة بيانات عملاء/عملاء محتملين Radix الحالية — رقم معروف بمجرد تشغيل المرحلة 0 فعلياً؛ (2) إحالات من العملاء الحاليين (مرتبطة بـ§8)؛ (3) شركاء مجتمعيون/جمعيات مهنية مُسمَّون (مرتبط بـ§4/§9)؛ (4) رقمي مدفوع، بافتراض تكلفة عميل محتمل صريح. مطابقة مجموع تقديرات العملاء المحتملين على مستوى القناة مع هدف الـ1,000 عميل وكذلك تخصيص الـ40% من الميزانية — إذا لم تتطابق، يُعدَّل أحدهما بشكل مقصود، لا بشكل افتراضي.</w:t>
            </w:r>
          </w:p>
        </w:tc>
      </w:tr>
    </w:tbl>
    <w:p>
      <w:pPr>
        <w:pStyle w:val="Heading2"/>
        <w:bidi/>
        <w:spacing w:after="100" w:before="280"/>
        <w:jc w:val="right"/>
      </w:pPr>
      <w:r>
        <w:rPr>
          <w:rFonts w:ascii="Arial" w:cs="Arial" w:eastAsia="Arial" w:hAnsi="Arial"/>
          <w:b/>
          <w:bCs/>
          <w:color w:val="1A2B4A"/>
          <w:sz w:val="26"/>
          <w:szCs w:val="26"/>
          <w:rtl/>
        </w:rPr>
        <w:t xml:space="preserve">3.4 تحليل معمّق — الجاهزية التشغيلية (2/10)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c>
          <w:tcPr>
            <w:tcW w:type="dxa" w:w="75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r>
      <w:tr>
        <w:tc>
          <w:tcPr>
            <w:tcW w:type="dxa" w:w="18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right"/>
            </w:pPr>
            <w:r>
              <w:rPr>
                <w:rFonts w:ascii="Arial" w:cs="Arial" w:eastAsia="Arial" w:hAnsi="Arial"/>
                <w:b/>
                <w:bCs/>
                <w:color w:val="1A6B4A"/>
                <w:sz w:val="17"/>
                <w:szCs w:val="17"/>
                <w:rtl/>
              </w:rPr>
              <w:t xml:space="preserve">نقاط القوة</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المراحل التسع مُرتَّبة منطقياً — تدقيق CRM قبل إعادة تنشيط العملاء، رسم خريطة المجتمع قبل السعي للشراكات، توليد العملاء المحتملين قبل إطلاق “الدائرة”، وتنظيم الفعالية قبل المتابعة. منطق التسلسل سليم بذاته.</w:t>
            </w:r>
          </w:p>
        </w:tc>
      </w:tr>
      <w:tr>
        <w:tc>
          <w:tcPr>
            <w:tcW w:type="dxa" w:w="18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right"/>
            </w:pPr>
            <w:r>
              <w:rPr>
                <w:rFonts w:ascii="Arial" w:cs="Arial" w:eastAsia="Arial" w:hAnsi="Arial"/>
                <w:b/>
                <w:bCs/>
                <w:color w:val="C0392B"/>
                <w:sz w:val="17"/>
                <w:szCs w:val="17"/>
                <w:rtl/>
              </w:rPr>
              <w:t xml:space="preserve">نقاط الضعف</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“Riyadh 2026” هو التاريخ الوحيد في الملف بأكمله — لا شهر، لا مدة لكل مرحلة، لا محطات. لا مرحلة لها مسؤول مُسمَّى (فريق Radix الداخلي؟ وكالة خارجية؟ مزيج من الاثنين؟). وتوزيع الميزانية بـ4 فئات (توليد عملاء/فعالية/متابعة/شراكات وعلاقات عامة) لا يتطابق مع 9 المراحل — “المرحلة 0: تدقيق CRM وتنظيف” و“المرحلة 8: تقرير وتكرار” لا تقابلان أي فئة ميزانية على الإطلاق.</w:t>
            </w:r>
          </w:p>
        </w:tc>
      </w:tr>
      <w:tr>
        <w:tc>
          <w:tcPr>
            <w:tcW w:type="dxa" w:w="18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right"/>
            </w:pPr>
            <w:r>
              <w:rPr>
                <w:rFonts w:ascii="Arial" w:cs="Arial" w:eastAsia="Arial" w:hAnsi="Arial"/>
                <w:b/>
                <w:bCs/>
                <w:color w:val="C0651B"/>
                <w:sz w:val="17"/>
                <w:szCs w:val="17"/>
                <w:rtl/>
              </w:rPr>
              <w:t xml:space="preserve">المخاطر</w:t>
            </w:r>
          </w:p>
        </w:tc>
        <w:tc>
          <w:tcPr>
            <w:tcW w:type="dxa" w:w="7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خطة من 9 مراحل دون جدول زمني، دون مسؤولين، ومُموَّلة جزئياً فقط لا يمكن تتبّعها، أو توظيف فريق لها، أو مساءلتها. إذا كشفت المراحل 0–2 أن المجتمع القابل للوصول إليه أصغر بكثير من المُفترَض (مثلاً 200 جهة اتصال قابلة للوصول بدلاً من ما يقارب 1,000 عميل محتمل)، فلا توجد نقطة تحقق مُحدَّدة يمكن عندها إعادة النظر في الخطة — “البوابة” الوحيدة المُوثَّقة هي “Riyadh 2026”، أي الفعالية نفسها.</w:t>
            </w:r>
          </w:p>
        </w:tc>
      </w:tr>
      <w:tr>
        <w:tc>
          <w:tcPr>
            <w:tcW w:type="dxa" w:w="1800"/>
            <w:tcBorders>
              <w:top w:val="single" w:color="D8DBE0" w:sz="1"/>
              <w:left w:val="single" w:color="D8DBE0" w:sz="1"/>
              <w:bottom w:val="single" w:color="D8DBE0" w:sz="1"/>
              <w:right w:val="single" w:color="D8DBE0" w:sz="1"/>
            </w:tcBorders>
            <w:shd w:fill="E3ECF7" w:val="clear"/>
            <w:tcMar>
              <w:top w:type="dxa" w:w="55"/>
              <w:left w:type="dxa" w:w="80"/>
              <w:bottom w:type="dxa" w:w="55"/>
              <w:right w:type="dxa" w:w="80"/>
            </w:tcMar>
            <w:vAlign w:val="center"/>
          </w:tcPr>
          <w:p>
            <w:pPr>
              <w:bidi/>
              <w:jc w:val="right"/>
            </w:pPr>
            <w:r>
              <w:rPr>
                <w:rFonts w:ascii="Arial" w:cs="Arial" w:eastAsia="Arial" w:hAnsi="Arial"/>
                <w:b/>
                <w:bCs/>
                <w:color w:val="1B4F8A"/>
                <w:sz w:val="17"/>
                <w:szCs w:val="17"/>
                <w:rtl/>
              </w:rPr>
              <w:t xml:space="preserve">التوصيات</w:t>
            </w:r>
          </w:p>
        </w:tc>
        <w:tc>
          <w:tcPr>
            <w:tcW w:type="dxa" w:w="7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بناء جدول زمني لكل مرحلة (حتى شبكة بسيطة شهر بشهر لعام 2026) مع مسؤول مُسمَّى وتكلفة تقديرية لكل مرحلة تتطابق مع توزيع الميزانية الرباعي وتُصالَح معه. إضافة نقاط تحقق صريحة (Go/No-Go) بعد المرحلة 2 (رسم خريطة المجتمع) والمرحلة 4 (توليد العملاء المحتملين) — تفصيلها في المرحلة 9.</w:t>
            </w:r>
          </w:p>
        </w:tc>
      </w:tr>
    </w:tbl>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4 — مراجعة خبير عقاري خليجي: اختيار الجمهور</w:t>
      </w:r>
    </w:p>
    <w:p>
      <w:pPr>
        <w:bidi/>
        <w:spacing w:after="60" w:before="60"/>
        <w:jc w:val="right"/>
      </w:pPr>
      <w:r>
        <w:rPr>
          <w:rFonts w:ascii="Arial" w:cs="Arial" w:eastAsia="Arial" w:hAnsi="Arial"/>
          <w:color w:val="0A0A0A"/>
          <w:sz w:val="21"/>
          <w:szCs w:val="21"/>
          <w:rtl/>
        </w:rPr>
        <w:t xml:space="preserve">تُعرِّف الخطة سوقها المستهدف بأنه: “المهنيون المصريون في الرياض — رجال الأعمال، المديرون التنفيذيون، الأطباء، المهندسون — وبعض المستثمرين العرب المختارين”. هذا القسم يختبر هذا التعريف مقابل بيانات موثَّقة للجالية المصرية في الرياض (مستوى الثقة: متوسطة — مُستنَدة إلى البحث المرجعي المستقل في مجموعة 01–05، التي تغطي نفس الإطار الديموغرافي، لكنها لا تعكس تاريخ عملاء Radix الفعلي).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560"/>
        <w:gridCol w:w="1200"/>
      </w:tblGrid>
      <w:tr>
        <w:trPr>
          <w:tblHeader/>
        </w:trPr>
        <w:tc>
          <w:tcPr>
            <w:tcW w:type="dxa" w:w="2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الشريحة</w:t>
            </w:r>
          </w:p>
        </w:tc>
        <w:tc>
          <w:tcPr>
            <w:tcW w:type="dxa" w:w="1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موجودة في خطة Radix؟</w:t>
            </w:r>
          </w:p>
        </w:tc>
        <w:tc>
          <w:tcPr>
            <w:tcW w:type="dxa" w:w="45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التقييم</w:t>
            </w:r>
          </w:p>
        </w:tc>
        <w:tc>
          <w:tcPr>
            <w:tcW w:type="dxa" w:w="1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مستوى الثقة</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الأطباء المصريون (الرياض)</w:t>
            </w:r>
          </w:p>
        </w:tc>
        <w:tc>
          <w:tcPr>
            <w:tcW w:type="dxa" w:w="1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نعم</w:t>
            </w:r>
          </w:p>
        </w:tc>
        <w:tc>
          <w:tcPr>
            <w:tcW w:type="dxa" w:w="4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مُضمَّنة بشكل صحيح — واحدة من أكبر شريحتين مهنيتين مصريتين في السعودية وفقاً للأنماط الموثَّقة. لكن الأطباء العاملين بأجر في المستشفيات غالباً يفتقرون للسيولة الكافية لشراء وحدة على المخطط، إلا إذا كان لديهم عيادة خاصة أيضاً — تمييز لا تقوم به الخطة.</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المهندسون المصريون (الرياض)</w:t>
            </w:r>
          </w:p>
        </w:tc>
        <w:tc>
          <w:tcPr>
            <w:tcW w:type="dxa" w:w="1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نعم</w:t>
            </w:r>
          </w:p>
        </w:tc>
        <w:tc>
          <w:tcPr>
            <w:tcW w:type="dxa" w:w="4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مُضمَّنون بشكل صحيح، نفس التحفظ السابق — كبيرون في العدد، لكن القدرة المالية تتفاوت بشدة بين مهندس موقع مبتدئ ومدير مشروع كبير.</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“رجال أعمال / مديرون تنفيذيون” (كفئة واحدة)</w:t>
            </w:r>
          </w:p>
        </w:tc>
        <w:tc>
          <w:tcPr>
            <w:tcW w:type="dxa" w:w="1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نعم — لكن دون تمييز</w:t>
            </w:r>
          </w:p>
        </w:tc>
        <w:tc>
          <w:tcPr>
            <w:tcW w:type="dxa" w:w="4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هاتان فئتان مختلفتان جداً بقنوات وصول مختلفة. “المديرون التنفيذيون” (الإدارة العليا) فئة صغيرة جداً يصل إليها بشكل فردي بالدرجة الأولى، لا عبر فعالية مجتمعية. “رجال الأعمال” (خاصة التجارة الصغيرة والمتوسطة) فئة أكبر بكثير وأكثر استقبالاً للفعاليات. دمجهما يُضخِّم السوق المُتاح المُتصوَّر.</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رجال أعمال مصريون في التجارة/المنشآت الصغيرة والمتوسطة (محدّدون)</w:t>
            </w:r>
          </w:p>
        </w:tc>
        <w:tc>
          <w:tcPr>
            <w:tcW w:type="dxa" w:w="1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 غير مُسمَّاة بشكل منفصل</w:t>
            </w:r>
          </w:p>
        </w:tc>
        <w:tc>
          <w:tcPr>
            <w:tcW w:type="dxa" w:w="4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من المُحتمَل أنها مُقدَّرة بأقل من قيمتها. التجار/تجار الجملة المصريون في الرياض غالباً يملكون سيولة نقدية، يتحمّلون المخاطر، ولديهم أكثر من عقار بالفعل — ربما الشريحة الأنسب للاستثمار على المخطط، لكن الخطة لا تفصلها عن تسمية “رجال الأعمال” العامة.</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المستثمرون السعوديون/العرب (زاوية التنويع)</w:t>
            </w:r>
          </w:p>
        </w:tc>
        <w:tc>
          <w:tcPr>
            <w:tcW w:type="dxa" w:w="1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نعم — كـ“مستثمرين عرب مختارين”</w:t>
            </w:r>
          </w:p>
        </w:tc>
        <w:tc>
          <w:tcPr>
            <w:tcW w:type="dxa" w:w="4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مذكورون دون عرض قيمة. المستثمر السعودي لا يحتاج نفس العرض الذي يحتاجه المصري المقيم خارج بلاده — حجة شراء عقار مصري من الرياض يجب أن تُبنى على أساس العائد/العملة/التنويع، وهذا غير موجود في أي مكان.</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المصريون العائدون/الراغبون بالعودة (خلال 2–5 سنوات)</w:t>
            </w:r>
          </w:p>
        </w:tc>
        <w:tc>
          <w:tcPr>
            <w:tcW w:type="dxa" w:w="1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w:t>
            </w:r>
          </w:p>
        </w:tc>
        <w:tc>
          <w:tcPr>
            <w:tcW w:type="dxa" w:w="4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غائبة. ربما أعلى شريحة من حيث النية الشرائية لمسكن أساسي في مشروع مصري جديد — غير مُتناوَلة على الإطلاق.</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أقرباء العملاء الحاليين في الخليج</w:t>
            </w:r>
          </w:p>
        </w:tc>
        <w:tc>
          <w:tcPr>
            <w:tcW w:type="dxa" w:w="1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(مُستبعَدة ضمنياً)</w:t>
            </w:r>
          </w:p>
        </w:tc>
        <w:tc>
          <w:tcPr>
            <w:tcW w:type="dxa" w:w="4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“المرحلة 1: إعادة تنشيط العملاء” تستهدف عملاء Radix الحاليين مباشرة، لكنها لا تأخذ في الاعتبار أن عميلاً في القاهرة قد يكون له أخ أو ابن بالغ يعمل في الرياض — غالباً عملية بيع أسهل عبر إحالة عائلية ودودة من عميل محتمل بارد من المجتمع.</w:t>
            </w:r>
          </w:p>
        </w:tc>
      </w:tr>
    </w:tbl>
    <w:p>
      <w:pPr>
        <w:pStyle w:val="Heading2"/>
        <w:bidi/>
        <w:spacing w:after="100" w:before="280"/>
        <w:jc w:val="right"/>
      </w:pPr>
      <w:r>
        <w:rPr>
          <w:rFonts w:ascii="Arial" w:cs="Arial" w:eastAsia="Arial" w:hAnsi="Arial"/>
          <w:b/>
          <w:bCs/>
          <w:color w:val="1A2B4A"/>
          <w:sz w:val="26"/>
          <w:szCs w:val="26"/>
          <w:rtl/>
        </w:rPr>
        <w:t xml:space="preserve">4.1 إجابات مباشرة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السؤال</w:t>
            </w:r>
          </w:p>
        </w:tc>
        <w:tc>
          <w:tcPr>
            <w:tcW w:type="dxa" w:w="61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الإجابة</w:t>
            </w:r>
          </w:p>
        </w:tc>
      </w:tr>
      <w:tr>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هل الجمهور مُختار بشكل صحيح؟</w:t>
            </w:r>
          </w:p>
        </w:tc>
        <w:tc>
          <w:tcPr>
            <w:tcW w:type="dxa" w:w="6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جزئياً. الفئات الرئيسية (أطباء، مهندسون، رجال أعمال، مديرون تنفيذيون) صحيحة من حيث التوجه لجالية مصرية في الرياض، لكن الخطة تتوقف عند التسميات — لا تُقسِّم بحسب الدخل/القدرة المالية، وهو المتغيّر الذي يحدد فعلياً التوافق مع أي من المشاريع الثلاثة.</w:t>
            </w:r>
          </w:p>
        </w:tc>
      </w:tr>
      <w:tr>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ما الجمهور المفقود؟</w:t>
            </w:r>
          </w:p>
        </w:tc>
        <w:tc>
          <w:tcPr>
            <w:tcW w:type="dxa" w:w="6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 رجال أعمال التجارة الصغيرة والمتوسطة المصريون كشريحة محدّدة ومُسمَّاة؛ (2) المصريون العائدون/الراغبون بالعودة؛ (3) أقرباء العملاء الحاليين في الخليج؛ (4) عرض قيمة محدّد للمستثمرين العرب غير المصريين.</w:t>
            </w:r>
          </w:p>
        </w:tc>
      </w:tr>
      <w:tr>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أي جمهور مُقدَّر بأكثر من قيمته؟</w:t>
            </w:r>
          </w:p>
        </w:tc>
        <w:tc>
          <w:tcPr>
            <w:tcW w:type="dxa" w:w="6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“المديرون التنفيذيون” كجزء من جمهور الفعالية المجتمعية العامة — هذه الفئة صغيرة وتتطلب وصولاً فردياً، لا قاعة بـ120–150 شخصاً.</w:t>
            </w:r>
          </w:p>
        </w:tc>
      </w:tr>
      <w:tr>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أي جمهور مُقدَّر بأقل من قيمته؟</w:t>
            </w:r>
          </w:p>
        </w:tc>
        <w:tc>
          <w:tcPr>
            <w:tcW w:type="dxa" w:w="6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رجال أعمال التجارة الصغيرة والمتوسطة المصريون — ربما أعلى شريحة من حيث معدل التحويل المُتاحة، والأقل تطويراً في الخطة.</w:t>
            </w:r>
          </w:p>
        </w:tc>
      </w:tr>
    </w:tbl>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5 — مراجعة استراتيجية الفعالية: اختبار الأرقام</w:t>
      </w:r>
    </w:p>
    <w:p>
      <w:pPr>
        <w:pStyle w:val="Heading2"/>
        <w:bidi/>
        <w:spacing w:after="100" w:before="280"/>
        <w:jc w:val="right"/>
      </w:pPr>
      <w:r>
        <w:rPr>
          <w:rFonts w:ascii="Arial" w:cs="Arial" w:eastAsia="Arial" w:hAnsi="Arial"/>
          <w:b/>
          <w:bCs/>
          <w:color w:val="1A2B4A"/>
          <w:sz w:val="26"/>
          <w:szCs w:val="26"/>
          <w:rtl/>
        </w:rPr>
        <w:t xml:space="preserve">5.1 تحدّي كل افتراض على حدة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الافتراض</w:t>
            </w:r>
          </w:p>
        </w:tc>
        <w:tc>
          <w:tcPr>
            <w:tcW w:type="dxa" w:w="13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الحالة</w:t>
            </w:r>
          </w:p>
        </w:tc>
        <w:tc>
          <w:tcPr>
            <w:tcW w:type="dxa" w:w="50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السبب</w:t>
            </w:r>
          </w:p>
        </w:tc>
      </w:tr>
      <w:tr>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إمكانية الوصول إلى 1,000 عميل محتمل</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50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معقول كرقم، لكنه غير مدعوم كخطة — لا مزيج قنوات، لا مصدر، وحجم قاعدة بيانات/عملاء Radix الحالية (المصدر الأكبر الأكثر احتمالاً) غير مذكور أبداً.</w:t>
            </w:r>
          </w:p>
        </w:tc>
      </w:tr>
      <w:tr>
        <w:tc>
          <w:tcPr>
            <w:tcW w:type="dxa" w:w="3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1,000 ← 300 مؤهَّل (30%)</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50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مذكورة داخلياً لكن غير مدعومة — ورقة Lead_Scoring تحتوي أعمدة تقييم دون معادلة ترجيح أو حدود، فـ“مؤهَّل” لا تعريف تشغيلي له.</w:t>
            </w:r>
          </w:p>
        </w:tc>
      </w:tr>
      <w:tr>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300 مؤهَّل ← 120–150 حاضر (40–50%)</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50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طموح. معدلات الحضور المعتادة للفعاليات الاستثمارية/راقية الدخل تكون عادة أقل بكثير دون متابعة دعوة مكثّفة وفردية — عملية تُبنى لها المجموعة المرجعية 01–05 بروتوكولاً كاملاً لمدة 30 يوماً (المستند 5، §1)، وهي غائبة تماماً عن خطة Radix.</w:t>
            </w:r>
          </w:p>
        </w:tc>
      </w:tr>
      <w:tr>
        <w:tc>
          <w:tcPr>
            <w:tcW w:type="dxa" w:w="3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150 حاضر ← 10–35 عقد موقَّع (6.7–23.3%)</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50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الافتراض الأكثر طموحاً في الملف بأكمله. فعاليات الاستثمار العقاري تُحوِّل عادة 1–5% من جمهور دافئ/مجتمعي إلى عقد موقَّع خلال 90 يوماً. المعيار المرجعي في 01–05 يُعامل نسبة 15–25% طلب زيارة خاصة (لا توقيع عقد) كأول إشارة إيجابية حقيقية، مع خطوة الزيارة إلى العقد تأخذ شهرين إلى 6 أشهر إضافية.</w:t>
            </w:r>
          </w:p>
        </w:tc>
      </w:tr>
      <w:tr>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“السفارة = مصداقية، لا قناة”</w:t>
            </w:r>
          </w:p>
        </w:tc>
        <w:tc>
          <w:tcPr>
            <w:tcW w:type="dxa" w:w="13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center"/>
            </w:pPr>
            <w:r>
              <w:rPr>
                <w:rFonts w:ascii="Arial" w:cs="Arial" w:eastAsia="Arial" w:hAnsi="Arial"/>
                <w:b/>
                <w:bCs/>
                <w:color w:val="1A6B4A"/>
                <w:sz w:val="17"/>
                <w:szCs w:val="17"/>
                <w:rtl/>
              </w:rPr>
              <w:t xml:space="preserve">منخفض</w:t>
            </w:r>
          </w:p>
        </w:tc>
        <w:tc>
          <w:tcPr>
            <w:tcW w:type="dxa" w:w="50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أفضل افتراض مدعوم في الملف — متوافق مع استنتاجات مُستخلَصة بشكل مستقل في المجموعة المرجعية 01–05.</w:t>
            </w:r>
          </w:p>
        </w:tc>
      </w:tr>
      <w:tr>
        <w:tc>
          <w:tcPr>
            <w:tcW w:type="dxa" w:w="3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إمكانية إنهاء رسم خريطة المجتمع واكتساب الشراكات في وقت كافٍ لفعالية 2026</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50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يوجد إطار زمني لهاتين المرحلتين على الإطلاق، فلا يمكن تأكيد ذلك — يُصنَّف كافتراض غائب لا مذكور.</w:t>
            </w:r>
          </w:p>
        </w:tc>
      </w:tr>
      <w:tr>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تكاليف الفعالية بالريال السعودي مقابل ميزانية بالجنيه المصري</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50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خطر الصرف غير مُتناوَل أبداً — فعالية تُقام فعلياً في الرياض ستتحمّل تكاليف بالريال (مكان، طعام وشراب، إلخ)؛ لا يوجد افتراض سعر صرف مذكور في أي مكان.</w:t>
            </w:r>
          </w:p>
        </w:tc>
      </w:tr>
      <w:tr>
        <w:tc>
          <w:tcPr>
            <w:tcW w:type="dxa" w:w="3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“نموذج المجتمع = تكلفة استحواذ أقل من المعارض” (المبرر الأساسي لكامل التغيير)</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50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هذا هو الادّعاء الأهم في التغيير 1 بالمرحلة 2، ومع ذلك لا تُقدَّم أي تكلفة استحواذ أساسية من تاريخ معارض Radix الفعلي للمقارنة — الادّعاء مُفترَض، لا مُقاس مقابل بيانات Radix نفسها.</w:t>
            </w:r>
          </w:p>
        </w:tc>
      </w:tr>
    </w:tbl>
    <w:p>
      <w:pPr>
        <w:pStyle w:val="Heading2"/>
        <w:bidi/>
        <w:spacing w:after="100" w:before="280"/>
        <w:jc w:val="right"/>
      </w:pPr>
      <w:r>
        <w:rPr>
          <w:rFonts w:ascii="Arial" w:cs="Arial" w:eastAsia="Arial" w:hAnsi="Arial"/>
          <w:b/>
          <w:bCs/>
          <w:color w:val="1A2B4A"/>
          <w:sz w:val="26"/>
          <w:szCs w:val="26"/>
          <w:rtl/>
        </w:rPr>
        <w:t xml:space="preserve">5.2 تقديرات محافظة / متوقعة / طموحة</w:t>
      </w:r>
    </w:p>
    <w:p>
      <w:pPr>
        <w:bidi/>
        <w:spacing w:after="60" w:before="60"/>
        <w:jc w:val="right"/>
      </w:pPr>
      <w:r>
        <w:rPr>
          <w:rFonts w:ascii="Arial" w:cs="Arial" w:eastAsia="Arial" w:hAnsi="Arial"/>
          <w:color w:val="0A0A0A"/>
          <w:sz w:val="21"/>
          <w:szCs w:val="21"/>
          <w:rtl/>
        </w:rPr>
        <w:t xml:space="preserve">الأرقام أدناه هي تقديرات هذا المُدقِّق المُستنَدة إلى معايير مرجعية (مستوى الثقة: منخفض إلى متوسط — انظر الملاحظة بعد الجدول)، وتُعرَض لتوضيح موقع أهداف Radix الخاصة على مقياس الواقعية. هي ليست بديلاً لبيانات تحويل Radix التاريخية الفعلية، التي لم تُقدَّم وهي أهم مُدخل مفرد لتدقيق هذا الجدول.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3160"/>
      </w:tblGrid>
      <w:tr>
        <w:trPr>
          <w:tblHeader/>
        </w:trPr>
        <w:tc>
          <w:tcPr>
            <w:tcW w:type="dxa" w:w="17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المرحلة</w:t>
            </w:r>
          </w:p>
        </w:tc>
        <w:tc>
          <w:tcPr>
            <w:tcW w:type="dxa" w:w="15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محافظ</w:t>
            </w:r>
          </w:p>
        </w:tc>
        <w:tc>
          <w:tcPr>
            <w:tcW w:type="dxa" w:w="15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متوقَّع</w:t>
            </w:r>
          </w:p>
        </w:tc>
        <w:tc>
          <w:tcPr>
            <w:tcW w:type="dxa" w:w="15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طموح</w:t>
            </w:r>
          </w:p>
        </w:tc>
        <w:tc>
          <w:tcPr>
            <w:tcW w:type="dxa" w:w="31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موقع هدف Radix</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عملاء محتملون تم الوصول إليهم</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400</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700</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1,100</w:t>
            </w:r>
          </w:p>
        </w:tc>
        <w:tc>
          <w:tcPr>
            <w:tcW w:type="dxa" w:w="3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Radix تذكر 1,000 — ضمن نطاقي المتوقَّع–الطموح، لكن فقط إذا حُدِّد مزيج القنوات (غائب حالياً).</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عملاء مؤهَّلون</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60 (15%)</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150 (21%)</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250 (23%)</w:t>
            </w:r>
          </w:p>
        </w:tc>
        <w:tc>
          <w:tcPr>
            <w:tcW w:type="dxa" w:w="3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Radix تذكر 300 (30% من 1,000) — أعلى من سقف نطاقي الطموح. لا توجد معايير تقييم تدعم نسبة تأهيل 30%.</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حاضرو الفعالية</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40–60</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80–100</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110–140</w:t>
            </w:r>
          </w:p>
        </w:tc>
        <w:tc>
          <w:tcPr>
            <w:tcW w:type="dxa" w:w="3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Radix تذكر 120–150 — عند سقف نطاقي الطموح. قابل للتحقيق فقط مع عملية دعوة مكثّفة وفردية موثَّقة في المجموعة المرجعية 01–05، وهي غائبة هنا.</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طلبات زيارة خاصة (30–90 يوماً بعد الفعالية)</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5–10</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12–20</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20–30</w:t>
            </w:r>
          </w:p>
        </w:tc>
        <w:tc>
          <w:tcPr>
            <w:tcW w:type="dxa" w:w="3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Radix لا تذكر هدفاً لهذه المرحلة على الإطلاق — فجوة، نظراً لأن هذا هو المؤشر القائد الذي يجب أن يُوجِّه مرحلة “المتابعة”.</w:t>
            </w:r>
          </w:p>
        </w:tc>
      </w:tr>
      <w:tr>
        <w:tc>
          <w:tcPr>
            <w:tcW w:type="dxa" w:w="1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عقود موقَّعة (خلال 90 يوماً)</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1–3</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4–8</w:t>
            </w:r>
          </w:p>
        </w:tc>
        <w:tc>
          <w:tcPr>
            <w:tcW w:type="dxa" w:w="1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8–15</w:t>
            </w:r>
          </w:p>
        </w:tc>
        <w:tc>
          <w:tcPr>
            <w:tcW w:type="dxa" w:w="3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السيناريو الأساسي لـ Radix (10–20) يقع أعلى من نطاقي الطموح؛ سيناريو الطموح لـ Radix (35) يقارب 2–3 مرات نطاقي الطموح.</w:t>
            </w:r>
          </w:p>
        </w:tc>
      </w:tr>
      <w:tr>
        <w:tc>
          <w:tcPr>
            <w:tcW w:type="dxa" w:w="1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العائد</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معروف</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معروف</w:t>
            </w:r>
          </w:p>
        </w:tc>
        <w:tc>
          <w:tcPr>
            <w:tcW w:type="dxa" w:w="1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معروف</w:t>
            </w:r>
          </w:p>
        </w:tc>
        <w:tc>
          <w:tcPr>
            <w:tcW w:type="dxa" w:w="3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يمكن تقديره لا من أحد — بما فيها Radix — دون بيانات سعر الوحدة والهامش.</w:t>
            </w:r>
          </w:p>
        </w:tc>
      </w:tr>
    </w:tbl>
    <w:p>
      <w:pPr>
        <w:pBdr>
          <w:right w:val="single" w:color="1B4F8A" w:sz="16"/>
        </w:pBdr>
        <w:shd w:fill="E3ECF7" w:val="clear"/>
        <w:bidi/>
        <w:spacing w:after="100" w:before="100"/>
        <w:ind w:right="300"/>
        <w:jc w:val="right"/>
      </w:pPr>
      <w:r>
        <w:rPr>
          <w:rFonts w:ascii="Arial" w:cs="Arial" w:eastAsia="Arial" w:hAnsi="Arial"/>
          <w:color w:val="1B4F8A"/>
          <w:sz w:val="20"/>
          <w:szCs w:val="20"/>
          <w:rtl/>
        </w:rPr>
        <w:t xml:space="preserve">ملاحظة على مستوى الثقة: أعمدة محافظ/متوقَّع/طموح هي معايير عامة لفعاليات عقارية خليجية (مُراجَعة مقابل المجموعة المرجعية المستقلة 01–05 لجمهور جالية مماثل). تُعرَض بمستوى ثقة منخفض إلى متوسط لأن بيانات Radix التاريخية الفعلية للفعاليات/CRM — المُدخل الذي سيُضبَط هذا الجدول عليه فعلياً — ليست جزءاً من هذا الملف. الاستنتاج الاتجاهي (أهداف تحويل العقود عند Radix تقع أعلى من حتى المعيار الخارجي الطموح) مُحتفَظ به بمستوى ثقة متوسط إلى عالٍ؛ الأرقام الدقيقة في هذا الجدول لا ينبغي معاملتها كتنبؤ.</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6 — المراجعة المالية</w:t>
      </w:r>
    </w:p>
    <w:p>
      <w:pPr>
        <w:pStyle w:val="Heading2"/>
        <w:bidi/>
        <w:spacing w:after="100" w:before="280"/>
        <w:jc w:val="right"/>
      </w:pPr>
      <w:r>
        <w:rPr>
          <w:rFonts w:ascii="Arial" w:cs="Arial" w:eastAsia="Arial" w:hAnsi="Arial"/>
          <w:b/>
          <w:bCs/>
          <w:color w:val="1A2B4A"/>
          <w:sz w:val="26"/>
          <w:szCs w:val="26"/>
          <w:rtl/>
        </w:rPr>
        <w:t xml:space="preserve">6.1 بنية الميزانية كما هي موثَّقة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800"/>
        <w:gridCol w:w="3000"/>
        <w:gridCol w:w="1960"/>
      </w:tblGrid>
      <w:tr>
        <w:trPr>
          <w:tblHeader/>
        </w:trPr>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الفئة</w:t>
            </w:r>
          </w:p>
        </w:tc>
        <w:tc>
          <w:tcPr>
            <w:tcW w:type="dxa" w:w="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النسبة</w:t>
            </w:r>
          </w:p>
        </w:tc>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النطاق بالجنيه (من 1–2 مليون)</w:t>
            </w:r>
          </w:p>
        </w:tc>
        <w:tc>
          <w:tcPr>
            <w:tcW w:type="dxa" w:w="30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الغرض من التمويل</w:t>
            </w:r>
          </w:p>
        </w:tc>
        <w:tc>
          <w:tcPr>
            <w:tcW w:type="dxa" w:w="19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هل تتوفر تفاصيل البند؟</w:t>
            </w:r>
          </w:p>
        </w:tc>
      </w:tr>
      <w:tr>
        <w:tc>
          <w:tcPr>
            <w:tcW w:type="dxa" w:w="1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توليد العملاء المحتملين</w:t>
            </w:r>
          </w:p>
        </w:tc>
        <w:tc>
          <w:tcPr>
            <w:tcW w:type="dxa" w:w="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40%</w:t>
            </w:r>
          </w:p>
        </w:tc>
        <w:tc>
          <w:tcPr>
            <w:tcW w:type="dxa" w:w="1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400,000–800,000</w:t>
            </w:r>
          </w:p>
        </w:tc>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توليد ~1,000 عميل محتمل (المرحلة 4)</w:t>
            </w:r>
          </w:p>
        </w:tc>
        <w:tc>
          <w:tcPr>
            <w:tcW w:type="dxa" w:w="196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r>
      <w:tr>
        <w:tc>
          <w:tcPr>
            <w:tcW w:type="dxa" w:w="1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الفعالية</w:t>
            </w:r>
          </w:p>
        </w:tc>
        <w:tc>
          <w:tcPr>
            <w:tcW w:type="dxa" w:w="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25%</w:t>
            </w:r>
          </w:p>
        </w:tc>
        <w:tc>
          <w:tcPr>
            <w:tcW w:type="dxa" w:w="1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250,000–500,000</w:t>
            </w:r>
          </w:p>
        </w:tc>
        <w:tc>
          <w:tcPr>
            <w:tcW w:type="dxa" w:w="3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فعالية الرياض الرئيسية (المرحلة 6)</w:t>
            </w:r>
          </w:p>
        </w:tc>
        <w:tc>
          <w:tcPr>
            <w:tcW w:type="dxa" w:w="196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r>
      <w:tr>
        <w:tc>
          <w:tcPr>
            <w:tcW w:type="dxa" w:w="1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المتابعة</w:t>
            </w:r>
          </w:p>
        </w:tc>
        <w:tc>
          <w:tcPr>
            <w:tcW w:type="dxa" w:w="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20%</w:t>
            </w:r>
          </w:p>
        </w:tc>
        <w:tc>
          <w:tcPr>
            <w:tcW w:type="dxa" w:w="1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200,000–400,000</w:t>
            </w:r>
          </w:p>
        </w:tc>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متابعة المبيعات بعد الفعالية (المرحلة 7)</w:t>
            </w:r>
          </w:p>
        </w:tc>
        <w:tc>
          <w:tcPr>
            <w:tcW w:type="dxa" w:w="196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r>
      <w:tr>
        <w:tc>
          <w:tcPr>
            <w:tcW w:type="dxa" w:w="1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الشراكات والعلاقات العامة</w:t>
            </w:r>
          </w:p>
        </w:tc>
        <w:tc>
          <w:tcPr>
            <w:tcW w:type="dxa" w:w="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15%</w:t>
            </w:r>
          </w:p>
        </w:tc>
        <w:tc>
          <w:tcPr>
            <w:tcW w:type="dxa" w:w="1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150,000–300,000</w:t>
            </w:r>
          </w:p>
        </w:tc>
        <w:tc>
          <w:tcPr>
            <w:tcW w:type="dxa" w:w="3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اكتساب الشراكات (المرحلة 2/3) + علاقات عامة</w:t>
            </w:r>
          </w:p>
        </w:tc>
        <w:tc>
          <w:tcPr>
            <w:tcW w:type="dxa" w:w="196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r>
    </w:tbl>
    <w:p>
      <w:pPr>
        <w:pBdr>
          <w:right w:val="single" w:color="C0392B" w:sz="16"/>
        </w:pBdr>
        <w:shd w:fill="FBE5E3" w:val="clear"/>
        <w:bidi/>
        <w:spacing w:after="100" w:before="100"/>
        <w:ind w:right="300"/>
        <w:jc w:val="right"/>
      </w:pPr>
      <w:r>
        <w:rPr>
          <w:rFonts w:ascii="Arial" w:cs="Arial" w:eastAsia="Arial" w:hAnsi="Arial"/>
          <w:color w:val="C0392B"/>
          <w:sz w:val="20"/>
          <w:szCs w:val="20"/>
          <w:rtl/>
        </w:rPr>
        <w:t xml:space="preserve">اثنتان من تسع مراحل التنفيذ — المرحلة 0 (تدقيق CRM وتنظيف) والمرحلة 8 (تقرير وتكرار) — لا تظهران في أي من الفئات الأربعة أعلاه. فإما أنهما مُفترَضتان بتكلفة صفر جنيه (افتراض غير مذكور في أي مكان)، أو أن هذا التوزيع الرباعي وُرِّث بلا تغيير من نسخة أقدم وأبسط من الخطة، ولم تُصالَح مع هيكل 9 المراحل الحالي.</w:t>
      </w:r>
    </w:p>
    <w:p>
      <w:pPr>
        <w:pStyle w:val="Heading2"/>
        <w:bidi/>
        <w:spacing w:after="100" w:before="280"/>
        <w:jc w:val="right"/>
      </w:pPr>
      <w:r>
        <w:rPr>
          <w:rFonts w:ascii="Arial" w:cs="Arial" w:eastAsia="Arial" w:hAnsi="Arial"/>
          <w:b/>
          <w:bCs/>
          <w:color w:val="1A2B4A"/>
          <w:sz w:val="26"/>
          <w:szCs w:val="26"/>
          <w:rtl/>
        </w:rPr>
        <w:t xml:space="preserve">6.2 فحوصات منطقية لهيكل التكلفة</w:t>
      </w:r>
    </w:p>
    <w:p>
      <w:pPr>
        <w:pStyle w:val="ListParagraph"/>
        <w:numPr>
          <w:ilvl w:val="0"/>
          <w:numId w:val="2"/>
        </w:numPr>
        <w:bidi/>
        <w:spacing w:after="40" w:before="40"/>
        <w:jc w:val="right"/>
      </w:pPr>
      <w:r>
        <w:rPr>
          <w:rFonts w:ascii="Arial" w:cs="Arial" w:eastAsia="Arial" w:hAnsi="Arial"/>
          <w:color w:val="0A0A0A"/>
          <w:sz w:val="20"/>
          <w:szCs w:val="20"/>
          <w:rtl/>
        </w:rPr>
        <w:t xml:space="preserve">“توليد العملاء المحتملين” (40%، أكبر فئة فردية، 400–800 ألف جنيه): لا يوجد مزيج قنوات أو تكلفة لكل عميل محتمل لاختبار هذا مقابل هدف الـ1,000 عميل — انظر §3.3. وحسب الافتراض المُستخدَم، قد يُمكِّن هذا التخصيص من تمويل ما بين ~2,700 إلى ~16,000 عميل محتمل بمعدلات التكلفة الرقمية المعتادة، أو عدد قليل فقط إذا كان المقصود تواصلاً شخصياً مكثّفاً — النطاق غير محدود لعدم تسمية أي قناة.</w:t>
      </w:r>
    </w:p>
    <w:p>
      <w:pPr>
        <w:pStyle w:val="ListParagraph"/>
        <w:numPr>
          <w:ilvl w:val="0"/>
          <w:numId w:val="2"/>
        </w:numPr>
        <w:bidi/>
        <w:spacing w:after="40" w:before="40"/>
        <w:jc w:val="right"/>
      </w:pPr>
      <w:r>
        <w:rPr>
          <w:rFonts w:ascii="Arial" w:cs="Arial" w:eastAsia="Arial" w:hAnsi="Arial"/>
          <w:color w:val="0A0A0A"/>
          <w:sz w:val="20"/>
          <w:szCs w:val="20"/>
          <w:rtl/>
        </w:rPr>
        <w:t xml:space="preserve">“الفعالية” (25%، 250–500 ألف جنيه): وفقاً لـ§3.2، حدّد معيار مرجعي مستقل لفعالية خليجية مماثلة تكلفة مناسبة واحدة بما يقارب 3.9–8.3 مليون جنيه — أي 8–33 مرة كامل هذا التخصيص. هذه الفجوة بمفردها يجب أن تُحفِّز تمريناً تفصيلياً للتكلفة من القاعدة قبل الموافقة.</w:t>
      </w:r>
    </w:p>
    <w:p>
      <w:pPr>
        <w:pStyle w:val="ListParagraph"/>
        <w:numPr>
          <w:ilvl w:val="0"/>
          <w:numId w:val="2"/>
        </w:numPr>
        <w:bidi/>
        <w:spacing w:after="40" w:before="40"/>
        <w:jc w:val="right"/>
      </w:pPr>
      <w:r>
        <w:rPr>
          <w:rFonts w:ascii="Arial" w:cs="Arial" w:eastAsia="Arial" w:hAnsi="Arial"/>
          <w:color w:val="0A0A0A"/>
          <w:sz w:val="20"/>
          <w:szCs w:val="20"/>
          <w:rtl/>
        </w:rPr>
        <w:t xml:space="preserve">“المتابعة” (20%، 200–400 ألف جنيه): لا يوجد بروتوكول متابعة محدّد في أي مكان لإنفاق هذا عليه — على عكس المجموعة المرجعية 01–05، التي بنت بروتوكول متابعة مفصّل من 72 ساعة، متعدد التواصل (المستند 5، §2) لجمهور مماثل دون تكلفة إضافية تتجاوز وقت الموظفين.</w:t>
      </w:r>
    </w:p>
    <w:p>
      <w:pPr>
        <w:pStyle w:val="ListParagraph"/>
        <w:numPr>
          <w:ilvl w:val="0"/>
          <w:numId w:val="2"/>
        </w:numPr>
        <w:bidi/>
        <w:spacing w:after="40" w:before="40"/>
        <w:jc w:val="right"/>
      </w:pPr>
      <w:r>
        <w:rPr>
          <w:rFonts w:ascii="Arial" w:cs="Arial" w:eastAsia="Arial" w:hAnsi="Arial"/>
          <w:color w:val="0A0A0A"/>
          <w:sz w:val="20"/>
          <w:szCs w:val="20"/>
          <w:rtl/>
        </w:rPr>
        <w:t xml:space="preserve">“الشراكات والعلاقات العامة” (15%، 150–300 ألف جنيه): صفر شركاء مُسمَّون موجودون للتفاوض معهم أو الدفع لهم (§3، المحور 9).</w:t>
      </w:r>
    </w:p>
    <w:p>
      <w:pPr>
        <w:pStyle w:val="Heading2"/>
        <w:bidi/>
        <w:spacing w:after="100" w:before="280"/>
        <w:jc w:val="right"/>
      </w:pPr>
      <w:r>
        <w:rPr>
          <w:rFonts w:ascii="Arial" w:cs="Arial" w:eastAsia="Arial" w:hAnsi="Arial"/>
          <w:b/>
          <w:bCs/>
          <w:color w:val="1A2B4A"/>
          <w:sz w:val="26"/>
          <w:szCs w:val="26"/>
          <w:rtl/>
        </w:rPr>
        <w:t xml:space="preserve">6.3 تكلفة اكتساب العميل (CAC) وكفاءة المبيعات</w:t>
      </w:r>
    </w:p>
    <w:p>
      <w:pPr>
        <w:bidi/>
        <w:spacing w:after="60" w:before="60"/>
        <w:jc w:val="right"/>
      </w:pPr>
      <w:r>
        <w:rPr>
          <w:rFonts w:ascii="Arial" w:cs="Arial" w:eastAsia="Arial" w:hAnsi="Arial"/>
          <w:color w:val="0A0A0A"/>
          <w:sz w:val="21"/>
          <w:szCs w:val="21"/>
          <w:rtl/>
        </w:rPr>
        <w:t xml:space="preserve">لو أن كامل مبلغ 1–2 مليون جنيه أنتج تماماً “السيناريو الأساسي” المذكور لـ10–20 عقداً موقَّعاً، فإن تكلفة الاكتساب الضمنية ستكون 50,000–200,000 جنيه لكل عقد. وهل هذا جذّاب أو مُقلق يعتمد كلياً على رقمين لا يظهران في أي مكان بهذا الملف:</w:t>
      </w:r>
    </w:p>
    <w:p>
      <w:pPr>
        <w:pStyle w:val="ListParagraph"/>
        <w:numPr>
          <w:ilvl w:val="0"/>
          <w:numId w:val="2"/>
        </w:numPr>
        <w:bidi/>
        <w:spacing w:after="40" w:before="40"/>
        <w:jc w:val="right"/>
      </w:pPr>
      <w:r>
        <w:rPr>
          <w:rFonts w:ascii="Arial" w:cs="Arial" w:eastAsia="Arial" w:hAnsi="Arial"/>
          <w:color w:val="0A0A0A"/>
          <w:sz w:val="20"/>
          <w:szCs w:val="20"/>
          <w:rtl/>
        </w:rPr>
        <w:t xml:space="preserve">هامش أو عمولة Radix لكل وحدة مُباعة (مطلوب لمعرفة ما إذا كانت تكلفة 50–200 ألف جنيه صغيرة أو كبيرة مقارنةً بربح وحدة واحدة).</w:t>
      </w:r>
    </w:p>
    <w:p>
      <w:pPr>
        <w:pStyle w:val="ListParagraph"/>
        <w:numPr>
          <w:ilvl w:val="0"/>
          <w:numId w:val="2"/>
        </w:numPr>
        <w:bidi/>
        <w:spacing w:after="40" w:before="40"/>
        <w:jc w:val="right"/>
      </w:pPr>
      <w:r>
        <w:rPr>
          <w:rFonts w:ascii="Arial" w:cs="Arial" w:eastAsia="Arial" w:hAnsi="Arial"/>
          <w:color w:val="0A0A0A"/>
          <w:sz w:val="20"/>
          <w:szCs w:val="20"/>
          <w:rtl/>
        </w:rPr>
        <w:t xml:space="preserve">تكلفة الاكتساب الحالية لـ Radix عبر المعارض — المرجع الصريح الذي يدّعي هذا التحول بأكمله أنه يتفوق عليه (“تكلفة استحواذ أقل” هو السبب رقم 2 لكامل التغيير الاستراتيجي في المرحلة 2، التغيير 1)، ومع ذلك لا يُقدَّم رقم حالي/تاريخي للمقارنة.</w:t>
      </w:r>
    </w:p>
    <w:p>
      <w:pPr>
        <w:bidi/>
        <w:spacing w:after="60" w:before="60"/>
        <w:jc w:val="right"/>
      </w:pPr>
      <w:r>
        <w:rPr>
          <w:rFonts w:ascii="Arial" w:cs="Arial" w:eastAsia="Arial" w:hAnsi="Arial"/>
          <w:b/>
          <w:bCs/>
          <w:color w:val="0A0A0A"/>
          <w:sz w:val="21"/>
          <w:szCs w:val="21"/>
          <w:rtl/>
        </w:rPr>
        <w:t xml:space="preserve">كفاءة المبيعات (إنتاجية العملاء المحتملين إلى عقود لكل وحدة إنفاق) لا يمكن تقييمها للسبب نفسه — لا يوجد رقم “قبل” للمقارنة مع “بعد”.</w:t>
      </w:r>
    </w:p>
    <w:p>
      <w:pPr>
        <w:pStyle w:val="Heading2"/>
        <w:bidi/>
        <w:spacing w:after="100" w:before="280"/>
        <w:jc w:val="right"/>
      </w:pPr>
      <w:r>
        <w:rPr>
          <w:rFonts w:ascii="Arial" w:cs="Arial" w:eastAsia="Arial" w:hAnsi="Arial"/>
          <w:b/>
          <w:bCs/>
          <w:color w:val="1A2B4A"/>
          <w:sz w:val="26"/>
          <w:szCs w:val="26"/>
          <w:rtl/>
        </w:rPr>
        <w:t xml:space="preserve">6.4 العائد على الاستثمار (ROI)</w:t>
      </w:r>
    </w:p>
    <w:p>
      <w:pPr>
        <w:bidi/>
        <w:spacing w:after="60" w:before="60"/>
        <w:jc w:val="right"/>
      </w:pPr>
      <w:r>
        <w:rPr>
          <w:rFonts w:ascii="Arial" w:cs="Arial" w:eastAsia="Arial" w:hAnsi="Arial"/>
          <w:color w:val="0A0A0A"/>
          <w:sz w:val="21"/>
          <w:szCs w:val="21"/>
          <w:rtl/>
        </w:rPr>
        <w:t xml:space="preserve">كما ثبت في §3.1، العائد على الاستثمار ليس مجرد غير مؤكَّد — بل غير قابل للحساب هيكلياً من هذا الملف. ورقة Executive_Dashboard تحتوي على صف بعنوان “ROIA” حرفياً دون قيمة ودون معادلة. وحتى تتوفر بيانات سعر الوحدة والهامش، لا يمكن لأي نسخة من هذه الخطة — أساسية، مستهدفة، أو طموحة — أن تُعبَّر عنها بعائد بالجنيه المصري.</w:t>
      </w:r>
    </w:p>
    <w:p>
      <w:pPr>
        <w:pStyle w:val="Heading2"/>
        <w:bidi/>
        <w:spacing w:after="100" w:before="280"/>
        <w:jc w:val="right"/>
      </w:pPr>
      <w:r>
        <w:rPr>
          <w:rFonts w:ascii="Arial" w:cs="Arial" w:eastAsia="Arial" w:hAnsi="Arial"/>
          <w:b/>
          <w:bCs/>
          <w:color w:val="1A2B4A"/>
          <w:sz w:val="26"/>
          <w:szCs w:val="26"/>
          <w:rtl/>
        </w:rPr>
        <w:t xml:space="preserve">6.5 هل يوافق هذا المُدقِّق على الميزانية؟</w:t>
      </w:r>
    </w:p>
    <w:p>
      <w:pPr>
        <w:pBdr>
          <w:right w:val="single" w:color="C0392B" w:sz="16"/>
        </w:pBdr>
        <w:shd w:fill="FBE5E3" w:val="clear"/>
        <w:bidi/>
        <w:spacing w:after="100" w:before="100"/>
        <w:ind w:right="300"/>
        <w:jc w:val="right"/>
      </w:pPr>
      <w:r>
        <w:rPr>
          <w:rFonts w:ascii="Arial" w:cs="Arial" w:eastAsia="Arial" w:hAnsi="Arial"/>
          <w:color w:val="C0392B"/>
          <w:sz w:val="20"/>
          <w:szCs w:val="20"/>
          <w:rtl/>
        </w:rPr>
        <w:t xml:space="preserve">القرار: لا — ليس كما هي موثَّقة حالياً. هذه ملاحظة تتعلق باكتمال التوثيق (مستوى الثقة: عالية)، وليست حكماً على كون 1–2 مليون جنيه رقماً خاطئاً بالمطلق (مستوى الثقة في المبلغ نفسه: منخفضة، نظراً لغياب اقتصاديات الوحدة).</w:t>
      </w:r>
    </w:p>
    <w:p>
      <w:pPr>
        <w:pStyle w:val="ListParagraph"/>
        <w:numPr>
          <w:ilvl w:val="0"/>
          <w:numId w:val="2"/>
        </w:numPr>
        <w:bidi/>
        <w:spacing w:after="40" w:before="40"/>
        <w:jc w:val="right"/>
      </w:pPr>
      <w:r>
        <w:rPr>
          <w:rFonts w:ascii="Arial" w:cs="Arial" w:eastAsia="Arial" w:hAnsi="Arial"/>
          <w:color w:val="0A0A0A"/>
          <w:sz w:val="20"/>
          <w:szCs w:val="20"/>
          <w:rtl/>
        </w:rPr>
        <w:t xml:space="preserve">رقم الميزانية لم يُعاد حسابه منذ أن توسّع نطاق المشروع من “تنظيم فعالية واحدة” إلى “تسع مراحل، ست منها تسبق الفعالية” (المرحلة 2).</w:t>
      </w:r>
    </w:p>
    <w:p>
      <w:pPr>
        <w:pStyle w:val="ListParagraph"/>
        <w:numPr>
          <w:ilvl w:val="0"/>
          <w:numId w:val="2"/>
        </w:numPr>
        <w:bidi/>
        <w:spacing w:after="40" w:before="40"/>
        <w:jc w:val="right"/>
      </w:pPr>
      <w:r>
        <w:rPr>
          <w:rFonts w:ascii="Arial" w:cs="Arial" w:eastAsia="Arial" w:hAnsi="Arial"/>
          <w:color w:val="0A0A0A"/>
          <w:sz w:val="20"/>
          <w:szCs w:val="20"/>
          <w:rtl/>
        </w:rPr>
        <w:t xml:space="preserve">يوجد عدم تطابق محتمل بحجم كبير بين تخصيص “الفعالية” وتكلفة فعالية مماثلة مُقدَّرة بشكل مستقل (§3.2، §6.2).</w:t>
      </w:r>
    </w:p>
    <w:p>
      <w:pPr>
        <w:pStyle w:val="ListParagraph"/>
        <w:numPr>
          <w:ilvl w:val="0"/>
          <w:numId w:val="2"/>
        </w:numPr>
        <w:bidi/>
        <w:spacing w:after="40" w:before="40"/>
        <w:jc w:val="right"/>
      </w:pPr>
      <w:r>
        <w:rPr>
          <w:rFonts w:ascii="Arial" w:cs="Arial" w:eastAsia="Arial" w:hAnsi="Arial"/>
          <w:color w:val="0A0A0A"/>
          <w:sz w:val="20"/>
          <w:szCs w:val="20"/>
          <w:rtl/>
        </w:rPr>
        <w:t xml:space="preserve">العائد على الاستثمار غير قابل للحساب هيكلياً نتيجة غياب بيانات سعر الوحدة/الهامش (§3.1، §6.4).</w:t>
      </w:r>
    </w:p>
    <w:p>
      <w:pPr>
        <w:pStyle w:val="ListParagraph"/>
        <w:numPr>
          <w:ilvl w:val="0"/>
          <w:numId w:val="2"/>
        </w:numPr>
        <w:bidi/>
        <w:spacing w:after="40" w:before="40"/>
        <w:jc w:val="right"/>
      </w:pPr>
      <w:r>
        <w:rPr>
          <w:rFonts w:ascii="Arial" w:cs="Arial" w:eastAsia="Arial" w:hAnsi="Arial"/>
          <w:color w:val="0A0A0A"/>
          <w:sz w:val="20"/>
          <w:szCs w:val="20"/>
          <w:rtl/>
        </w:rPr>
        <w:t xml:space="preserve">لا توجد بوابات تمويل مرحلية — الملف يُقرَأ كطلب لإطلاق كامل مبلغ 1–2 مليون جنيه لكل المراحل التسع دفعة واحدة، دون نقطة تحقق للتوقف إذا كانت مؤشرات المراحل المبكرة ضعيفة (مثل مجتمع مُتاح أصغر من المُفترَض).</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7 — اختبار موافقة مجلس الإدارة</w:t>
      </w:r>
    </w:p>
    <w:p>
      <w:pPr>
        <w:bidi/>
        <w:spacing w:after="60" w:before="60"/>
        <w:jc w:val="right"/>
      </w:pPr>
      <w:r>
        <w:rPr>
          <w:rFonts w:ascii="Arial" w:cs="Arial" w:eastAsia="Arial" w:hAnsi="Arial"/>
          <w:color w:val="0A0A0A"/>
          <w:sz w:val="21"/>
          <w:szCs w:val="21"/>
          <w:rtl/>
        </w:rPr>
        <w:t xml:space="preserve">الأسئلة، التحفظات، والمخاوف التي سيطرحها كل أصحاب المصلحة بشكل منطقي — مع إجابات هذا المُدقِّق المبنية بدقة على ما هو موجود (أو غير موجود) في الملف.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4260"/>
      </w:tblGrid>
      <w:tr>
        <w:trPr>
          <w:tblHeader/>
        </w:trPr>
        <w:tc>
          <w:tcPr>
            <w:tcW w:type="dxa" w:w="1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الدور</w:t>
            </w:r>
          </w:p>
        </w:tc>
        <w:tc>
          <w:tcPr>
            <w:tcW w:type="dxa" w:w="37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سؤال / تحفّظ</w:t>
            </w:r>
          </w:p>
        </w:tc>
        <w:tc>
          <w:tcPr>
            <w:tcW w:type="dxa" w:w="42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الإجابة / الوضع الحالي</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الرئيس التنفيذي (CEO)</w:t>
            </w:r>
          </w:p>
        </w:tc>
        <w:tc>
          <w:tcPr>
            <w:tcW w:type="dxa" w:w="3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هل اختيار الرياض أولاً قرار استراتيجي حقيقي أم مجرد طريق الأقل مقاومة؟ كيف يتصل هذا بخارطة طريق Radix الخليجية الأوسع؟</w:t>
            </w:r>
          </w:p>
        </w:tc>
        <w:tc>
          <w:tcPr>
            <w:tcW w:type="dxa" w:w="4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مُتناوَل. “أعلى تركيز للجمهور المستهدف” هو التبرير الوحيد المُقدَّم (الأسئلة المتوقعة في المجلد 1، المرحلة 2). حالة أقوى ستزن أيضاً علاقات Radix الحالية، حضور المنافسين، وأين تتركز ملفات المشترين لكل من المشاريع الثلاثة.</w:t>
            </w:r>
          </w:p>
        </w:tc>
      </w:tr>
      <w:tr>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الرئيس التنفيذي (CEO)</w:t>
            </w:r>
          </w:p>
        </w:tc>
        <w:tc>
          <w:tcPr>
            <w:tcW w:type="dxa" w:w="3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إذا أظهرت المراحل المبكرة أن المجتمع المُتاح أصغر من المُفترَض، هل ننفّذ فعالية المرحلة 6 بكامل حجمها المُخطَّط؟</w:t>
            </w:r>
          </w:p>
        </w:tc>
        <w:tc>
          <w:tcPr>
            <w:tcW w:type="dxa" w:w="4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توجد بوابة Go/No-Go في أي مكان — نقطة التحقق الوحيدة في الخطة هي الفعالية نفسها. انظر المرحلة 9 لبوابات مقترحة بعد المرحلة 2 والمرحلة 4.</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رئيس العمليات (COO)</w:t>
            </w:r>
          </w:p>
        </w:tc>
        <w:tc>
          <w:tcPr>
            <w:tcW w:type="dxa" w:w="3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من يُنفِّذ كل من 9 المراحل — فريق داخلي، وكالة خارجية، أم مزيج — وبأي حجم وقت؟</w:t>
            </w:r>
          </w:p>
        </w:tc>
        <w:tc>
          <w:tcPr>
            <w:tcW w:type="dxa" w:w="4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محدّد في أي مكان. فجوة تشغيلية حرجة لخطة من 9 مراحل، يسبق فيها العمل التحضيري الفعالية بكثافة.</w:t>
            </w:r>
          </w:p>
        </w:tc>
      </w:tr>
      <w:tr>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رئيس العمليات (COO)</w:t>
            </w:r>
          </w:p>
        </w:tc>
        <w:tc>
          <w:tcPr>
            <w:tcW w:type="dxa" w:w="3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ما الجدول الزمني الفعلي؟ ‘Riyadh 2026’ ليس جدولاً — كم تستغرق المراحل 0–5 قبل المرحلة 6؟</w:t>
            </w:r>
          </w:p>
        </w:tc>
        <w:tc>
          <w:tcPr>
            <w:tcW w:type="dxa" w:w="4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توجد مدد مراحل في أي مكان. يُوصى ببناء جدول زمني شهر بشهر لعام 2026 قبل الموافقة (المرحلة 9).</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المدير المالي (CFO)</w:t>
            </w:r>
          </w:p>
        </w:tc>
        <w:tc>
          <w:tcPr>
            <w:tcW w:type="dxa" w:w="3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أين تفصيل الميزانية البندي؟ لديّ أربع نسب وصفر أرقام بالجنيه المصري مع تفاصيل داعمة.</w:t>
            </w:r>
          </w:p>
        </w:tc>
        <w:tc>
          <w:tcPr>
            <w:tcW w:type="dxa" w:w="4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غياب مؤكَّد — ورقتا ‘Budget_Model’ و‘Budget_ROI’ تحتويان عناوين أعمدة فقط، صفر صفوف بيانات (المرحلة 8، الملاحظة C4).</w:t>
            </w:r>
          </w:p>
        </w:tc>
      </w:tr>
      <w:tr>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المدير المالي (CFO)</w:t>
            </w:r>
          </w:p>
        </w:tc>
        <w:tc>
          <w:tcPr>
            <w:tcW w:type="dxa" w:w="3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ما اقتصاديات الوحدة — السعر المتوسط والهامش لكل وحدة عبر المشاريع الثلاثة — حتى أستطيع حساب رقم نقطة التعادل من الوحدات؟</w:t>
            </w:r>
          </w:p>
        </w:tc>
        <w:tc>
          <w:tcPr>
            <w:tcW w:type="dxa" w:w="4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مُقدَّمة في أي مكان. أهم مُدخل مفرد مفقود في هذا الملف (§3.1).</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المدير المالي (CFO)</w:t>
            </w:r>
          </w:p>
        </w:tc>
        <w:tc>
          <w:tcPr>
            <w:tcW w:type="dxa" w:w="3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لماذا تُمثِّل ‘الفعالية’ فقط 25% من الميزانية بينما يُشير معيار مرجعي مماثل إلى تكاليف أعلى بعدة أضعاف؟</w:t>
            </w:r>
          </w:p>
        </w:tc>
        <w:tc>
          <w:tcPr>
            <w:tcW w:type="dxa" w:w="4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محسوم (§3.2، §6.2). إما أن الفعالية مُخطَّطة بحجم أصغر بكثير من ذلك المعيار، أو أن نسبة 25% تحتاج إعادة نظر — يتطلب تمرين تكلفة من القاعدة.</w:t>
            </w:r>
          </w:p>
        </w:tc>
      </w:tr>
      <w:tr>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مدير المبيعات</w:t>
            </w:r>
          </w:p>
        </w:tc>
        <w:tc>
          <w:tcPr>
            <w:tcW w:type="dxa" w:w="3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ما دور فريقي في المرحلة 1 (إعادة التنشيط) والمرحلة 7 (المتابعة/الإغلاق) — عمل إضافي، أم عدد موظفين مخصَّص؟</w:t>
            </w:r>
          </w:p>
        </w:tc>
        <w:tc>
          <w:tcPr>
            <w:tcW w:type="dxa" w:w="4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غير محدّد.</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مدير المبيعات</w:t>
            </w:r>
          </w:p>
        </w:tc>
        <w:tc>
          <w:tcPr>
            <w:tcW w:type="dxa" w:w="3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المسار يُعطيني أرقاماً طرفية فقط (1,000 عميل محتمل ← 10–35 عقد) دون أهداف مرحلية. كيف أتنبأ بحجم الاجتماعات/زيارات المواقع لفريقي؟</w:t>
            </w:r>
          </w:p>
        </w:tc>
        <w:tc>
          <w:tcPr>
            <w:tcW w:type="dxa" w:w="4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يمكن التنبؤ بها من هذه الخطة — معدلات التحويل الوسيطة غير محدّدة (§3، المحور 12).</w:t>
            </w:r>
          </w:p>
        </w:tc>
      </w:tr>
      <w:tr>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مدير التسويق</w:t>
            </w:r>
          </w:p>
        </w:tc>
        <w:tc>
          <w:tcPr>
            <w:tcW w:type="dxa" w:w="3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1,000 عميل محتمل — من أي قنوات، وبأي تكلفة لكل عميل، حتى أخطط شراء الوسائط مقابل تخصيص الـ40%؟</w:t>
            </w:r>
          </w:p>
        </w:tc>
        <w:tc>
          <w:tcPr>
            <w:tcW w:type="dxa" w:w="4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استراتيجية القنوات غائبة تماماً (§3.3).</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مدير التسويق</w:t>
            </w:r>
          </w:p>
        </w:tc>
        <w:tc>
          <w:tcPr>
            <w:tcW w:type="dxa" w:w="3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‘رسم خريطة المجتمع’ — هل أنا المسؤول عنها، وما القائمة الفعلية المستهدفة من المجتمعات/الجمعيات؟</w:t>
            </w:r>
          </w:p>
        </w:tc>
        <w:tc>
          <w:tcPr>
            <w:tcW w:type="dxa" w:w="4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توجد مجموعات مُسمَّاة في تبويب Community_Mapping بأي من الجدولين؛ المسؤولية غير مُعيَّنة.</w:t>
            </w:r>
          </w:p>
        </w:tc>
      </w:tr>
      <w:tr>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عضو مجلس مستقل (NED)</w:t>
            </w:r>
          </w:p>
        </w:tc>
        <w:tc>
          <w:tcPr>
            <w:tcW w:type="dxa" w:w="37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يحتوي هذا الملف على أربعة مستندات ‘نهائية’ شبه متطابقة، واحد منها محشو بـ20 ملحقاً متطابقاً حرفياً بنص عام. لماذا يُقدَّم الحجم كبديل للمحتوى؟</w:t>
            </w:r>
          </w:p>
        </w:tc>
        <w:tc>
          <w:tcPr>
            <w:tcW w:type="dxa" w:w="4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تحفظ حوكمة مشروع، صُعِّد إلى ‘حرج’ في المرحلة 8 (الملاحظة C8). يُوصى بدمج كل ذلك في مستند واحد قبل إعادة التقديم.</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عضو مجلس مستقل (NED)</w:t>
            </w:r>
          </w:p>
        </w:tc>
        <w:tc>
          <w:tcPr>
            <w:tcW w:type="dxa" w:w="37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مؤشرات الأداء الأساسية (150 حاضراً، 10–35 وحدة، 1–2 مليون جنيه) متطابقة عبر المستند الأصلي وكل ‘مراجعة’ منذ ذلك الحين. ما الذي غيّرته عملية المراجعة فعلياً؟</w:t>
            </w:r>
          </w:p>
        </w:tc>
        <w:tc>
          <w:tcPr>
            <w:tcW w:type="dxa" w:w="4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وفقاً للمرحلة 2: السرد تغيّر بشكل جوهري (فعالية ← منصة CRM/مجتمعية)؛ الأرقام لم تتحرك أبداً — مما يُشير إلى أنها لم تُعاد حسابها أبداً من النموذج الجديد. هذا التوتر هو الاستنتاج المحوري لهذه المراجعة.</w:t>
            </w:r>
          </w:p>
        </w:tc>
      </w:tr>
    </w:tbl>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8 — هجوم الفريق الأحمر (Red Team)</w:t>
      </w:r>
    </w:p>
    <w:p>
      <w:pPr>
        <w:bidi/>
        <w:spacing w:after="60" w:before="60"/>
        <w:jc w:val="right"/>
      </w:pPr>
      <w:r>
        <w:rPr>
          <w:rFonts w:ascii="Arial" w:cs="Arial" w:eastAsia="Arial" w:hAnsi="Arial"/>
          <w:color w:val="0A0A0A"/>
          <w:sz w:val="21"/>
          <w:szCs w:val="21"/>
          <w:rtl/>
        </w:rPr>
        <w:t xml:space="preserve">20 ملاحظة، مُرتَّبة من حرج إلى منخفض. “حرج” = يمنع أي موافقة ميزانية مسؤولة حتى يُحلّ. “عالٍ” = يجب حلّه قبل تمويل المرحلة 6 (الفعالية). “متوسط” = يجب حلّه قبل المرحلة 3–4. “منخفض” = تنظيم إداري، لكنه يعكس جودة الوثائق/الحوكمة.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300"/>
        <w:gridCol w:w="3200"/>
      </w:tblGrid>
      <w:tr>
        <w:trPr>
          <w:tblHeader/>
        </w:trPr>
        <w:tc>
          <w:tcPr>
            <w:tcW w:type="dxa" w:w="5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w:t>
            </w:r>
          </w:p>
        </w:tc>
        <w:tc>
          <w:tcPr>
            <w:tcW w:type="dxa" w:w="43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الملاحظة</w:t>
            </w:r>
          </w:p>
        </w:tc>
        <w:tc>
          <w:tcPr>
            <w:tcW w:type="dxa" w:w="13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المستوى</w:t>
            </w:r>
          </w:p>
        </w:tc>
        <w:tc>
          <w:tcPr>
            <w:tcW w:type="dxa" w:w="3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لماذا تهم</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C1</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العائد على الاستثمار غير قابل للحساب هيكلياً: لا أسعار وحدات، لا هامش/عمولة لكل وحدة، لا معادلة عائد في أي مكان عبر 8 مستندات + جدولَي إكسل. صف ‘ROIA’ في Executive_Dashboard فارغ.</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المجلس لا يستطيع تقييم الطلب المالي الأساسي — ‘ما الذي نحصل عليه مقابل 1–2 مليون جنيه’ سؤال بلا إجابة من هذا الملف.</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C2</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رقم ميزانية 1–2 مليون جنيه متطابق عبر 5 أجيال للمستندات، رغم أن الخطة توسّعت من ‘تنظيم فعالية واحدة’ إلى ‘تسع مراحل، ست منها تسبق الفعالية’.</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دليل قوي على أن الرقم لم يُعاد حسابه أبداً — بل نُقل دون تغيير.</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C3</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هدف تحويل الحاضرين إلى عقود (10–35 عقداً من 120–150 حاضراً = 6.7–23.3%) أعلى بكثير من المعايير المرجعية الموثَّقة لهذا النوع من الأصول والجمهور، دون أي منهجية مذكورة.</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الرقم الذي تقوم عليه كامل حالة العائد هو الأقل دعماً في الملف.</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C4</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كلا جدولَي الإكسل التشغيليين (Project_Templates.xlsx، Enterprise_Project_System.xlsx — 18 ورقة مجتمعة) يحتويان صفر صفوف بيانات وصفر معادلات. ‘المرحلة 0: تدقيق CRM وتنظيف’ تفترض قاعدة عملاء حالية لم تُذكَر أو تُحدَّد قط.</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أول مرحلة في الخطة لا يمكن أن تبدأ كما هي مكتوبة — لا يوجد شيء ‘للتدقيق’.</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C5</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معدل تحويل العملاء المؤهَّلين إلى حاضرين (300 ← 120–150 = 40–50%) طموح أيضاً، بشكل مستقل عن C3، بالنسبة لمعدلات RSVP/الحضور المعتادة لفعاليات راقية الدخل — مما يُضخِّم خطأ الإفراط في التقدير عبر مرحلتين متتاليتين من المسار.</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مرحلتان متتاليتان في المسار متفائلتان، مما يُراكم الخطأ — الفجوة بين ‘1,000 عميل محتمل’ و‘35 عقداً’ أوسع من ما تشير إليه نسبتان متفائلتان منفردتان.</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C6</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ورقة ‘Lead_Scoring’ تُعرِّف 5 عناصر تقييم (دخل/اهتمام/اجتماع/إحالة/إجمالي) دون مقياس، ترجيح، أو معادلة — لا يمكن فعلياً تقييم عميل محتمل بهذه الأداة كما بُنيت.</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‘العميل المؤهَّل’ — نقطة الارتكاز لكامل مؤشر 1,000←300 — بلا تعريف تشغيلي.</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C7</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‘Riyadh 2026’ هو التاريخ الوحيد عبر 8 مستندات وورد وجدولَي إكسل. لا مدد مراحل، لا محطات، لا تاريخ فعالية.</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تسع مراحل لا يمكن جدولتها، تزويدها بفريق، تسلسلها، أو مساءلتها دون جدول زمني — هذا يُعيق أيضاً مقترح البوابات في المرحلة 9.</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C8</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أربع حِزَم ‘نهائية’ شبه متطابقة لمجلس الإدارة تم تقديمها (v2، Complete Bilingual، Final Approval، Master Execution Bilingual)؛ واحدة منها (‘Complete Bilingual’) تحتوي 20 فقرة نص عام متطابقة حرفياً (‘This appendix section is reserved for operational details including…’).</w:t>
            </w:r>
          </w:p>
        </w:tc>
        <w:tc>
          <w:tcPr>
            <w:tcW w:type="dxa" w:w="130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center"/>
            </w:pPr>
            <w:r>
              <w:rPr>
                <w:rFonts w:ascii="Arial" w:cs="Arial" w:eastAsia="Arial" w:hAnsi="Arial"/>
                <w:b/>
                <w:bCs/>
                <w:color w:val="C0392B"/>
                <w:sz w:val="17"/>
                <w:szCs w:val="17"/>
                <w:rtl/>
              </w:rPr>
              <w:t xml:space="preserve">حرج</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علم أحمر يخص سلامة الوثائق/الحوكمة: يبدو الملف مُحسَّناً لـ‘الظهور’ شاملاً بدلاً من ‘أن يكون’ شاملاً — قلق جدّي إذا كانت هذه مواد لمجلس إدارة حقيقي.</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H1</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توجد مرحلة لها مسؤول مُسمَّى — فريق Radix الداخلي، وكالة خارجية، أو مزيج، غير محدّد لأي من 9 المراحل.</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دون مسؤولية واضحة، لا يمكن مساءلة أو تزويد أي مرحلة بالموارد.</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H2</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فئة ميزانية ‘المتابعة’ (20%، 200–400 ألف جنيه) دون بروتوكول وراءها — لا وتيرة تواصل، لا تصنيف حالة CRM يتجاوز التسميات، لا شيء تشغيلي.</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المرحلة الأكثر مسؤولية مباشرة عن تحويل الحاضرين إلى عقود (المرحلة 7) هي الأقل تحديداً تشغيلياً.</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H3</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لا يوجد تقسيم بحسب الدخل/القدرة المالية يربط الجمهور المستهدف بأي من المشاريع الثلاثة المُسمَّاة (المُفترَض أن لها أسعاراً مختلفة) كل شريحة يمكنها تحمّلها فعلياً.</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دون هذا، لا يمكن استهداف التواصل — دعوة طبيب لسماع عرض عن مشروع مُسعَّر للمديرين التنفيذيين عميل محتمل مُهدَر.</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H4</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‘توليد العملاء المحتملين’ (40% من الميزانية، أكبر تخصيص فردي) دون مزيج قنوات أو افتراض تكلفة لكل عميل محتمل لتدقيقه مقابل هدف الـ1,000 عميل.</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أكبر بند في الميزانية لا يمكن فحصه منطقياً — قد يكون مُمَوَّلاً بشكل مبالَغ فيه أو ناقص جداً نسبةً لهدفه.</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H5</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مرحلة الشراكات لا تُسمّي أي منظمة فعلية — ورقتا ‘Partners’ و‘Partnerships’ فارغتان؛ لا توجد مجموعة مجتمعية، نقابة، أو جمعية مُسمَّاة في أي مكان.</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‘اكتساب الشراكات’ حالياً تسمية، لا خطة عمل — وتتغذّى مباشرة في هدف الـ1,000 عميل غير المُثبَت ومرحلة رسم خريطة المجتمع.</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M1</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برنامج الإحالة مُعرَّف بعناوين أعمدة فقط — لا بنية حافز، لا هدف إحالة لكل عميل.</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برامج الإحالة دون حوافز غالباً تُولِّد حجماً قليلاً — من المُحتمَل أن تُؤدِّي هذه القناة دون التوقعات.</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M2</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خطر العملة/الصرف غير مُتناوَل: فعالية تُقام فعلياً في الرياض تتحمّل تكاليف بالريال السعودي مقابل ميزانية بالجنيه المصري، دون افتراض سعر صرف مذكور.</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تحرّك كبير في سعر الصرف بين الآن وتاريخ الفعالية قد يُقلِّص بصمت تخصيص ‘الفعالية’ الرقيق أساساً (§6.2).</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M3</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‘التوسّع إلى جدة/المنطقة الشرقية’ مُسلسَل كمرحلة قبل وجود أي بيانات حضور أو تحويل من المشروع التجريبي (الرياض).</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تخطيط لجزء ثاني قبل عرض الأول — سابق لأوانه، ويفترض ضمنياً خطة مدينة ثانية غير مُمَوَّلة.</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M4</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السرد ‘التطوّري’ (فعالية ← سفارة أخف ← نموذج CRM/مجتمعي) يُعيد استخلاص استنتاجات مُثبَّتة بشكل مستقل، بتفصيل أكبر، في مجموعة 01–05 المرجعية غير المرتبطة لمشروع آخر.</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يطرح سؤالاً عمّا إذا كان قد جرى عمل استراتيجي حقيقي خاص بـ Radix في كل مرحلة ‘مراجعة’، أم أُعيد تسمية قالب عام (§1.3).</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M5</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استراتيجية السفارة — العنصر الأكثر تطوّراً في الملف — لا تزال مجرد جملة واحدة في الأسئلة المتوقعة (‘مصداقية، لا قناة’) دون جهة اتصال مُسمَّاة، طلب، أو جدول زمني.</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حتى أقوى جزء في الخطة غير مُطوَّر بما يكفي نسبةً لما يجب أن تتطلبه الموافقة المجلسية.</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L1</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ثلاثة أسماء مختلفة للمشروع تُستخدَم عبر مجموعة المستندات: ‘Egypt Future Investment Forum’، ‘Radix Investors Circle’، و‘Radix Gulf Expansion Program’.</w:t>
            </w:r>
          </w:p>
        </w:tc>
        <w:tc>
          <w:tcPr>
            <w:tcW w:type="dxa" w:w="13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center"/>
            </w:pPr>
            <w:r>
              <w:rPr>
                <w:rFonts w:ascii="Arial" w:cs="Arial" w:eastAsia="Arial" w:hAnsi="Arial"/>
                <w:b/>
                <w:bCs/>
                <w:color w:val="1A6B4A"/>
                <w:sz w:val="17"/>
                <w:szCs w:val="17"/>
                <w:rtl/>
              </w:rPr>
              <w:t xml:space="preserve">منخفض</w:t>
            </w:r>
          </w:p>
        </w:tc>
        <w:tc>
          <w:tcPr>
            <w:tcW w:type="dxa" w:w="3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يُشير إلى تأليف مُجزَّأ / لا مصدر واحد للحقيقة — أمر بسيط بذاته، لكنه متوافق مع C8.</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L2</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جدولا ‘النظام التشغيلي’ غير متطابقين مع بعضهما — مثلاً ‘Project_Templates’ يحذف مرحلة ‘زيارة الموقع’ الموجودة في ‘Sales_Pipeline’ الخاص بـ‘Enterprise’.</w:t>
            </w:r>
          </w:p>
        </w:tc>
        <w:tc>
          <w:tcPr>
            <w:tcW w:type="dxa" w:w="13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center"/>
            </w:pPr>
            <w:r>
              <w:rPr>
                <w:rFonts w:ascii="Arial" w:cs="Arial" w:eastAsia="Arial" w:hAnsi="Arial"/>
                <w:b/>
                <w:bCs/>
                <w:color w:val="1A6B4A"/>
                <w:sz w:val="17"/>
                <w:szCs w:val="17"/>
                <w:rtl/>
              </w:rPr>
              <w:t xml:space="preserve">منخفض</w:t>
            </w:r>
          </w:p>
        </w:tc>
        <w:tc>
          <w:tcPr>
            <w:tcW w:type="dxa" w:w="3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يُشير إلى أن ‘النظامين’ لم يُبنَيا كحزمة أدوات واحدة متماسكة، حتى قبل تعبئة أي منهما بالبيانات.</w:t>
            </w:r>
          </w:p>
        </w:tc>
      </w:tr>
    </w:tbl>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9 — الفريق الأزرق: تحسينات مقترحة</w:t>
      </w:r>
    </w:p>
    <w:p>
      <w:pPr>
        <w:bidi/>
        <w:spacing w:after="60" w:before="60"/>
        <w:jc w:val="right"/>
      </w:pPr>
      <w:r>
        <w:rPr>
          <w:rFonts w:ascii="Arial" w:cs="Arial" w:eastAsia="Arial" w:hAnsi="Arial"/>
          <w:color w:val="0A0A0A"/>
          <w:sz w:val="21"/>
          <w:szCs w:val="21"/>
          <w:rtl/>
        </w:rPr>
        <w:t xml:space="preserve">تبديل الأدوار: هذه 12 مقترحاً تحوّل ملاحظات الفريق الأحمر إلى قائمة بناء عملية. B1–B11 حلول مباشرة لملاحظات محدّدة؛ B12 فكرة هيكلية جديدة فعلياً (تقسيم صيغة الفعالية) تُحسِّن في نفس الوقت §3 المحور 5 (مفهوم Investor Circle) وتُخفِّف من C3/C5 (أهداف التحويل الطموحة).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5260"/>
      </w:tblGrid>
      <w:tr>
        <w:trPr>
          <w:tblHeader/>
        </w:trPr>
        <w:tc>
          <w:tcPr>
            <w:tcW w:type="dxa" w:w="5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w:t>
            </w:r>
          </w:p>
        </w:tc>
        <w:tc>
          <w:tcPr>
            <w:tcW w:type="dxa" w:w="22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المقترح</w:t>
            </w:r>
          </w:p>
        </w:tc>
        <w:tc>
          <w:tcPr>
            <w:tcW w:type="dxa" w:w="1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يحلّ</w:t>
            </w:r>
          </w:p>
        </w:tc>
        <w:tc>
          <w:tcPr>
            <w:tcW w:type="dxa" w:w="52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ما يبدو عليه عملياً</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B1</w:t>
            </w:r>
          </w:p>
        </w:tc>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تمويل مرحلي ببوابات</w:t>
            </w:r>
          </w:p>
        </w:tc>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C2, C7, H1</w:t>
            </w:r>
          </w:p>
        </w:tc>
        <w:tc>
          <w:tcPr>
            <w:tcW w:type="dxa" w:w="5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إعادة تجميع 9 المراحل في 3 مراحل مُموَّلة — استكشاف (المراحل 0–2)، بناء وإطلاق (المراحل 3–6)، إغلاق وتقرير (المراحل 7–8) — كل واحدة بجدول زمني شهر بشهر لعام 2026، مسؤول مُسمَّى، ومراجعة Go/No-Go قبل تمويل المرحلة التالية.</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B2</w:t>
            </w:r>
          </w:p>
        </w:tc>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مصفوفة حساسية للعائد</w:t>
            </w:r>
          </w:p>
        </w:tc>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C1</w:t>
            </w:r>
          </w:p>
        </w:tc>
        <w:tc>
          <w:tcPr>
            <w:tcW w:type="dxa" w:w="5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بعد أن يُقدِّم قسم المالية متوسط السعر + الهامش/العمولة لكل وحدة لـRay Residence وAgile Business Complex وSpinner Towers، بناء مصفوفة 3×3: [عقود محافظة/متوقَّعة/طموحة] × [سعر وحدة منخفض/متوسط/مرتفع] ← مدى عوائد بالجنيه مقابل طلب 1–2 مليون جنيه.</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B3</w:t>
            </w:r>
          </w:p>
        </w:tc>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تكلفة فعالية تفصيلية من القاعدة</w:t>
            </w:r>
          </w:p>
        </w:tc>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C8 (فجوة ميزانية الفعالية), §3.2/§6.2</w:t>
            </w:r>
          </w:p>
        </w:tc>
        <w:tc>
          <w:tcPr>
            <w:tcW w:type="dxa" w:w="5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تفصيل بنود تخصيص ‘الفعالية’ (مكان، طعام وشراب، صوتيات وصورة/إنتاج، ديكور، طاقم عمل، هدايا) بالريال السعودي مع تحويل صريح للجنيه المصري، باستخدام هيكل تكلفة المستند 2 في 01–05 كنموذج قابل لإعادة الاستخدام.</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B4</w:t>
            </w:r>
          </w:p>
        </w:tc>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معادلة تقييم عملاء محتملين حقيقية</w:t>
            </w:r>
          </w:p>
        </w:tc>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C6</w:t>
            </w:r>
          </w:p>
        </w:tc>
        <w:tc>
          <w:tcPr>
            <w:tcW w:type="dxa" w:w="5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كل من 5 عناصر التقييم على مقياس من 0–25 بمعايير صريحة (مثل: درجة الدخل: 25 إذا الدخل الشهري &gt; 30 ألف ريال، 15 إذا 15–30 ألف، 5 إذا أقل — توضيحي، يُضبَط ببيانات حقيقية)، الإجمالي/100، بمستويات حار ≥70 / دافئ 40–69 / بارد &lt;40.</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B5</w:t>
            </w:r>
          </w:p>
        </w:tc>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خطة مزيج قنوات لـ1,000 عميل محتمل</w:t>
            </w:r>
          </w:p>
        </w:tc>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H4, جزئياً C5</w:t>
            </w:r>
          </w:p>
        </w:tc>
        <w:tc>
          <w:tcPr>
            <w:tcW w:type="dxa" w:w="5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تقسيم هدف الـ1,000 عميل محتمل عبر أربع قنوات مُسمَّاة ومُحدَّدة حجمها بشكل مستقل: إعادة تنشيط قاعدة البيانات الحالية (رقم معروف بمجرد تشغيل المرحلة 0)، إحالات العملاء (مرتبط بـB9)، شركاء/جمعيات مجتمعية مُسمَّون (مرتبط بـB7)، ورقمي مدفوع بافتراض تكلفة عميل محتمل صريح — ثم مطابقة المجموع مع هدف الـ1,000 عميل وكذلك نسبة الـ40% من الميزانية.</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B6</w:t>
            </w:r>
          </w:p>
        </w:tc>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تبني بروتوكولَي RSVP لـ30 يوماً ومتابعة 72 ساعة</w:t>
            </w:r>
          </w:p>
        </w:tc>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C5, H2</w:t>
            </w:r>
          </w:p>
        </w:tc>
        <w:tc>
          <w:tcPr>
            <w:tcW w:type="dxa" w:w="5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استيراد مسار RSVP السابق للفعالية المُختبَر ميدانياً، ووتيرة المتابعة بعد الفعالية لـ72 ساعة متعددة التواصل من المجموعة المرجعية 01–05 (المستند 5، §1–§2) — يُعالِج مباشرة معدل التحويل من مؤهَّل إلى حاضر (40–50%) غير المُثبَت، ويُعطي ميزانية ‘المتابعة’ بنسبة 20% شيئاً ملموساً لتمويله.</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B7</w:t>
            </w:r>
          </w:p>
        </w:tc>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قائمة شركاء ومجتمعات مستهدفة مُسمَّاة</w:t>
            </w:r>
          </w:p>
        </w:tc>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H5, §3 المحور 4</w:t>
            </w:r>
          </w:p>
        </w:tc>
        <w:tc>
          <w:tcPr>
            <w:tcW w:type="dxa" w:w="5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5–10 جمعيات مهنية/مجموعات مجتمعية مصرية مرشَّحة بالاسم في الرياض — حتى مرحلة بحث مكتبي يتبع منهجية المستند 3 في 01–05 يُحوِّل هذا من تسمية إلى خطة عمل.</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B8</w:t>
            </w:r>
          </w:p>
        </w:tc>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تقسيم الجمهور بحسب شريحة الدخل</w:t>
            </w:r>
          </w:p>
        </w:tc>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H3</w:t>
            </w:r>
          </w:p>
        </w:tc>
        <w:tc>
          <w:tcPr>
            <w:tcW w:type="dxa" w:w="5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ربط شرائح الدخل التقديرية بأي من المشاريع الثلاثة المُسمَّاة يمكن لكل شريحة تحمّله فعلياً، وتصميم رسالة التواصل/القناة وفقاً لذلك — يُعالِج مباشرة غموض القدرة المالية لـ‘الأطباء والمهندسين’ من المرحلة 4.</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B9</w:t>
            </w:r>
          </w:p>
        </w:tc>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بنية حافز إحالة</w:t>
            </w:r>
          </w:p>
        </w:tc>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M1</w:t>
            </w:r>
          </w:p>
        </w:tc>
        <w:tc>
          <w:tcPr>
            <w:tcW w:type="dxa" w:w="5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حافز ملموس (مثل مكافأة نقدية/قسيمة متدرّجة لكل إحالة مؤهَّلة تحجز زيارة موقع) وهدف إحالة لكل عميل حالي (مثل 1–2 إحالة/عميل في السنة الأولى).</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B10</w:t>
            </w:r>
          </w:p>
        </w:tc>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مستند واحد موحَّد لمجلس الإدارة</w:t>
            </w:r>
          </w:p>
        </w:tc>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C8, L1</w:t>
            </w:r>
          </w:p>
        </w:tc>
        <w:tc>
          <w:tcPr>
            <w:tcW w:type="dxa" w:w="5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دمج الحِزَم ‘النهائية’ الأربعة في مستند واحد. كتابة محتوى الملاحق العشرين العامة أو حذفها بالكامل. توحيد اسم المشروع في كل المستند.</w:t>
            </w:r>
          </w:p>
        </w:tc>
      </w:tr>
      <w:tr>
        <w:tc>
          <w:tcPr>
            <w:tcW w:type="dxa" w:w="5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B11</w:t>
            </w:r>
          </w:p>
        </w:tc>
        <w:tc>
          <w:tcPr>
            <w:tcW w:type="dxa" w:w="22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افتراض سعر الصرف وبند احتياطي</w:t>
            </w:r>
          </w:p>
        </w:tc>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M2</w:t>
            </w:r>
          </w:p>
        </w:tc>
        <w:tc>
          <w:tcPr>
            <w:tcW w:type="dxa" w:w="52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تحديد افتراض سعر الصرف ريال/جنيه المُستخدَم لكل التكاليف بالريال في الرياض، وإضافة بند احتياطي لتقلبات الصرف بنسبة 5–10% لميزانية الفعالية.</w:t>
            </w:r>
          </w:p>
        </w:tc>
      </w:tr>
      <w:tr>
        <w:tc>
          <w:tcPr>
            <w:tcW w:type="dxa" w:w="5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B12</w:t>
            </w:r>
          </w:p>
        </w:tc>
        <w:tc>
          <w:tcPr>
            <w:tcW w:type="dxa" w:w="22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صيغة فعالية بمسارين (مقترح جديد)</w:t>
            </w:r>
          </w:p>
        </w:tc>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 المحور 5, C3/C5 (تخفيف)</w:t>
            </w:r>
          </w:p>
        </w:tc>
        <w:tc>
          <w:tcPr>
            <w:tcW w:type="dxa" w:w="52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تقسيم ‘المرحلة 6: الفعالية الرئيسية’ إلى (أ) ‘استقبال مجتمعي’ أوسع وأقل تكلفة لكامل مجموعة الـ120–150 مدعواً — بناء علاقات، دون بيع مباشر — و(ب) ‘جلسة Investor Circle’ صغيرة ومغلقة (10–20 عميلاً محتملاً مؤهَّلاً مسبقاً وذا ميزانية أعلى، مُحدَّداً عبر تقييم B4) حيث يكون معدل التحويل الواقعي 6–23% أكثر منطقية بكثير لأن القاعة مُختارة مسبقاً بحسب النية والقدرة المالية. هذا يُحوِّل اسم ‘Investor Circle’ إلى آلية فعلية ذات مستويين.</w:t>
            </w:r>
          </w:p>
        </w:tc>
      </w:tr>
    </w:tbl>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المرحلة 10 — القرار النهائي</w:t>
      </w:r>
    </w:p>
    <w:p>
      <w:pPr>
        <w:pStyle w:val="Heading2"/>
        <w:bidi/>
        <w:spacing w:after="100" w:before="280"/>
        <w:jc w:val="right"/>
      </w:pPr>
      <w:r>
        <w:rPr>
          <w:rFonts w:ascii="Arial" w:cs="Arial" w:eastAsia="Arial" w:hAnsi="Arial"/>
          <w:b/>
          <w:bCs/>
          <w:color w:val="1A2B4A"/>
          <w:sz w:val="26"/>
          <w:szCs w:val="26"/>
          <w:rtl/>
        </w:rPr>
        <w:t xml:space="preserve">10.1 الدرجة الإجمالية</w:t>
      </w:r>
    </w:p>
    <w:p>
      <w:pPr>
        <w:spacing w:after="200" w:before="100"/>
        <w:jc w:val="center"/>
      </w:pPr>
      <w:r>
        <w:rPr>
          <w:rFonts w:ascii="Arial" w:cs="Arial" w:eastAsia="Arial" w:hAnsi="Arial"/>
          <w:b/>
          <w:bCs/>
          <w:color w:val="C0392B"/>
          <w:sz w:val="60"/>
          <w:szCs w:val="60"/>
          <w:rtl w:val="false"/>
        </w:rPr>
        <w:t xml:space="preserve">28 / 100</w:t>
      </w:r>
    </w:p>
    <w:p>
      <w:pPr>
        <w:bidi/>
        <w:spacing w:after="60" w:before="60"/>
        <w:jc w:val="right"/>
      </w:pPr>
      <w:r>
        <w:rPr>
          <w:rFonts w:ascii="Arial" w:cs="Arial" w:eastAsia="Arial" w:hAnsi="Arial"/>
          <w:color w:val="0A0A0A"/>
          <w:sz w:val="21"/>
          <w:szCs w:val="21"/>
          <w:rtl/>
        </w:rPr>
        <w:t xml:space="preserve">الاستخلاص (مستوى الثقة: متوسطة — هذا توليف، لا معادلة): متوسط درجات المرحلة 3 عبر 13 محوراً استراتيجياً يساوي تقريباً 3.2/10 (≈32/100). يُخفَّض هذا إلى 28/100 لِيعكس استنتاج المرحلة 8 بأن 8 من 20 ملاحظة مُحدَّدة هي مُصنَّفة ‘حرجة’ وذات طبيعة مالية/حوكمية (عائد استثمار غير قابل للحساب، ميزانية لم تُعاد حسابها، مخاوف سلامة وثائق) — ملاحظات بهذا النوع والتركيز كانت ستُوقف، في عملية مجلس إدارة حقيقية، أي موافقة ميزانية بغض النظر عن درجات المحاور المتبقية.</w:t>
      </w:r>
    </w:p>
    <w:p>
      <w:pPr>
        <w:pStyle w:val="Heading2"/>
        <w:bidi/>
        <w:spacing w:after="100" w:before="280"/>
        <w:jc w:val="right"/>
      </w:pPr>
      <w:r>
        <w:rPr>
          <w:rFonts w:ascii="Arial" w:cs="Arial" w:eastAsia="Arial" w:hAnsi="Arial"/>
          <w:b/>
          <w:bCs/>
          <w:color w:val="1A2B4A"/>
          <w:sz w:val="26"/>
          <w:szCs w:val="26"/>
          <w:rtl/>
        </w:rPr>
        <w:t xml:space="preserve">10.2 احتمالية النجاح</w:t>
      </w:r>
    </w:p>
    <w:p>
      <w:pPr>
        <w:bidi/>
        <w:spacing w:after="60" w:before="60"/>
        <w:jc w:val="right"/>
      </w:pPr>
      <w:r>
        <w:rPr>
          <w:rFonts w:ascii="Arial" w:cs="Arial" w:eastAsia="Arial" w:hAnsi="Arial"/>
          <w:color w:val="0A0A0A"/>
          <w:sz w:val="21"/>
          <w:szCs w:val="21"/>
          <w:rtl/>
        </w:rPr>
        <w:t xml:space="preserve">‘النجاح’ ليس عتبة واحدة — الاحتمالية تعتمد كلياً على السؤال المطروح بالضبط: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تعريف “النجاح”</w:t>
            </w:r>
          </w:p>
        </w:tc>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الاحتمالية</w:t>
            </w:r>
          </w:p>
        </w:tc>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مستوى الثقة</w:t>
            </w:r>
          </w:p>
        </w:tc>
      </w:tr>
      <w:tr>
        <w:tc>
          <w:tcPr>
            <w:tcW w:type="dxa" w:w="57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تُقام الفعالية وتُولِّد بعض العملاء المحتملين / نمو قاعدة البيانات (أدنى سقف)</w:t>
            </w:r>
          </w:p>
        </w:tc>
        <w:tc>
          <w:tcPr>
            <w:tcW w:type="dxa" w:w="1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65–75%</w:t>
            </w:r>
          </w:p>
        </w:tc>
        <w:tc>
          <w:tcPr>
            <w:tcW w:type="dxa" w:w="18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متوسطة</w:t>
            </w:r>
          </w:p>
        </w:tc>
      </w:tr>
      <w:tr>
        <w:tc>
          <w:tcPr>
            <w:tcW w:type="dxa" w:w="57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الوصول إلى ‘السيناريو الأساسي’ المُعلَن من 10–20 عقداً موقَّعاً خلال ~6 أشهر من الفعالية</w:t>
            </w:r>
          </w:p>
        </w:tc>
        <w:tc>
          <w:tcPr>
            <w:tcW w:type="dxa" w:w="1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12–20%</w:t>
            </w:r>
          </w:p>
        </w:tc>
        <w:tc>
          <w:tcPr>
            <w:tcW w:type="dxa" w:w="18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منخفضة</w:t>
            </w:r>
          </w:p>
        </w:tc>
      </w:tr>
      <w:tr>
        <w:tc>
          <w:tcPr>
            <w:tcW w:type="dxa" w:w="57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اكتمال كل 9 المراحل كما هي موثَّقة، ضمن الميزانية المُعلَنة 1–2 مليون جنيه، وفق جدول زمني لعام 2026</w:t>
            </w:r>
          </w:p>
        </w:tc>
        <w:tc>
          <w:tcPr>
            <w:tcW w:type="dxa" w:w="1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أقل من 10%</w:t>
            </w:r>
          </w:p>
        </w:tc>
        <w:tc>
          <w:tcPr>
            <w:tcW w:type="dxa" w:w="18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منخفضة</w:t>
            </w:r>
          </w:p>
        </w:tc>
      </w:tr>
    </w:tbl>
    <w:p>
      <w:pPr>
        <w:pBdr>
          <w:right w:val="single" w:color="C0392B" w:sz="16"/>
        </w:pBdr>
        <w:shd w:fill="FBE5E3" w:val="clear"/>
        <w:bidi/>
        <w:spacing w:after="100" w:before="100"/>
        <w:ind w:right="300"/>
        <w:jc w:val="right"/>
      </w:pPr>
      <w:r>
        <w:rPr>
          <w:rFonts w:ascii="Arial" w:cs="Arial" w:eastAsia="Arial" w:hAnsi="Arial"/>
          <w:color w:val="C0392B"/>
          <w:sz w:val="20"/>
          <w:szCs w:val="20"/>
          <w:rtl/>
        </w:rPr>
        <w:t xml:space="preserve">الصف الثالث منخفض ليس لأن التوجه الاستراتيجي سيء، بل لأنه لا يوجد حالياً جدول زمني ‘للاكتمال وفقه’ — C7 يجعل هذا الصف غير قابل للقياس عملياً كما هو مكتوب.</w:t>
      </w:r>
    </w:p>
    <w:p>
      <w:pPr>
        <w:pStyle w:val="Heading2"/>
        <w:bidi/>
        <w:spacing w:after="100" w:before="280"/>
        <w:jc w:val="right"/>
      </w:pPr>
      <w:r>
        <w:rPr>
          <w:rFonts w:ascii="Arial" w:cs="Arial" w:eastAsia="Arial" w:hAnsi="Arial"/>
          <w:b/>
          <w:bCs/>
          <w:color w:val="1A2B4A"/>
          <w:sz w:val="26"/>
          <w:szCs w:val="26"/>
          <w:rtl/>
        </w:rPr>
        <w:t xml:space="preserve">10.3 احتمالية تحقيق 10 / 20 / 35 وحدة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rPr>
          <w:tblHeader/>
        </w:trPr>
        <w:tc>
          <w:tcPr>
            <w:tcW w:type="dxa" w:w="1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الهدف</w:t>
            </w:r>
          </w:p>
        </w:tc>
        <w:tc>
          <w:tcPr>
            <w:tcW w:type="dxa" w:w="1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الاحتمالية</w:t>
            </w:r>
          </w:p>
        </w:tc>
        <w:tc>
          <w:tcPr>
            <w:tcW w:type="dxa" w:w="1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مستوى الثقة</w:t>
            </w:r>
          </w:p>
        </w:tc>
        <w:tc>
          <w:tcPr>
            <w:tcW w:type="dxa" w:w="51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السبب</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 وحدات</w:t>
            </w:r>
          </w:p>
        </w:tc>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30–35%</w:t>
            </w:r>
          </w:p>
        </w:tc>
        <w:tc>
          <w:tcPr>
            <w:tcW w:type="dxa" w:w="14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منخفضة</w:t>
            </w:r>
          </w:p>
        </w:tc>
        <w:tc>
          <w:tcPr>
            <w:tcW w:type="dxa" w:w="5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يقع ضمن نطاقي محافظ–متوقَّع الخاصَّين بهذا المُدقِّق للعقود (§5.2) — قابل للتحقيق حتى مع مسار مُنفَّذ جزئياً وبعض إعادة تنشيط للعملاء الحاليين.</w:t>
            </w:r>
          </w:p>
        </w:tc>
      </w:tr>
      <w:tr>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20 وحدة</w:t>
            </w:r>
          </w:p>
        </w:tc>
        <w:tc>
          <w:tcPr>
            <w:tcW w:type="dxa" w:w="1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12–18%</w:t>
            </w:r>
          </w:p>
        </w:tc>
        <w:tc>
          <w:tcPr>
            <w:tcW w:type="dxa" w:w="14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منخفضة</w:t>
            </w:r>
          </w:p>
        </w:tc>
        <w:tc>
          <w:tcPr>
            <w:tcW w:type="dxa" w:w="51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يتطلب تحقّق السيناريو ‘المتوقَّع’ عبر كامل المسار في نفس الوقت — العملاء المحتملون، التأهيل، الحضور، والتحويل، كلها تتحقق دفعة واحدة.</w:t>
            </w:r>
          </w:p>
        </w:tc>
      </w:tr>
      <w:tr>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35 وحدة</w:t>
            </w:r>
          </w:p>
        </w:tc>
        <w:tc>
          <w:tcPr>
            <w:tcW w:type="dxa" w:w="1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3–7%</w:t>
            </w:r>
          </w:p>
        </w:tc>
        <w:tc>
          <w:tcPr>
            <w:tcW w:type="dxa" w:w="14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منخفضة</w:t>
            </w:r>
          </w:p>
        </w:tc>
        <w:tc>
          <w:tcPr>
            <w:tcW w:type="dxa" w:w="51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يتطلب أداءً قريباً من الحالة الأفضل في كل مرحلة من المسار في نفس الوقت — نادر تاريخياً لفعالية أولى بُنيت على مجتمع غير مبنيّ وCRM فارغ.</w:t>
            </w:r>
          </w:p>
        </w:tc>
      </w:tr>
    </w:tbl>
    <w:p>
      <w:pPr>
        <w:pBdr>
          <w:right w:val="single" w:color="1B4F8A" w:sz="16"/>
        </w:pBdr>
        <w:shd w:fill="E3ECF7" w:val="clear"/>
        <w:bidi/>
        <w:spacing w:after="100" w:before="100"/>
        <w:ind w:right="300"/>
        <w:jc w:val="right"/>
      </w:pPr>
      <w:r>
        <w:rPr>
          <w:rFonts w:ascii="Arial" w:cs="Arial" w:eastAsia="Arial" w:hAnsi="Arial"/>
          <w:color w:val="1B4F8A"/>
          <w:sz w:val="20"/>
          <w:szCs w:val="20"/>
          <w:rtl/>
        </w:rPr>
        <w:t xml:space="preserve">مستوى الثقة في الأرقام الثلاثة كلها منخفض: هي مُستخلَصة بالتقاطع من معايير مرجعية عامة لفعاليات عقارية خليجية (مُراجَعة مقابل مجموعة 01–05)، في غياب بيانات Radix التاريخية الخاصة بـCRM/الفعاليات — المُدخل الوحيد الذي سيُضبَط هذه الأرقام عليه فعلياً. تُقدَّم لأن التكليف يتطلبها، لكن ينبغي قراءتها بصفتها ‘توضيحاً لمستوى عدم اليقين الحالي’، لا تنبؤاً.</w:t>
      </w:r>
    </w:p>
    <w:p>
      <w:pPr>
        <w:pStyle w:val="Heading2"/>
        <w:bidi/>
        <w:spacing w:after="100" w:before="280"/>
        <w:jc w:val="right"/>
      </w:pPr>
      <w:r>
        <w:rPr>
          <w:rFonts w:ascii="Arial" w:cs="Arial" w:eastAsia="Arial" w:hAnsi="Arial"/>
          <w:b/>
          <w:bCs/>
          <w:color w:val="1A2B4A"/>
          <w:sz w:val="26"/>
          <w:szCs w:val="26"/>
          <w:rtl/>
        </w:rPr>
        <w:t xml:space="preserve">10.4 توصية Go / No-Go</w:t>
      </w:r>
    </w:p>
    <w:p>
      <w:pPr>
        <w:pBdr>
          <w:right w:val="single" w:color="C0392B" w:sz="24"/>
        </w:pBdr>
        <w:shd w:fill="FBE5E3" w:val="clear"/>
        <w:bidi/>
        <w:spacing w:after="160" w:before="100"/>
        <w:jc w:val="right"/>
      </w:pPr>
      <w:r>
        <w:rPr>
          <w:rFonts w:ascii="Arial" w:cs="Arial" w:eastAsia="Arial" w:hAnsi="Arial"/>
          <w:b/>
          <w:bCs/>
          <w:color w:val="C0392B"/>
          <w:sz w:val="28"/>
          <w:szCs w:val="28"/>
          <w:rtl/>
        </w:rPr>
        <w:t xml:space="preserve">No-Go — كما هي موثَّقة حالياً  </w:t>
      </w:r>
    </w:p>
    <w:p>
      <w:pPr>
        <w:bidi/>
        <w:spacing w:after="60" w:before="60"/>
        <w:jc w:val="right"/>
      </w:pPr>
      <w:r>
        <w:rPr>
          <w:rFonts w:ascii="Arial" w:cs="Arial" w:eastAsia="Arial" w:hAnsi="Arial"/>
          <w:color w:val="0A0A0A"/>
          <w:sz w:val="21"/>
          <w:szCs w:val="21"/>
          <w:rtl/>
        </w:rPr>
        <w:t xml:space="preserve">هذه ليست توصية بالتخلي عن التوجه الاستراتيجي الأساسي. الحدس الجوهري — مجتمعي بقيادة، مدعوم بـCRM، السفارة كمصداقية لا قناة، يستهدف الجالية المهنية المصرية في الرياض — منطقي ومتوافق مع أنماط موثَّقة. لكن الموافقة على 1–2 مليون جنيه مقابل هذا الملف بالذات ستعني الموافقة على: عائد استثمار غير قابل للتحقق (C1)، ميزانية لم تُعاد حسابها رغم توسّع النطاق 9 مرات (C2)، نظام CRM وتقييم عملاء محتملين فارغين (C4، C6)، افتراض تحويل خارج المعايير المرجعية بكثير (C3، C5)، لا جدول زمني (C7)، ومستندات مجلس إدارة تتضمن 20 ملحقاً نص عام متطابق حرفياً (C8).</w:t>
      </w:r>
    </w:p>
    <w:p>
      <w:pPr>
        <w:bidi/>
        <w:spacing w:after="70" w:before="160"/>
        <w:jc w:val="right"/>
      </w:pPr>
      <w:r>
        <w:rPr>
          <w:rFonts w:ascii="Arial" w:cs="Arial" w:eastAsia="Arial" w:hAnsi="Arial"/>
          <w:b/>
          <w:bCs/>
          <w:color w:val="0A0A0A"/>
          <w:sz w:val="22"/>
          <w:szCs w:val="22"/>
          <w:rtl/>
        </w:rPr>
        <w:t xml:space="preserve">المسار المشروط نحو الموافقة</w:t>
      </w:r>
    </w:p>
    <w:p>
      <w:pPr>
        <w:bidi/>
        <w:spacing w:after="60" w:before="60"/>
        <w:jc w:val="right"/>
      </w:pPr>
      <w:r>
        <w:rPr>
          <w:rFonts w:ascii="Arial" w:cs="Arial" w:eastAsia="Arial" w:hAnsi="Arial"/>
          <w:color w:val="0A0A0A"/>
          <w:sz w:val="21"/>
          <w:szCs w:val="21"/>
          <w:rtl/>
        </w:rPr>
        <w:t xml:space="preserve">اعتماد ميزانية ‘استكشاف’ صغيرة — تقريباً 10–15% من نطاق 1–2 مليون جنيه (100,000–300,000 جنيه) — تُغطّي المراحل 0–2 (تدقيق CRM، إعادة تنشيط العملاء، رسم خريطة المجتمع والمحادثات الأولية مع الشركاء). وضع شرط صارم: تعود Radix إلى المجلس بخطة مُعاد بناء أساسها، مُفصَّلة بنداً بند (تتناول B1–B12) قبل الإفراج عن النسبة المتبقية 85–90%. هذا يُحوِّل طلب ‘الموافقة على كل شيء الآن’ إلى قرار مرحلي بمعلومات حقيقية في كل بوابة — وهي تماماً الفجوة المُحدَّدة في C7/H1/B1.</w:t>
      </w:r>
    </w:p>
    <w:p>
      <w:pPr>
        <w:pStyle w:val="Heading2"/>
        <w:bidi/>
        <w:spacing w:after="100" w:before="280"/>
        <w:jc w:val="right"/>
      </w:pPr>
      <w:r>
        <w:rPr>
          <w:rFonts w:ascii="Arial" w:cs="Arial" w:eastAsia="Arial" w:hAnsi="Arial"/>
          <w:b/>
          <w:bCs/>
          <w:color w:val="1A2B4A"/>
          <w:sz w:val="26"/>
          <w:szCs w:val="26"/>
          <w:rtl/>
        </w:rPr>
        <w:t xml:space="preserve">10.5 أهم 20 تحسيناً مطلوباً قبل التنفيذ</w:t>
      </w:r>
    </w:p>
    <w:p>
      <w:pPr>
        <w:bidi/>
        <w:spacing w:after="60" w:before="60"/>
        <w:jc w:val="right"/>
      </w:pPr>
      <w:r>
        <w:rPr>
          <w:rFonts w:ascii="Arial" w:cs="Arial" w:eastAsia="Arial" w:hAnsi="Arial"/>
          <w:color w:val="0A0A0A"/>
          <w:sz w:val="21"/>
          <w:szCs w:val="21"/>
          <w:rtl/>
        </w:rPr>
        <w:t xml:space="preserve">مُرتَّبة بالأولوية (حرج ← منخفض)، كل واحد مرتبط بملاحظته في المرحلة 8.</w:t>
      </w:r>
    </w:p>
    <w:p>
      <w:pPr>
        <w:pStyle w:val="ListParagraph"/>
        <w:numPr>
          <w:ilvl w:val="0"/>
          <w:numId w:val="3"/>
        </w:numPr>
        <w:bidi/>
        <w:spacing w:after="50" w:before="50"/>
        <w:jc w:val="right"/>
      </w:pPr>
      <w:r>
        <w:rPr>
          <w:rFonts w:ascii="Arial" w:cs="Arial" w:eastAsia="Arial" w:hAnsi="Arial"/>
          <w:color w:val="0A0A0A"/>
          <w:sz w:val="20"/>
          <w:szCs w:val="20"/>
          <w:rtl/>
        </w:rPr>
        <w:t xml:space="preserve">الحصول على متوسط سعر الوحدة والهامش/العمولة لـRay Residence وAgile Business Complex وSpinner Towers، وبناء مصفوفة حساسية العائد (B2). [C1]</w:t>
      </w:r>
    </w:p>
    <w:p>
      <w:pPr>
        <w:pStyle w:val="ListParagraph"/>
        <w:numPr>
          <w:ilvl w:val="0"/>
          <w:numId w:val="3"/>
        </w:numPr>
        <w:bidi/>
        <w:spacing w:after="50" w:before="50"/>
        <w:jc w:val="right"/>
      </w:pPr>
      <w:r>
        <w:rPr>
          <w:rFonts w:ascii="Arial" w:cs="Arial" w:eastAsia="Arial" w:hAnsi="Arial"/>
          <w:color w:val="0A0A0A"/>
          <w:sz w:val="20"/>
          <w:szCs w:val="20"/>
          <w:rtl/>
        </w:rPr>
        <w:t xml:space="preserve">إعادة حساب ميزانية 1–2 مليون جنيه من القاعدة للنطاق الفعلي من 9 مراحل — عدم نقل رقم الصفحة الواحدة دون تغيير (B1، B3). [C2]</w:t>
      </w:r>
    </w:p>
    <w:p>
      <w:pPr>
        <w:pStyle w:val="ListParagraph"/>
        <w:numPr>
          <w:ilvl w:val="0"/>
          <w:numId w:val="3"/>
        </w:numPr>
        <w:bidi/>
        <w:spacing w:after="50" w:before="50"/>
        <w:jc w:val="right"/>
      </w:pPr>
      <w:r>
        <w:rPr>
          <w:rFonts w:ascii="Arial" w:cs="Arial" w:eastAsia="Arial" w:hAnsi="Arial"/>
          <w:color w:val="0A0A0A"/>
          <w:sz w:val="20"/>
          <w:szCs w:val="20"/>
          <w:rtl/>
        </w:rPr>
        <w:t xml:space="preserve">استبدال افتراض تحويل الحاضرين إلى عقود (6.7–23.3%) برقم مُدعَّم بمعايير مرجعية ومنهجية مذكورة، أو تنفيذ B12 (فعالية بمسارين) لجعل النهاية العليا منطقية لمجموعة فرعية مؤهَّلة مسبقاً. [C3]</w:t>
      </w:r>
    </w:p>
    <w:p>
      <w:pPr>
        <w:pStyle w:val="ListParagraph"/>
        <w:numPr>
          <w:ilvl w:val="0"/>
          <w:numId w:val="3"/>
        </w:numPr>
        <w:bidi/>
        <w:spacing w:after="50" w:before="50"/>
        <w:jc w:val="right"/>
      </w:pPr>
      <w:r>
        <w:rPr>
          <w:rFonts w:ascii="Arial" w:cs="Arial" w:eastAsia="Arial" w:hAnsi="Arial"/>
          <w:color w:val="0A0A0A"/>
          <w:sz w:val="20"/>
          <w:szCs w:val="20"/>
          <w:rtl/>
        </w:rPr>
        <w:t xml:space="preserve">تحديد حجم واستيراد قاعدة بيانات عملاء/عملاء محتملين Radix الحالية الفعلية قبل معاملة المرحلة 0 كـ‘تدقيق’ (B5). [C4]</w:t>
      </w:r>
    </w:p>
    <w:p>
      <w:pPr>
        <w:pStyle w:val="ListParagraph"/>
        <w:numPr>
          <w:ilvl w:val="0"/>
          <w:numId w:val="3"/>
        </w:numPr>
        <w:bidi/>
        <w:spacing w:after="50" w:before="50"/>
        <w:jc w:val="right"/>
      </w:pPr>
      <w:r>
        <w:rPr>
          <w:rFonts w:ascii="Arial" w:cs="Arial" w:eastAsia="Arial" w:hAnsi="Arial"/>
          <w:color w:val="0A0A0A"/>
          <w:sz w:val="20"/>
          <w:szCs w:val="20"/>
          <w:rtl/>
        </w:rPr>
        <w:t xml:space="preserve">إعادة فحص نسبة 300←120–150 (مؤهَّل إلى حاضر) مقابل معايير RSVP/الحضور الواقعية؛ تبني بروتوكول RSVP لـ30 يوماً (B6). [C5]</w:t>
      </w:r>
    </w:p>
    <w:p>
      <w:pPr>
        <w:pStyle w:val="ListParagraph"/>
        <w:numPr>
          <w:ilvl w:val="0"/>
          <w:numId w:val="3"/>
        </w:numPr>
        <w:bidi/>
        <w:spacing w:after="50" w:before="50"/>
        <w:jc w:val="right"/>
      </w:pPr>
      <w:r>
        <w:rPr>
          <w:rFonts w:ascii="Arial" w:cs="Arial" w:eastAsia="Arial" w:hAnsi="Arial"/>
          <w:color w:val="0A0A0A"/>
          <w:sz w:val="20"/>
          <w:szCs w:val="20"/>
          <w:rtl/>
        </w:rPr>
        <w:t xml:space="preserve">تحديد معادلة تقييم العملاء المحتملين — المقاييس، الترجيحات، وحدود حار/دافئ/بارد — لكل من 5 عناصر التقييم (B4). [C6]</w:t>
      </w:r>
    </w:p>
    <w:p>
      <w:pPr>
        <w:pStyle w:val="ListParagraph"/>
        <w:numPr>
          <w:ilvl w:val="0"/>
          <w:numId w:val="3"/>
        </w:numPr>
        <w:bidi/>
        <w:spacing w:after="50" w:before="50"/>
        <w:jc w:val="right"/>
      </w:pPr>
      <w:r>
        <w:rPr>
          <w:rFonts w:ascii="Arial" w:cs="Arial" w:eastAsia="Arial" w:hAnsi="Arial"/>
          <w:color w:val="0A0A0A"/>
          <w:sz w:val="20"/>
          <w:szCs w:val="20"/>
          <w:rtl/>
        </w:rPr>
        <w:t xml:space="preserve">بناء جدول زمني شهر بشهر لعام 2026 يُغطّي كل 9 المراحل، بمدد ومحطات (B1). [C7]</w:t>
      </w:r>
    </w:p>
    <w:p>
      <w:pPr>
        <w:pStyle w:val="ListParagraph"/>
        <w:numPr>
          <w:ilvl w:val="0"/>
          <w:numId w:val="3"/>
        </w:numPr>
        <w:bidi/>
        <w:spacing w:after="50" w:before="50"/>
        <w:jc w:val="right"/>
      </w:pPr>
      <w:r>
        <w:rPr>
          <w:rFonts w:ascii="Arial" w:cs="Arial" w:eastAsia="Arial" w:hAnsi="Arial"/>
          <w:color w:val="0A0A0A"/>
          <w:sz w:val="20"/>
          <w:szCs w:val="20"/>
          <w:rtl/>
        </w:rPr>
        <w:t xml:space="preserve">دمج الحِزَم الأربعة ‘النهائية’ لمجلس الإدارة في مستند واحد؛ كتابة أو حذف الملاحق العشرين العامة (B10). [C8]</w:t>
      </w:r>
    </w:p>
    <w:p>
      <w:pPr>
        <w:pStyle w:val="ListParagraph"/>
        <w:numPr>
          <w:ilvl w:val="0"/>
          <w:numId w:val="3"/>
        </w:numPr>
        <w:bidi/>
        <w:spacing w:after="50" w:before="50"/>
        <w:jc w:val="right"/>
      </w:pPr>
      <w:r>
        <w:rPr>
          <w:rFonts w:ascii="Arial" w:cs="Arial" w:eastAsia="Arial" w:hAnsi="Arial"/>
          <w:color w:val="0A0A0A"/>
          <w:sz w:val="20"/>
          <w:szCs w:val="20"/>
          <w:rtl/>
        </w:rPr>
        <w:t xml:space="preserve">تعيين مسؤول مُسمَّى (فريق داخلي / وكالة خارجية / مزيج) لكل مرحلة (B1). [H1]</w:t>
      </w:r>
    </w:p>
    <w:p>
      <w:pPr>
        <w:pStyle w:val="ListParagraph"/>
        <w:numPr>
          <w:ilvl w:val="0"/>
          <w:numId w:val="3"/>
        </w:numPr>
        <w:bidi/>
        <w:spacing w:after="50" w:before="50"/>
        <w:jc w:val="right"/>
      </w:pPr>
      <w:r>
        <w:rPr>
          <w:rFonts w:ascii="Arial" w:cs="Arial" w:eastAsia="Arial" w:hAnsi="Arial"/>
          <w:color w:val="0A0A0A"/>
          <w:sz w:val="20"/>
          <w:szCs w:val="20"/>
          <w:rtl/>
        </w:rPr>
        <w:t xml:space="preserve">تحديد بروتوكول المتابعة بعد الفعالية الذي تُمَوِّله نسبة 20% ‘المتابعة’ (B6). [H2]</w:t>
      </w:r>
    </w:p>
    <w:p>
      <w:pPr>
        <w:pStyle w:val="ListParagraph"/>
        <w:numPr>
          <w:ilvl w:val="0"/>
          <w:numId w:val="3"/>
        </w:numPr>
        <w:bidi/>
        <w:spacing w:after="50" w:before="50"/>
        <w:jc w:val="right"/>
      </w:pPr>
      <w:r>
        <w:rPr>
          <w:rFonts w:ascii="Arial" w:cs="Arial" w:eastAsia="Arial" w:hAnsi="Arial"/>
          <w:color w:val="0A0A0A"/>
          <w:sz w:val="20"/>
          <w:szCs w:val="20"/>
          <w:rtl/>
        </w:rPr>
        <w:t xml:space="preserve">تقسيم الجمهور المستهدف بحسب شريحة الدخل/القدرة المالية وربط كل شريحة بالمشروع/المشاريع المناسبة (B8). [H3]</w:t>
      </w:r>
    </w:p>
    <w:p>
      <w:pPr>
        <w:pStyle w:val="ListParagraph"/>
        <w:numPr>
          <w:ilvl w:val="0"/>
          <w:numId w:val="3"/>
        </w:numPr>
        <w:bidi/>
        <w:spacing w:after="50" w:before="50"/>
        <w:jc w:val="right"/>
      </w:pPr>
      <w:r>
        <w:rPr>
          <w:rFonts w:ascii="Arial" w:cs="Arial" w:eastAsia="Arial" w:hAnsi="Arial"/>
          <w:color w:val="0A0A0A"/>
          <w:sz w:val="20"/>
          <w:szCs w:val="20"/>
          <w:rtl/>
        </w:rPr>
        <w:t xml:space="preserve">تحديد مزيج القنوات وتكلفة العميل المحتمل لهدف الـ1,000 عميل ومطابقته مع تخصيص 40% ‘توليد العملاء المحتملين’ (B5). [H4]</w:t>
      </w:r>
    </w:p>
    <w:p>
      <w:pPr>
        <w:pStyle w:val="ListParagraph"/>
        <w:numPr>
          <w:ilvl w:val="0"/>
          <w:numId w:val="3"/>
        </w:numPr>
        <w:bidi/>
        <w:spacing w:after="50" w:before="50"/>
        <w:jc w:val="right"/>
      </w:pPr>
      <w:r>
        <w:rPr>
          <w:rFonts w:ascii="Arial" w:cs="Arial" w:eastAsia="Arial" w:hAnsi="Arial"/>
          <w:color w:val="0A0A0A"/>
          <w:sz w:val="20"/>
          <w:szCs w:val="20"/>
          <w:rtl/>
        </w:rPr>
        <w:t xml:space="preserve">تسمية 5–10 منظمات شريكة مرشَّحة/مجموعات مجتمعية قبل اعتبار ‘اكتساب الشراكات’ خطوة تخطيط مكتملة (B7). [H5]</w:t>
      </w:r>
    </w:p>
    <w:p>
      <w:pPr>
        <w:pStyle w:val="ListParagraph"/>
        <w:numPr>
          <w:ilvl w:val="0"/>
          <w:numId w:val="3"/>
        </w:numPr>
        <w:bidi/>
        <w:spacing w:after="50" w:before="50"/>
        <w:jc w:val="right"/>
      </w:pPr>
      <w:r>
        <w:rPr>
          <w:rFonts w:ascii="Arial" w:cs="Arial" w:eastAsia="Arial" w:hAnsi="Arial"/>
          <w:color w:val="0A0A0A"/>
          <w:sz w:val="20"/>
          <w:szCs w:val="20"/>
          <w:rtl/>
        </w:rPr>
        <w:t xml:space="preserve">تحديد بنية حافز إحالة وهدف إحالة لكل عميل (B9). [M1]</w:t>
      </w:r>
    </w:p>
    <w:p>
      <w:pPr>
        <w:pStyle w:val="ListParagraph"/>
        <w:numPr>
          <w:ilvl w:val="0"/>
          <w:numId w:val="3"/>
        </w:numPr>
        <w:bidi/>
        <w:spacing w:after="50" w:before="50"/>
        <w:jc w:val="right"/>
      </w:pPr>
      <w:r>
        <w:rPr>
          <w:rFonts w:ascii="Arial" w:cs="Arial" w:eastAsia="Arial" w:hAnsi="Arial"/>
          <w:color w:val="0A0A0A"/>
          <w:sz w:val="20"/>
          <w:szCs w:val="20"/>
          <w:rtl/>
        </w:rPr>
        <w:t xml:space="preserve">ذكر افتراض سعر الصرف ريال/جنيه وإضافة بند احتياطي للصرف على تكاليف الفعالية (B11). [M2]</w:t>
      </w:r>
    </w:p>
    <w:p>
      <w:pPr>
        <w:pStyle w:val="ListParagraph"/>
        <w:numPr>
          <w:ilvl w:val="0"/>
          <w:numId w:val="3"/>
        </w:numPr>
        <w:bidi/>
        <w:spacing w:after="50" w:before="50"/>
        <w:jc w:val="right"/>
      </w:pPr>
      <w:r>
        <w:rPr>
          <w:rFonts w:ascii="Arial" w:cs="Arial" w:eastAsia="Arial" w:hAnsi="Arial"/>
          <w:color w:val="0A0A0A"/>
          <w:sz w:val="20"/>
          <w:szCs w:val="20"/>
          <w:rtl/>
        </w:rPr>
        <w:t xml:space="preserve">حذف أو تأجيل رسمي لـ‘التوسّع إلى جدة/المنطقة الشرقية’ إلى أن تتوفر بيانات المشروع التجريبي بالرياض (B1). [M3]</w:t>
      </w:r>
    </w:p>
    <w:p>
      <w:pPr>
        <w:pStyle w:val="ListParagraph"/>
        <w:numPr>
          <w:ilvl w:val="0"/>
          <w:numId w:val="3"/>
        </w:numPr>
        <w:bidi/>
        <w:spacing w:after="50" w:before="50"/>
        <w:jc w:val="right"/>
      </w:pPr>
      <w:r>
        <w:rPr>
          <w:rFonts w:ascii="Arial" w:cs="Arial" w:eastAsia="Arial" w:hAnsi="Arial"/>
          <w:color w:val="0A0A0A"/>
          <w:sz w:val="20"/>
          <w:szCs w:val="20"/>
          <w:rtl/>
        </w:rPr>
        <w:t xml:space="preserve">توضيح ما إذا كان ‘التطوّر’ من قائد بفعالية إلى نموذج CRM/مجتمعي يعكس تحليلاً خاصاً بـRadix أم قالباً مُعاد استخدامه — وفي الحالة الثانية، إعادة عمل الأجزاء الخاصة بالرياض (§1.3). [M4]</w:t>
      </w:r>
    </w:p>
    <w:p>
      <w:pPr>
        <w:pStyle w:val="ListParagraph"/>
        <w:numPr>
          <w:ilvl w:val="0"/>
          <w:numId w:val="3"/>
        </w:numPr>
        <w:bidi/>
        <w:spacing w:after="50" w:before="50"/>
        <w:jc w:val="right"/>
      </w:pPr>
      <w:r>
        <w:rPr>
          <w:rFonts w:ascii="Arial" w:cs="Arial" w:eastAsia="Arial" w:hAnsi="Arial"/>
          <w:color w:val="0A0A0A"/>
          <w:sz w:val="20"/>
          <w:szCs w:val="20"/>
          <w:rtl/>
        </w:rPr>
        <w:t xml:space="preserve">تطوير استراتيجية السفارة بما يتجاوز جملة واحدة في الأسئلة المتوقعة: تسمية جهة اتصال، تحديد طلب واضح، ووضع جدول زمني للتواصل (§3 المحور 10). [M5]</w:t>
      </w:r>
    </w:p>
    <w:p>
      <w:pPr>
        <w:pStyle w:val="ListParagraph"/>
        <w:numPr>
          <w:ilvl w:val="0"/>
          <w:numId w:val="3"/>
        </w:numPr>
        <w:bidi/>
        <w:spacing w:after="50" w:before="50"/>
        <w:jc w:val="right"/>
      </w:pPr>
      <w:r>
        <w:rPr>
          <w:rFonts w:ascii="Arial" w:cs="Arial" w:eastAsia="Arial" w:hAnsi="Arial"/>
          <w:color w:val="0A0A0A"/>
          <w:sz w:val="20"/>
          <w:szCs w:val="20"/>
          <w:rtl/>
        </w:rPr>
        <w:t xml:space="preserve">توحيد اسم المشروع عبر كل المستندات (‘Radix Investors Circle 2026’ موصى به لأنه الأكثر استخداماً) (B10). [L1]</w:t>
      </w:r>
    </w:p>
    <w:p>
      <w:pPr>
        <w:pStyle w:val="ListParagraph"/>
        <w:numPr>
          <w:ilvl w:val="0"/>
          <w:numId w:val="3"/>
        </w:numPr>
        <w:bidi/>
        <w:spacing w:after="50" w:before="50"/>
        <w:jc w:val="right"/>
      </w:pPr>
      <w:r>
        <w:rPr>
          <w:rFonts w:ascii="Arial" w:cs="Arial" w:eastAsia="Arial" w:hAnsi="Arial"/>
          <w:color w:val="0A0A0A"/>
          <w:sz w:val="20"/>
          <w:szCs w:val="20"/>
          <w:rtl/>
        </w:rPr>
        <w:t xml:space="preserve">مطابقة جدولَي الإكسل التشغيليين في مخطط مسار/CRM واحد متّسق قبل تعبئة أي منهما بالبيانات (B10). [L2]</w:t>
      </w:r>
    </w:p>
    <w:p>
      <w:pPr>
        <w:pStyle w:val="Heading2"/>
        <w:bidi/>
        <w:spacing w:after="100" w:before="280"/>
        <w:jc w:val="right"/>
      </w:pPr>
      <w:r>
        <w:rPr>
          <w:rFonts w:ascii="Arial" w:cs="Arial" w:eastAsia="Arial" w:hAnsi="Arial"/>
          <w:b/>
          <w:bCs/>
          <w:color w:val="1A2B4A"/>
          <w:sz w:val="26"/>
          <w:szCs w:val="26"/>
          <w:rtl/>
        </w:rPr>
        <w:t xml:space="preserve">10.6 الملخص التنفيذي النهائي</w:t>
      </w:r>
    </w:p>
    <w:p>
      <w:pPr>
        <w:bidi/>
        <w:spacing w:after="60" w:before="60"/>
        <w:jc w:val="right"/>
      </w:pPr>
      <w:r>
        <w:rPr>
          <w:rFonts w:ascii="Arial" w:cs="Arial" w:eastAsia="Arial" w:hAnsi="Arial"/>
          <w:color w:val="0A0A0A"/>
          <w:sz w:val="21"/>
          <w:szCs w:val="21"/>
          <w:rtl/>
        </w:rPr>
        <w:t xml:space="preserve">يحمل مقترح Radix Investors Circle 2026 حدساً استراتيجياً سليماً — بناء مجتمع مستثمرين دائم ومدعوم بـCRM في الرياض، بدلاً من الاعتماد على حضور معارض لمرة واحدة — وهذا الحدس متوافق مع أنماط موثَّقة لفعاليات الجاليات (تم التحقق منه بشكل مستقل عبر البحث المرجعي 01–05). على هذا الأساس فقط، يستحق المشروع المتابعة بصيغة ما.</w:t>
      </w:r>
    </w:p>
    <w:p>
      <w:pPr>
        <w:bidi/>
        <w:spacing w:after="60" w:before="60"/>
        <w:jc w:val="right"/>
      </w:pPr>
      <w:r>
        <w:rPr>
          <w:rFonts w:ascii="Arial" w:cs="Arial" w:eastAsia="Arial" w:hAnsi="Arial"/>
          <w:color w:val="0A0A0A"/>
          <w:sz w:val="21"/>
          <w:szCs w:val="21"/>
          <w:rtl/>
        </w:rPr>
        <w:t xml:space="preserve">لكن الملف المُقدَّم للموافقة المجلسية لا يدعم حتى الآن قرار ميزانية. عبر خمسة أجيال من المستندات — من نسخة أصلية بصفحة واحدة إلى أربع حِزَم ‘نهائية’ لمجلس الإدارة — لم تتغيّر الأرقام الأساسية (120–150 حاضراً، 10–35 وحدة مُباعة، ميزانية 1–2 مليون جنيه)، حتى مع توسّع النموذج الأساسي بحوالي 9 مرات في النطاق (فعالية واحدة ← تسع مراحل، ست منها تسبق الفعالية). وجدولا ‘نظام’ تشغيليين يمتدّان على 18 تبويب إكسل يحتويان صفر بيانات وصفر معادلات. و‘ROIA’ يظهر كخلية موسومة فارغة. وأحد المستندات ‘النهائية’ الأربعة لمجلس الإدارة يحتوي عشرين ملحقاً نص عام متطابقاً حرفياً.</w:t>
      </w:r>
    </w:p>
    <w:p>
      <w:pPr>
        <w:bidi/>
        <w:spacing w:after="60" w:before="60"/>
        <w:jc w:val="right"/>
      </w:pPr>
      <w:r>
        <w:rPr>
          <w:rFonts w:ascii="Arial" w:cs="Arial" w:eastAsia="Arial" w:hAnsi="Arial"/>
          <w:b/>
          <w:bCs/>
          <w:color w:val="0A0A0A"/>
          <w:sz w:val="21"/>
          <w:szCs w:val="21"/>
          <w:rtl/>
        </w:rPr>
        <w:t xml:space="preserve">التوصية هي بالتالي No-Go على طلب 1–2 مليون جنيه كما هو موثَّق حالياً، مع مسار مشروط: تمويل مرحلة استكشاف صغيرة (~10–15% من الميزانية) تشمل تدقيق CRM، إعادة تنشيط العملاء، ورسم خريطة المجتمع، ومطالبة بخطة مُعاد بناء أساسها ومُفصَّلة بنداً بند — تتناول العناصر العشرين في §10.5 — قبل الإفراج عن باقي المبلغ. هذا يحافظ على الفكرة الجوهرية بينما يستبدل ‘الموافقة على كل شيء الآن، اعتماداً على الثقة’ بـ‘الموافقة على الخطوة الأولى، وحسم باقي القرار بمعلومات حقيقية’.</w:t>
      </w:r>
    </w:p>
    <w:p>
      <w:pPr>
        <w:bidi/>
        <w:spacing w:after="0" w:before="360"/>
        <w:jc w:val="center"/>
      </w:pPr>
      <w:r>
        <w:rPr>
          <w:rFonts w:ascii="Arial" w:cs="Arial" w:eastAsia="Arial" w:hAnsi="Arial"/>
          <w:color w:val="6B7280"/>
          <w:sz w:val="17"/>
          <w:szCs w:val="17"/>
          <w:rtl/>
        </w:rPr>
        <w:t xml:space="preserve">Radix Investors Circle 2026 — تقرير تدقيق مستقل  ·  سري — لاستخدام مجلس الإدارة فقط  ·  يونيو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3F4F6" w:sz="4"/>
      </w:pBdr>
      <w:bidi/>
      <w:jc w:val="center"/>
    </w:pPr>
    <w:r>
      <w:rPr>
        <w:rFonts w:ascii="Arial" w:cs="Arial" w:eastAsia="Arial" w:hAnsi="Arial"/>
        <w:color w:val="6B7280"/>
        <w:sz w:val="18"/>
        <w:szCs w:val="18"/>
        <w:rtl/>
      </w:rPr>
      <w:t xml:space="preserve">صفحة </w:t>
    </w:r>
    <w:r>
      <w:rPr>
        <w:rFonts w:ascii="Arial" w:cs="Arial" w:eastAsia="Arial" w:hAnsi="Arial"/>
        <w:color w:val="C49A22"/>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22" w:sz="6"/>
      </w:pBdr>
      <w:bidi/>
    </w:pPr>
    <w:r>
      <w:rPr>
        <w:rFonts w:ascii="Arial" w:cs="Arial" w:eastAsia="Arial" w:hAnsi="Arial"/>
        <w:b/>
        <w:bCs/>
        <w:color w:val="1A2B4A"/>
        <w:sz w:val="18"/>
        <w:szCs w:val="18"/>
        <w:rtl/>
      </w:rPr>
      <w:t xml:space="preserve">Radix Investors Circle 2026</w:t>
    </w:r>
    <w:r>
      <w:rPr>
        <w:rFonts w:ascii="Arial" w:cs="Arial" w:eastAsia="Arial" w:hAnsi="Arial"/>
        <w:color w:val="6B7280"/>
        <w:sz w:val="16"/>
        <w:szCs w:val="16"/>
        <w:rtl/>
      </w:rPr>
      <w:t xml:space="preserve">   |   تقرير تدقيق مستقل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440"/>
      <w:jc w:val="right"/>
      <w:outlineLvl w:val="0"/>
    </w:pPr>
    <w:rPr>
      <w:rFonts w:ascii="Arial" w:cs="Arial" w:eastAsia="Arial" w:hAnsi="Arial"/>
      <w:b/>
      <w:bCs/>
      <w:sz w:val="32"/>
      <w:szCs w:val="32"/>
      <w:rtl/>
    </w:rPr>
  </w:style>
  <w:style w:type="paragraph" w:styleId="Heading2">
    <w:name w:val="Heading 2"/>
    <w:basedOn w:val="Normal"/>
    <w:next w:val="Normal"/>
    <w:qFormat/>
    <w:pPr>
      <w:bidi/>
      <w:spacing w:after="100" w:before="280"/>
      <w:jc w:val="right"/>
      <w:outlineLvl w:val="1"/>
    </w:pPr>
    <w:rPr>
      <w:rFonts w:ascii="Arial" w:cs="Arial" w:eastAsia="Arial" w:hAnsi="Arial"/>
      <w:b/>
      <w:bCs/>
      <w:sz w:val="26"/>
      <w:szCs w:val="26"/>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2026-06-16T15:02:51.437Z</dcterms:created>
  <dcterms:modified xsi:type="dcterms:W3CDTF">2026-06-16T15:02:51.437Z</dcterms:modified>
</cp:coreProperties>
</file>

<file path=docProps/custom.xml><?xml version="1.0" encoding="utf-8"?>
<Properties xmlns="http://schemas.openxmlformats.org/officeDocument/2006/custom-properties" xmlns:vt="http://schemas.openxmlformats.org/officeDocument/2006/docPropsVTypes"/>
</file>