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4.png" ContentType="image/png"/>
  <Override PartName="/word/media/rId31.png" ContentType="image/png"/>
  <Override PartName="/word/media/rId28.png" ContentType="image/png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cc6f5752e051e06e7f7bd9e5ba1bba5a8f921b"/>
      <w:r>
        <w:t xml:space="preserve">Fuzzy procjena kvaliteta softvera – Mamdani sistem</w:t>
      </w:r>
      <w:bookmarkEnd w:id="20"/>
    </w:p>
    <w:p>
      <w:pPr>
        <w:pStyle w:val="FirstParagraph"/>
      </w:pPr>
      <w:r>
        <w:rPr>
          <w:b/>
        </w:rPr>
        <w:t xml:space="preserve">Implementacija na datasetu softverskih repozitorija (Spring, Junit)</w:t>
      </w:r>
      <w:r>
        <w:t xml:space="preserve"> </w:t>
      </w:r>
      <w:r>
        <w:t xml:space="preserve">Student: Islam Habibović · Tema 11 · Juni 2026.</w:t>
      </w:r>
    </w:p>
    <w:p>
      <w:pPr>
        <w:pStyle w:val="Heading2"/>
      </w:pPr>
      <w:bookmarkStart w:id="21" w:name="uvod"/>
      <w:r>
        <w:t xml:space="preserve">1. Uvod</w:t>
      </w:r>
      <w:bookmarkEnd w:id="21"/>
    </w:p>
    <w:p>
      <w:pPr>
        <w:pStyle w:val="FirstParagraph"/>
      </w:pPr>
      <w:r>
        <w:t xml:space="preserve">Nakon analize reprezentativnosti dataseta (zaseban dokument), pristupljeno je izradi Mamdani fuzzy sistema na dostavljenim podacima. U skladu sa zahtjevom, korišten je isključivo Mamdani tip sistema. Cilj je iz tri interna atributa kvaliteta procijeniti ukupan kvalitet verzije softvera i tu procjenu uporediti sa stvarnim udjelom problematičnih klasa.</w:t>
      </w:r>
    </w:p>
    <w:p>
      <w:pPr>
        <w:pStyle w:val="BodyText"/>
      </w:pPr>
      <w:r>
        <w:t xml:space="preserve">Bitno je naglasiti da su mjerena samo dva projekta (Spring i Junit), svaki kroz šest verzija. Zbog toga su svi rezultati u ovom dokumentu ilustrativni i tumače se uz ograničenja navedena u poglavlju 7.</w:t>
      </w:r>
    </w:p>
    <w:p>
      <w:pPr>
        <w:pStyle w:val="Heading2"/>
      </w:pPr>
      <w:bookmarkStart w:id="22" w:name="izvođenje-ulaznih-i-izlazne-varijable"/>
      <w:r>
        <w:t xml:space="preserve">2. Izvođenje ulaznih i izlazne varijable</w:t>
      </w:r>
      <w:bookmarkEnd w:id="22"/>
    </w:p>
    <w:p>
      <w:pPr>
        <w:pStyle w:val="FirstParagraph"/>
      </w:pPr>
      <w:r>
        <w:t xml:space="preserve">Dataset ne sadrži gotove kolone Maintainability, Complexity i Reliability, pa su one izvedene iz strukturnih metrika. Izbor je vođen temeljnim internim atributima kvaliteta iz priloženog rječnika (attribute-details.csv): Size, Complexity i Coupling. Svaka izvedena varijabla je skalirana na 0–100 na osnovu raspona u samim podacima.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Varijabla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Izvođenje i tumačenje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p>
            <w:pPr>
              <w:pStyle w:val="Compact"/>
              <w:jc w:val="left"/>
            </w:pPr>
            <w:r>
              <w:t xml:space="preserve">skalirano (LOC / broj klasa) – veće prosječne klase znače veću složenost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100 − skalirano (klasa / paket) – manje klasa po paketu znači bolju modularnost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100 − skalirano (eksterne klase / klase) – manja povezanost s tuđim kodom (CBO) znači veću pouzdanost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(target)</w:t>
            </w:r>
          </w:p>
        </w:tc>
        <w:tc>
          <w:p>
            <w:pPr>
              <w:pStyle w:val="Compact"/>
              <w:jc w:val="left"/>
            </w:pPr>
            <w:r>
              <w:t xml:space="preserve">100 − skalirano (% problematičnih klasa) – manje problema znači veći kvalitet</w:t>
            </w:r>
          </w:p>
        </w:tc>
      </w:tr>
    </w:tbl>
    <w:p>
      <w:pPr>
        <w:pStyle w:val="BodyText"/>
      </w:pPr>
      <w:r>
        <w:t xml:space="preserve">Za klasifikacionu evaluaciju izveden je i binarni razred: verzija je „problematična" ako joj je udio problematičnih klasa iznad medijane, inače „čista".</w:t>
      </w:r>
    </w:p>
    <w:p>
      <w:pPr>
        <w:pStyle w:val="Heading2"/>
      </w:pPr>
      <w:bookmarkStart w:id="23" w:name="Xd563343a42f346df698e349ca26e2d070639c04"/>
      <w:r>
        <w:t xml:space="preserve">3. Funkcije pripadnosti izvedene iz podataka</w:t>
      </w:r>
      <w:bookmarkEnd w:id="23"/>
    </w:p>
    <w:p>
      <w:pPr>
        <w:pStyle w:val="FirstParagraph"/>
      </w:pPr>
      <w:r>
        <w:t xml:space="preserve">Granice skupova Low, Medium i High nisu postavljene ručno, nego su izvedene iz kvantila svake ulazne varijable. Za svaku varijablu korišteni su 25., 50. i 75. percentil kao prelomne tačke: Low = [min, min, p25, p50], Medium = [p25, p50, p75], High = [p50, p75, max, max]. Time skupovi prate stvarnu raspodjelu podataka, a ne proizvoljno odabrane granice.</w:t>
      </w:r>
    </w:p>
    <w:p>
      <w:pPr>
        <w:pStyle w:val="CaptionedFigure"/>
      </w:pPr>
      <w:r>
        <w:drawing>
          <wp:inline>
            <wp:extent cx="5334000" cy="3071090"/>
            <wp:effectExtent b="0" l="0" r="0" t="0"/>
            <wp:docPr descr="Slika 1. Funkcije pripadnosti za Complexity – prelomne tačke su kvantili podataka." title="" id="1" name="Picture"/>
            <a:graphic>
              <a:graphicData uri="http://schemas.openxmlformats.org/drawingml/2006/picture">
                <pic:pic>
                  <pic:nvPicPr>
                    <pic:cNvPr descr="dark_mf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1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1. Funkcije pripadnosti za Complexity – prelomne tačke su kvantili podataka.</w:t>
      </w:r>
    </w:p>
    <w:p>
      <w:pPr>
        <w:pStyle w:val="Heading2"/>
      </w:pPr>
      <w:bookmarkStart w:id="25" w:name="mamdani-fis"/>
      <w:r>
        <w:t xml:space="preserve">4. Mamdani FIS</w:t>
      </w:r>
      <w:bookmarkEnd w:id="25"/>
    </w:p>
    <w:p>
      <w:pPr>
        <w:pStyle w:val="FirstParagraph"/>
      </w:pPr>
      <w:r>
        <w:t xml:space="preserve">Sistem ima tri ulaza (svaki sa skupovima Low/Medium/High) i izlaz Quality sa pet nivoa (VeryLow, Low, Medium, High, VeryHigh). Baza ima 27 IF–THEN pravila koja pokrivaju sve kombinacije ulaza. Logika pravila slijedi očekivane odnose: visoka održivost, niska složenost i visoka pouzdanost vode ka visokom kvalitetu, dok suprotna kombinacija vodi ka niskom. Defuzzifikacija je centroid metodom. Površina odlučivanja je glatka, bez diskontinuiteta: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Slika 2. Surface plot – Quality kao funkcija Maintainability i Complexity (Reliability = medijana)." title="" id="1" name="Picture"/>
            <a:graphic>
              <a:graphicData uri="http://schemas.openxmlformats.org/drawingml/2006/picture">
                <pic:pic>
                  <pic:nvPicPr>
                    <pic:cNvPr descr="fig_v2_surfa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2. Surface plot – Quality kao funkcija Maintainability i Complexity (Reliability = medijana).</w:t>
      </w:r>
    </w:p>
    <w:p>
      <w:pPr>
        <w:pStyle w:val="Heading2"/>
      </w:pPr>
      <w:bookmarkStart w:id="27" w:name="kvantitativna-analiza-uticaja-ulaza"/>
      <w:r>
        <w:t xml:space="preserve">5. Kvantitativna analiza uticaja ulaza</w:t>
      </w:r>
      <w:bookmarkEnd w:id="27"/>
    </w:p>
    <w:p>
      <w:pPr>
        <w:pStyle w:val="FirstParagraph"/>
      </w:pPr>
      <w:r>
        <w:t xml:space="preserve">Uticaj svake ulazne varijable na kvalitet kvantifikovan je korelacijom sa stvarnim udjelom problematičnih klasa.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Ulaz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Korelacija sa % problema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Smjer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p>
            <w:pPr>
              <w:pStyle w:val="Compact"/>
              <w:jc w:val="left"/>
            </w:pPr>
            <w:r>
              <w:t xml:space="preserve">+0.98</w:t>
            </w:r>
          </w:p>
        </w:tc>
        <w:tc>
          <w:p>
            <w:pPr>
              <w:pStyle w:val="Compact"/>
              <w:jc w:val="left"/>
            </w:pPr>
            <w:r>
              <w:t xml:space="preserve">veća složenost → više problema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−0.97</w:t>
            </w:r>
          </w:p>
        </w:tc>
        <w:tc>
          <w:p>
            <w:pPr>
              <w:pStyle w:val="Compact"/>
              <w:jc w:val="left"/>
            </w:pPr>
            <w:r>
              <w:t xml:space="preserve">veća održivost → manje problema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+0.96</w:t>
            </w:r>
          </w:p>
        </w:tc>
        <w:tc>
          <w:p>
            <w:pPr>
              <w:pStyle w:val="Compact"/>
              <w:jc w:val="left"/>
            </w:pPr>
            <w:r>
              <w:t xml:space="preserve">(anomalija malog uzorka, vidi pog. 7)</w:t>
            </w:r>
          </w:p>
        </w:tc>
      </w:tr>
    </w:tbl>
    <w:p>
      <w:pPr>
        <w:pStyle w:val="BodyText"/>
      </w:pPr>
      <w:r>
        <w:t xml:space="preserve">Senzitivna analiza (variranje jednog ulaza dok su ostali na medijani) potvrđuje smjer uticaja: Maintainability i Reliability podižu kvalitet, Complexity ga snižava.</w:t>
      </w:r>
    </w:p>
    <w:p>
      <w:pPr>
        <w:pStyle w:val="CaptionedFigure"/>
      </w:pPr>
      <w:r>
        <w:drawing>
          <wp:inline>
            <wp:extent cx="5334000" cy="1601622"/>
            <wp:effectExtent b="0" l="0" r="0" t="0"/>
            <wp:docPr descr="Slika 3. Senzitivna analiza – uticaj svake ulazne varijable na kvalitet." title="" id="1" name="Picture"/>
            <a:graphic>
              <a:graphicData uri="http://schemas.openxmlformats.org/drawingml/2006/picture">
                <pic:pic>
                  <pic:nvPicPr>
                    <pic:cNvPr descr="fig_v2_senzitivno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1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3. Senzitivna analiza – uticaj svake ulazne varijable na kvalitet.</w:t>
      </w:r>
    </w:p>
    <w:p>
      <w:pPr>
        <w:pStyle w:val="Heading2"/>
      </w:pPr>
      <w:bookmarkStart w:id="29" w:name="klasifikaciona-evaluacija"/>
      <w:r>
        <w:t xml:space="preserve">6. Klasifikaciona evaluacija</w:t>
      </w:r>
      <w:bookmarkEnd w:id="29"/>
    </w:p>
    <w:p>
      <w:pPr>
        <w:pStyle w:val="FirstParagraph"/>
      </w:pPr>
      <w:r>
        <w:t xml:space="preserve">Pošto je referentni razred binaran (problematična/čista verzija), evaluacija koristi klasifikacione mjere, a ne samo MAE/RMSE. Prag je postavljen na medijanu fuzzy izlaza: niži fuzzy kvalitet znači predikciju „problematične" verzije.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Mjera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Vrijednost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Tumačenje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sve verzije tačno klasifikovane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nema lažnih uzbuna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uhvaćene sve problematične verzije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harmonijska sredina</w:t>
            </w:r>
          </w:p>
        </w:tc>
      </w:tr>
    </w:tbl>
    <w:p>
      <w:pPr>
        <w:pStyle w:val="CaptionedFigure"/>
      </w:pPr>
      <w:r>
        <w:drawing>
          <wp:inline>
            <wp:extent cx="4389120" cy="4023360"/>
            <wp:effectExtent b="0" l="0" r="0" t="0"/>
            <wp:docPr descr="Slika 4. Matrica konfuzije – sve verzije tačno razvrstane." title="" id="1" name="Picture"/>
            <a:graphic>
              <a:graphicData uri="http://schemas.openxmlformats.org/drawingml/2006/picture">
                <pic:pic>
                  <pic:nvPicPr>
                    <pic:cNvPr descr="dark_conf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02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4. Matrica konfuzije – sve verzije tačno razvrstane.</w:t>
      </w:r>
    </w:p>
    <w:p>
      <w:pPr>
        <w:pStyle w:val="BodyText"/>
      </w:pPr>
      <w:r>
        <w:t xml:space="preserve">Klasifikacija je savršena (6 čistih i 6 problematičnih verzija tačno razvrstano). To, međutim,</w:t>
      </w:r>
      <w:r>
        <w:t xml:space="preserve"> </w:t>
      </w:r>
      <w:r>
        <w:rPr>
          <w:b/>
        </w:rPr>
        <w:t xml:space="preserve">nije</w:t>
      </w:r>
      <w:r>
        <w:t xml:space="preserve"> </w:t>
      </w:r>
      <w:r>
        <w:t xml:space="preserve">dokaz kvaliteta modela – posljedica je toga što postoje samo dva projekta koja se razlikuju po svemu, pa ih je trivijalno razdvojiti. Slaganje kontinuirane fuzzy ocjene sa stvarnim brojem problema iznosi r = −0.97 (negativan smjer je ispravan: veći kvalitet prati manje problema).</w:t>
      </w:r>
    </w:p>
    <w:p>
      <w:pPr>
        <w:pStyle w:val="CaptionedFigure"/>
      </w:pPr>
      <w:r>
        <w:drawing>
          <wp:inline>
            <wp:extent cx="5334000" cy="4005072"/>
            <wp:effectExtent b="0" l="0" r="0" t="0"/>
            <wp:docPr descr="Slika 5. Fuzzy ocjena u odnosu na stvarni udio problematičnih klasa." title="" id="1" name="Picture"/>
            <a:graphic>
              <a:graphicData uri="http://schemas.openxmlformats.org/drawingml/2006/picture">
                <pic:pic>
                  <pic:nvPicPr>
                    <pic:cNvPr descr="fig_v2_scatt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5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5. Fuzzy ocjena u odnosu na stvarni udio problematičnih klasa.</w:t>
      </w:r>
    </w:p>
    <w:p>
      <w:pPr>
        <w:pStyle w:val="Heading2"/>
      </w:pPr>
      <w:bookmarkStart w:id="32" w:name="optimizacija-i-ograničenja"/>
      <w:r>
        <w:t xml:space="preserve">7. Optimizacija i ograničenja</w:t>
      </w:r>
      <w:bookmarkEnd w:id="32"/>
    </w:p>
    <w:p>
      <w:pPr>
        <w:pStyle w:val="FirstParagraph"/>
      </w:pPr>
      <w:r>
        <w:t xml:space="preserve">Parametri izlaznih funkcija pripadnosti dodatno su podešeni optimizacijom (fminsearch iz osnovnog MATLAB-a), uz zadržavanje Mamdani strukture, da fuzzy izlaz bolje prati kontinuirani target. Korištena je fminsearch jer ne zahtijeva dodatne pakete; alternativa tunefis traži Global Optimization Toolbox koji nije bio dostupan. Optimizacija na 12 međusobno zavisnih tačaka lako vodi u preprilagođavanje, pa služi kao demonstracija metode, a ne kao pouzdano poboljšanje.</w:t>
      </w:r>
    </w:p>
    <w:p>
      <w:pPr>
        <w:pStyle w:val="BodyText"/>
      </w:pPr>
      <w:r>
        <w:t xml:space="preserve">Najvažnije ograničenje je struktura podataka. Pošto su mjerena samo dva projekta, model u suštini razdvaja Spring (svih šest verzija „problematične</w:t>
      </w:r>
      <w:r>
        <w:t xml:space="preserve">“</w:t>
      </w:r>
      <w:r>
        <w:t xml:space="preserve">) od Junit-a (svih šest „čiste</w:t>
      </w:r>
      <w:r>
        <w:t xml:space="preserve">”</w:t>
      </w:r>
      <w:r>
        <w:t xml:space="preserve">). Zato su korelacije blizu ±1 i klasifikacija savršena – ne zato što je model posebno dobar, nego zato što postoje samo dvije zaista različite tačke u podacima. Iz istog razloga se i Reliability (izvedena iz coupling-a) ponaša kontraintuitivno: Junit ima veći coupling, a manje problema. Definicija je teorijski ispravna (CBO), ali dva projekta nisu dovoljna da se potvrdi očekivani odnos.</w:t>
      </w:r>
    </w:p>
    <w:p>
      <w:pPr>
        <w:pStyle w:val="Heading2"/>
      </w:pPr>
      <w:bookmarkStart w:id="33" w:name="zaključak"/>
      <w:r>
        <w:t xml:space="preserve">8. Zaključak</w:t>
      </w:r>
      <w:bookmarkEnd w:id="33"/>
    </w:p>
    <w:p>
      <w:pPr>
        <w:pStyle w:val="FirstParagraph"/>
      </w:pPr>
      <w:r>
        <w:t xml:space="preserve">Implementiran je Mamdani sistem koji ispunjava sve postavljene zahtjeve: granice skupova izvedene iz podataka, kvantitativna analiza uticaja ulaza, optimizacija funkcija pripadnosti i klasifikaciona evaluacija primjerena binarnom razredu. Rezultati (accura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26" Target="media/rId26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2026-06-20T09:24:13Z</dcterms:created>
  <dcterms:modified xsi:type="dcterms:W3CDTF">2026-06-20T09:24:13Z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