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7.png" ContentType="image/png"/>
  <Override PartName="/word/media/rId29.png" ContentType="image/png"/>
  <Override PartName="/word/media/rId32.png" ContentType="image/png"/>
  <Override PartName="/word/media/rId3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1bbbf2014c451e4bfa6aab1fc74bfbc7d7a0cf"/>
      <w:r>
        <w:t xml:space="preserve">Analiza reprezentativnosti i validnosti dataseta</w:t>
      </w:r>
      <w:bookmarkEnd w:id="20"/>
    </w:p>
    <w:p>
      <w:pPr>
        <w:pStyle w:val="FirstParagraph"/>
      </w:pPr>
      <w:r>
        <w:rPr>
          <w:b/>
        </w:rPr>
        <w:t xml:space="preserve">Tema 11 – Fuzzy procjena kvaliteta softvera (Mamdani)</w:t>
      </w:r>
      <w:r>
        <w:t xml:space="preserve"> </w:t>
      </w:r>
      <w:r>
        <w:t xml:space="preserve">Student: Islam Habibović · Juni 2026.</w:t>
      </w:r>
    </w:p>
    <w:p>
      <w:pPr>
        <w:pStyle w:val="Heading2"/>
      </w:pPr>
      <w:bookmarkStart w:id="21" w:name="cilj-i-pristup"/>
      <w:r>
        <w:t xml:space="preserve">1. Cilj i pristup</w:t>
      </w:r>
      <w:bookmarkEnd w:id="21"/>
    </w:p>
    <w:p>
      <w:pPr>
        <w:pStyle w:val="FirstParagraph"/>
      </w:pPr>
      <w:r>
        <w:t xml:space="preserve">Prije izrade fuzzy sistema provjereno je da li je dostavljeni dataset valjan i reprezentativan. Analiza je urađena nad tri fajla:</w:t>
      </w:r>
      <w:r>
        <w:t xml:space="preserve"> </w:t>
      </w:r>
      <w:r>
        <w:rPr>
          <w:rStyle w:val="VerbatimChar"/>
        </w:rPr>
        <w:t xml:space="preserve">repositories.csv</w:t>
      </w:r>
      <w:r>
        <w:t xml:space="preserve"> </w:t>
      </w:r>
      <w:r>
        <w:t xml:space="preserve">(metapodaci o repozitorijima),</w:t>
      </w:r>
      <w:r>
        <w:t xml:space="preserve"> </w:t>
      </w:r>
      <w:r>
        <w:rPr>
          <w:rStyle w:val="VerbatimChar"/>
        </w:rPr>
        <w:t xml:space="preserve">versions.csv</w:t>
      </w:r>
      <w:r>
        <w:t xml:space="preserve"> </w:t>
      </w:r>
      <w:r>
        <w:t xml:space="preserve">(mjerene metrike po verzijama) i</w:t>
      </w:r>
      <w:r>
        <w:t xml:space="preserve"> </w:t>
      </w:r>
      <w:r>
        <w:rPr>
          <w:rStyle w:val="VerbatimChar"/>
        </w:rPr>
        <w:t xml:space="preserve">attribute-details.csv</w:t>
      </w:r>
      <w:r>
        <w:t xml:space="preserve"> </w:t>
      </w:r>
      <w:r>
        <w:t xml:space="preserve">(rječnik atributa kvaliteta).</w:t>
      </w:r>
    </w:p>
    <w:p>
      <w:pPr>
        <w:pStyle w:val="Heading2"/>
      </w:pPr>
      <w:bookmarkStart w:id="22" w:name="opis-podataka"/>
      <w:r>
        <w:t xml:space="preserve">2. Opis podataka</w:t>
      </w:r>
      <w:bookmarkEnd w:id="22"/>
    </w:p>
    <w:p>
      <w:pPr>
        <w:pStyle w:val="FirstParagraph"/>
      </w:pPr>
      <w:r>
        <w:rPr>
          <w:rStyle w:val="VerbatimChar"/>
        </w:rPr>
        <w:t xml:space="preserve">repositories.csv</w:t>
      </w:r>
      <w:r>
        <w:t xml:space="preserve"> </w:t>
      </w:r>
      <w:r>
        <w:t xml:space="preserve">sadrži 10 GitHub repozitorija (Spring, Junit5, Kafka, Lucene-Solr, Dropwizard, Checkstyle, Hadoop, Selenium, Skywalking, Signal-Android) sa metapodacima o popularnosti i aktivnosti. Potpun je, bez nedostajućih vrijednosti.</w:t>
      </w:r>
    </w:p>
    <w:p>
      <w:pPr>
        <w:pStyle w:val="BodyText"/>
      </w:pPr>
      <w:r>
        <w:rPr>
          <w:rStyle w:val="VerbatimChar"/>
        </w:rPr>
        <w:t xml:space="preserve">versions.csv</w:t>
      </w:r>
      <w:r>
        <w:t xml:space="preserve"> </w:t>
      </w:r>
      <w:r>
        <w:t xml:space="preserve">sadrži 14 redova sa mjerenim metrikama po verziji (LOC, broj klasa, broj paketa, eksterni paketi/klase, problematične i visoko problematične klase).</w:t>
      </w:r>
      <w:r>
        <w:t xml:space="preserve"> </w:t>
      </w:r>
      <w:r>
        <w:rPr>
          <w:rStyle w:val="VerbatimChar"/>
        </w:rPr>
        <w:t xml:space="preserve">attribute-details.csv</w:t>
      </w:r>
      <w:r>
        <w:t xml:space="preserve"> </w:t>
      </w:r>
      <w:r>
        <w:t xml:space="preserve">je rječnik od 47 pojmova (Coupling, Cohesion, Complexity, Size, LOC, WMC, CBO, RFC, LCOM…) i služi kao teorijska referenca.</w:t>
      </w:r>
    </w:p>
    <w:p>
      <w:pPr>
        <w:pStyle w:val="Heading2"/>
      </w:pPr>
      <w:bookmarkStart w:id="23" w:name="mjere-reprezentativnosti"/>
      <w:r>
        <w:t xml:space="preserve">3. Mjere reprezentativnosti</w:t>
      </w:r>
      <w:bookmarkEnd w:id="23"/>
    </w:p>
    <w:p>
      <w:pPr>
        <w:pStyle w:val="Heading3"/>
      </w:pPr>
      <w:bookmarkStart w:id="24" w:name="pokrivenost-projekata"/>
      <w:r>
        <w:t xml:space="preserve">3.1 Pokrivenost projekata</w:t>
      </w:r>
      <w:bookmarkEnd w:id="24"/>
    </w:p>
    <w:p>
      <w:pPr>
        <w:pStyle w:val="FirstParagraph"/>
      </w:pPr>
      <w:r>
        <w:t xml:space="preserve">Iako su navedena 10 repozitorija, stvarne metrike postoje samo za dva – Spring i Junit5. Pokrivenost na nivou projekta je</w:t>
      </w:r>
      <w:r>
        <w:t xml:space="preserve"> </w:t>
      </w:r>
      <w:r>
        <w:rPr>
          <w:b/>
        </w:rPr>
        <w:t xml:space="preserve">20%</w:t>
      </w:r>
      <w:r>
        <w:t xml:space="preserve">.</w:t>
      </w:r>
    </w:p>
    <w:p>
      <w:pPr>
        <w:pStyle w:val="CaptionedFigure"/>
      </w:pPr>
      <w:r>
        <w:drawing>
          <wp:inline>
            <wp:extent cx="5334000" cy="2747818"/>
            <wp:effectExtent b="0" l="0" r="0" t="0"/>
            <wp:docPr descr="Slika 1. Mjereno samo 2 od 10 repozitorija." title="" id="1" name="Picture"/>
            <a:graphic>
              <a:graphicData uri="http://schemas.openxmlformats.org/drawingml/2006/picture">
                <pic:pic>
                  <pic:nvPicPr>
                    <pic:cNvPr descr="rep_fig1_cover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1. Mjereno samo 2 od 10 repozitorija.</w:t>
      </w:r>
    </w:p>
    <w:p>
      <w:pPr>
        <w:pStyle w:val="Heading3"/>
      </w:pPr>
      <w:bookmarkStart w:id="26" w:name="da-li-su-mjereni-projekti-tipični"/>
      <w:r>
        <w:t xml:space="preserve">3.2 Da li su mjereni projekti tipični?</w:t>
      </w:r>
      <w:bookmarkEnd w:id="26"/>
    </w:p>
    <w:p>
      <w:pPr>
        <w:pStyle w:val="FirstParagraph"/>
      </w:pPr>
      <w:r>
        <w:t xml:space="preserve">Dva mjerena projekta ne predstavljaju prosječan projekat nego dva ekstrema: Spring je u vrhu popularnosti (Star/Fork/Watch ~90. percentil), Junit5 pri dnu (~0–10. percentil). Sredina raspona nije zastupljena.</w:t>
      </w:r>
    </w:p>
    <w:p>
      <w:pPr>
        <w:pStyle w:val="CaptionedFigure"/>
      </w:pPr>
      <w:r>
        <w:drawing>
          <wp:inline>
            <wp:extent cx="5334000" cy="2815166"/>
            <wp:effectExtent b="0" l="0" r="0" t="0"/>
            <wp:docPr descr="Slika 2. Percentili mjerenih projekata – grupišu se na ekstremima." title="" id="1" name="Picture"/>
            <a:graphic>
              <a:graphicData uri="http://schemas.openxmlformats.org/drawingml/2006/picture">
                <pic:pic>
                  <pic:nvPicPr>
                    <pic:cNvPr descr="rep_fig2_extremi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2. Percentili mjerenih projekata – grupišu se na ekstremima.</w:t>
      </w:r>
    </w:p>
    <w:p>
      <w:pPr>
        <w:pStyle w:val="Heading3"/>
      </w:pPr>
      <w:bookmarkStart w:id="28" w:name="kompletnost"/>
      <w:r>
        <w:t xml:space="preserve">3.3 Kompletnost</w:t>
      </w:r>
      <w:bookmarkEnd w:id="28"/>
    </w:p>
    <w:p>
      <w:pPr>
        <w:pStyle w:val="FirstParagraph"/>
      </w:pPr>
      <w:r>
        <w:t xml:space="preserve">Kolona</w:t>
      </w:r>
      <w:r>
        <w:t xml:space="preserve"> </w:t>
      </w:r>
      <w:r>
        <w:rPr>
          <w:rStyle w:val="VerbatimChar"/>
        </w:rPr>
        <w:t xml:space="preserve">Commits</w:t>
      </w:r>
      <w:r>
        <w:t xml:space="preserve"> </w:t>
      </w:r>
      <w:r>
        <w:t xml:space="preserve">nedostaje u 93% redova,</w:t>
      </w:r>
      <w:r>
        <w:t xml:space="preserve"> </w:t>
      </w:r>
      <w:r>
        <w:rPr>
          <w:rStyle w:val="VerbatimChar"/>
        </w:rPr>
        <w:t xml:space="preserve">Version Link</w:t>
      </w:r>
      <w:r>
        <w:t xml:space="preserve"> </w:t>
      </w:r>
      <w:r>
        <w:t xml:space="preserve">u 93%, osnovne metrike u 14% (dva prazna reda Kafke). Imena kolona imaju greške („Nomber</w:t>
      </w:r>
      <w:r>
        <w:t xml:space="preserve">“</w:t>
      </w:r>
      <w:r>
        <w:t xml:space="preserve">, „externanal</w:t>
      </w:r>
      <w:r>
        <w:t xml:space="preserve">”</w:t>
      </w:r>
      <w:r>
        <w:t xml:space="preserve">, „problementica") – znak ručnog, nepročišćenog unosa.</w:t>
      </w:r>
    </w:p>
    <w:p>
      <w:pPr>
        <w:pStyle w:val="CaptionedFigure"/>
      </w:pPr>
      <w:r>
        <w:drawing>
          <wp:inline>
            <wp:extent cx="5334000" cy="2743200"/>
            <wp:effectExtent b="0" l="0" r="0" t="0"/>
            <wp:docPr descr="Slika 3. Procenat nedostajućih vrijednosti po koloni." title="" id="1" name="Picture"/>
            <a:graphic>
              <a:graphicData uri="http://schemas.openxmlformats.org/drawingml/2006/picture">
                <pic:pic>
                  <pic:nvPicPr>
                    <pic:cNvPr descr="rep_fig3_miss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3. Procenat nedostajućih vrijednosti po koloni.</w:t>
      </w:r>
    </w:p>
    <w:p>
      <w:pPr>
        <w:pStyle w:val="Heading3"/>
      </w:pPr>
      <w:bookmarkStart w:id="30" w:name="nezavisnost-uzoraka"/>
      <w:r>
        <w:t xml:space="preserve">3.4 Nezavisnost uzoraka</w:t>
      </w:r>
      <w:bookmarkEnd w:id="30"/>
    </w:p>
    <w:p>
      <w:pPr>
        <w:pStyle w:val="FirstParagraph"/>
      </w:pPr>
      <w:r>
        <w:t xml:space="preserve">Od 14 redova, 12 je upotrebljivo, ali nisu nezavisni: 6 godišnjih verzija Spring-a i 6 Junit-a. Uzastopne verzije su skoro isti kod (Spring LOC raste 171.504 → 226.689), pa je efektivna veličina uzorka bliža</w:t>
      </w:r>
      <w:r>
        <w:t xml:space="preserve"> </w:t>
      </w:r>
      <w:r>
        <w:rPr>
          <w:b/>
        </w:rPr>
        <w:t xml:space="preserve">2</w:t>
      </w:r>
      <w:r>
        <w:t xml:space="preserve"> </w:t>
      </w:r>
      <w:r>
        <w:t xml:space="preserve">nego 12.</w:t>
      </w:r>
    </w:p>
    <w:p>
      <w:pPr>
        <w:pStyle w:val="Heading3"/>
      </w:pPr>
      <w:bookmarkStart w:id="31" w:name="pokrivenost-raspona"/>
      <w:r>
        <w:t xml:space="preserve">3.5 Pokrivenost raspona</w:t>
      </w:r>
      <w:bookmarkEnd w:id="31"/>
    </w:p>
    <w:p>
      <w:pPr>
        <w:pStyle w:val="FirstParagraph"/>
      </w:pPr>
      <w:r>
        <w:t xml:space="preserve">LOC ide 2.843–226.689 (≈80×), broj klasa 137–5.482 (40×), ali bez ijednog projekta srednje veličine – dva odvojena klastera sa prazninom u sredini.</w:t>
      </w:r>
    </w:p>
    <w:p>
      <w:pPr>
        <w:pStyle w:val="CaptionedFigure"/>
      </w:pPr>
      <w:r>
        <w:drawing>
          <wp:inline>
            <wp:extent cx="5334000" cy="3441290"/>
            <wp:effectExtent b="0" l="0" r="0" t="0"/>
            <wp:docPr descr="Slika 4. Dva klastera, rupa u sredini raspona." title="" id="1" name="Picture"/>
            <a:graphic>
              <a:graphicData uri="http://schemas.openxmlformats.org/drawingml/2006/picture">
                <pic:pic>
                  <pic:nvPicPr>
                    <pic:cNvPr descr="rep_fig4_klasteri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4. Dva klastera, rupa u sredini raspona.</w:t>
      </w:r>
    </w:p>
    <w:p>
      <w:pPr>
        <w:pStyle w:val="Heading3"/>
      </w:pPr>
      <w:bookmarkStart w:id="33" w:name="postoji-li-ciljna-varijabla"/>
      <w:r>
        <w:t xml:space="preserve">3.6 Postoji li ciljna varijabla?</w:t>
      </w:r>
      <w:bookmarkEnd w:id="33"/>
    </w:p>
    <w:p>
      <w:pPr>
        <w:pStyle w:val="FirstParagraph"/>
      </w:pPr>
      <w:r>
        <w:t xml:space="preserve">Iz podataka se može izvesti udio problematičnih klasa (problematične / ukupno), koji se kreće 0.73%–6.68%. Upotrebljiv kao izlazna varijabla, ali sa svega 12 vrijednosti.</w:t>
      </w:r>
    </w:p>
    <w:p>
      <w:pPr>
        <w:pStyle w:val="CaptionedFigure"/>
      </w:pPr>
      <w:r>
        <w:drawing>
          <wp:inline>
            <wp:extent cx="5334000" cy="2743200"/>
            <wp:effectExtent b="0" l="0" r="0" t="0"/>
            <wp:docPr descr="Slika 5. Mogući target – udio problematičnih klasa po verziji." title="" id="1" name="Picture"/>
            <a:graphic>
              <a:graphicData uri="http://schemas.openxmlformats.org/drawingml/2006/picture">
                <pic:pic>
                  <pic:nvPicPr>
                    <pic:cNvPr descr="rep_fig5_targe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5. Mogući target – udio problematičnih klasa po verziji.</w:t>
      </w:r>
    </w:p>
    <w:p>
      <w:pPr>
        <w:pStyle w:val="Heading2"/>
      </w:pPr>
      <w:bookmarkStart w:id="35" w:name="sažeta-ocjena"/>
      <w:r>
        <w:t xml:space="preserve">4. Sažeta ocjena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Kriterij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Ocjena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Obrazloženje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Pokrivenost projekata</w:t>
            </w:r>
          </w:p>
        </w:tc>
        <w:tc>
          <w:p>
            <w:pPr>
              <w:pStyle w:val="Compact"/>
              <w:jc w:val="left"/>
            </w:pPr>
            <w:r>
              <w:t xml:space="preserve">Slaba</w:t>
            </w:r>
          </w:p>
        </w:tc>
        <w:tc>
          <w:p>
            <w:pPr>
              <w:pStyle w:val="Compact"/>
              <w:jc w:val="left"/>
            </w:pPr>
            <w:r>
              <w:t xml:space="preserve">2 od 10 (20%)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Tipičnost uzorka</w:t>
            </w:r>
          </w:p>
        </w:tc>
        <w:tc>
          <w:p>
            <w:pPr>
              <w:pStyle w:val="Compact"/>
              <w:jc w:val="left"/>
            </w:pPr>
            <w:r>
              <w:t xml:space="preserve">Slaba</w:t>
            </w:r>
          </w:p>
        </w:tc>
        <w:tc>
          <w:p>
            <w:pPr>
              <w:pStyle w:val="Compact"/>
              <w:jc w:val="left"/>
            </w:pPr>
            <w:r>
              <w:t xml:space="preserve">dva ekstrema, nema sredine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Kompletnost</w:t>
            </w:r>
          </w:p>
        </w:tc>
        <w:tc>
          <w:p>
            <w:pPr>
              <w:pStyle w:val="Compact"/>
              <w:jc w:val="left"/>
            </w:pPr>
            <w:r>
              <w:t xml:space="preserve">Djelimična</w:t>
            </w:r>
          </w:p>
        </w:tc>
        <w:tc>
          <w:p>
            <w:pPr>
              <w:pStyle w:val="Compact"/>
              <w:jc w:val="left"/>
            </w:pPr>
            <w:r>
              <w:t xml:space="preserve">Commits i Link 93% prazni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Nezavisnost uzoraka</w:t>
            </w:r>
          </w:p>
        </w:tc>
        <w:tc>
          <w:p>
            <w:pPr>
              <w:pStyle w:val="Compact"/>
              <w:jc w:val="left"/>
            </w:pPr>
            <w:r>
              <w:t xml:space="preserve">Slaba</w:t>
            </w:r>
          </w:p>
        </w:tc>
        <w:tc>
          <w:p>
            <w:pPr>
              <w:pStyle w:val="Compact"/>
              <w:jc w:val="left"/>
            </w:pPr>
            <w:r>
              <w:t xml:space="preserve">vremenske serije 2 projekta, efektivno n≈2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Pokrivenost raspona</w:t>
            </w:r>
          </w:p>
        </w:tc>
        <w:tc>
          <w:p>
            <w:pPr>
              <w:pStyle w:val="Compact"/>
              <w:jc w:val="left"/>
            </w:pPr>
            <w:r>
              <w:t xml:space="preserve">Djelimična</w:t>
            </w:r>
          </w:p>
        </w:tc>
        <w:tc>
          <w:p>
            <w:pPr>
              <w:pStyle w:val="Compact"/>
              <w:jc w:val="left"/>
            </w:pPr>
            <w:r>
              <w:t xml:space="preserve">dva klastera, praznina u sredini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Dostupnost targeta</w:t>
            </w:r>
          </w:p>
        </w:tc>
        <w:tc>
          <w:p>
            <w:pPr>
              <w:pStyle w:val="Compact"/>
              <w:jc w:val="left"/>
            </w:pPr>
            <w:r>
              <w:t xml:space="preserve">Zadovoljava</w:t>
            </w:r>
          </w:p>
        </w:tc>
        <w:tc>
          <w:p>
            <w:pPr>
              <w:pStyle w:val="Compact"/>
              <w:jc w:val="left"/>
            </w:pPr>
            <w:r>
              <w:t xml:space="preserve">udio problematičnih klasa (0.7–6.7%)</w:t>
            </w:r>
          </w:p>
        </w:tc>
      </w:tr>
    </w:tbl>
    <w:p>
      <w:pPr>
        <w:pStyle w:val="Heading2"/>
      </w:pPr>
      <w:bookmarkStart w:id="36" w:name="zaključak-i-preporuka"/>
      <w:r>
        <w:t xml:space="preserve">5. Zaključak i preporuka</w:t>
      </w:r>
      <w:bookmarkEnd w:id="36"/>
    </w:p>
    <w:p>
      <w:pPr>
        <w:pStyle w:val="FirstParagraph"/>
      </w:pPr>
      <w:r>
        <w:t xml:space="preserve">Dataset u sadašnjem obliku nije dovoljno reprezentativan za izgradnju opšteg fuzzy modela kvaliteta. Glavni razlozi: mali broj nezavisnih projekata (efektivno dva), uzorkovanje sa ekstrema, i praznine u podacima. Model se može uraditi kao</w:t>
      </w:r>
      <w:r>
        <w:t xml:space="preserve"> </w:t>
      </w:r>
      <w:r>
        <w:rPr>
          <w:b/>
        </w:rPr>
        <w:t xml:space="preserve">demonstracioni case-study na dva projekta</w:t>
      </w:r>
      <w:r>
        <w:t xml:space="preserve">, uz jasno navedene limitacije. Za pouzdaniji rezultat trebalo bi izmjeriti više projekata različite veličine i popularnosti, tretirati verzije istog projekta kao zavisne, i očistiti podatke.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4" Target="media/rId3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2026-06-20T08:31:57Z</dcterms:created>
  <dcterms:modified xsi:type="dcterms:W3CDTF">2026-06-20T08:31:57Z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