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60"/>
        <w:jc w:val="center"/>
      </w:pPr>
      <w:r>
        <w:rPr>
          <w:rFonts w:ascii="Arial" w:cs="Arial" w:eastAsia="Arial" w:hAnsi="Arial"/>
          <w:caps/>
          <w:color w:val="595959"/>
          <w:sz w:val="20"/>
          <w:szCs w:val="20"/>
        </w:rPr>
        <w:t xml:space="preserve">MBA 5134 – RESEARCH METHODS</w:t>
      </w:r>
    </w:p>
    <w:p>
      <w:pPr>
        <w:pBdr>
          <w:bottom w:val="single" w:color="2E75B6" w:sz="12" w:space="1"/>
        </w:pBdr>
        <w:spacing w:after="80" w:before="0"/>
      </w:pPr>
    </w:p>
    <w:p>
      <w:pPr>
        <w:spacing w:after="400" w:before="0"/>
      </w:pPr>
      <w:r>
        <w:t xml:space="preserve"/>
      </w:r>
    </w:p>
    <w:p>
      <w:pPr>
        <w:spacing w:after="100"/>
        <w:jc w:val="center"/>
      </w:pPr>
      <w:r>
        <w:rPr>
          <w:rFonts w:ascii="Arial" w:cs="Arial" w:eastAsia="Arial" w:hAnsi="Arial"/>
          <w:b/>
          <w:bCs/>
          <w:caps/>
          <w:color w:val="1F3864"/>
          <w:sz w:val="40"/>
          <w:szCs w:val="40"/>
        </w:rPr>
        <w:t xml:space="preserve">RESEARCH PROPOSAL</w:t>
      </w:r>
    </w:p>
    <w:p>
      <w:pPr>
        <w:spacing w:after="60"/>
        <w:jc w:val="center"/>
      </w:pPr>
      <w:r>
        <w:rPr>
          <w:rFonts w:ascii="Arial" w:cs="Arial" w:eastAsia="Arial" w:hAnsi="Arial"/>
          <w:b/>
          <w:bCs/>
          <w:color w:val="1F3864"/>
          <w:sz w:val="32"/>
          <w:szCs w:val="32"/>
        </w:rPr>
        <w:t xml:space="preserve">The Impact of Artificial Intelligence Adoption on</w:t>
      </w:r>
    </w:p>
    <w:p>
      <w:pPr>
        <w:spacing w:after="240"/>
        <w:jc w:val="center"/>
      </w:pPr>
      <w:r>
        <w:rPr>
          <w:rFonts w:ascii="Arial" w:cs="Arial" w:eastAsia="Arial" w:hAnsi="Arial"/>
          <w:b/>
          <w:bCs/>
          <w:color w:val="2E75B6"/>
          <w:sz w:val="32"/>
          <w:szCs w:val="32"/>
        </w:rPr>
        <w:t xml:space="preserve">Business Operations Performance</w:t>
      </w:r>
    </w:p>
    <w:p>
      <w:pPr>
        <w:pBdr>
          <w:bottom w:val="single" w:color="2E75B6" w:sz="8" w:space="1"/>
        </w:pBdr>
        <w:spacing w:after="80" w:before="0"/>
      </w:pPr>
    </w:p>
    <w:p>
      <w:pPr>
        <w:spacing w:after="600" w:before="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1F3864"/>
                <w:sz w:val="20"/>
                <w:szCs w:val="20"/>
              </w:rPr>
              <w:t xml:space="preserve">Programme:</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000000"/>
                <w:sz w:val="20"/>
                <w:szCs w:val="20"/>
              </w:rPr>
              <w:t xml:space="preserve">Master of Business Administration</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1F3864"/>
                <w:sz w:val="20"/>
                <w:szCs w:val="20"/>
              </w:rPr>
              <w:t xml:space="preserve">Course Code:</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000000"/>
                <w:sz w:val="20"/>
                <w:szCs w:val="20"/>
              </w:rPr>
              <w:t xml:space="preserve">MBA 5134 – Research Methods</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1F3864"/>
                <w:sz w:val="20"/>
                <w:szCs w:val="20"/>
              </w:rPr>
              <w:t xml:space="preserve">Submission Date:</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000000"/>
                <w:sz w:val="20"/>
                <w:szCs w:val="20"/>
              </w:rPr>
              <w:t xml:space="preserve">May 2026</w:t>
            </w:r>
          </w:p>
        </w:tc>
      </w:tr>
      <w:tr>
        <w:tc>
          <w:tcPr>
            <w:tcW w:type="dxa" w:w="2200"/>
            <w:tcBorders>
              <w:top w:val="none" w:color="FFFFFF" w:sz="0"/>
              <w:left w:val="none" w:color="FFFFFF" w:sz="0"/>
              <w:bottom w:val="none" w:color="FFFFFF" w:sz="0"/>
              <w:right w:val="none" w:color="FFFFFF" w:sz="0"/>
            </w:tcBorders>
            <w:tcMar>
              <w:top w:type="dxa" w:w="60"/>
              <w:left w:type="dxa" w:w="0"/>
              <w:bottom w:type="dxa" w:w="60"/>
              <w:right w:type="dxa" w:w="100"/>
            </w:tcMar>
          </w:tcPr>
          <w:p>
            <w:r>
              <w:rPr>
                <w:rFonts w:ascii="Arial" w:cs="Arial" w:eastAsia="Arial" w:hAnsi="Arial"/>
                <w:b/>
                <w:bCs/>
                <w:color w:val="1F3864"/>
                <w:sz w:val="20"/>
                <w:szCs w:val="20"/>
              </w:rPr>
              <w:t xml:space="preserve">Study Location:</w:t>
            </w:r>
          </w:p>
        </w:tc>
        <w:tc>
          <w:tcPr>
            <w:tcW w:type="dxa" w:w="3800"/>
            <w:tcBorders>
              <w:top w:val="none" w:color="FFFFFF" w:sz="0"/>
              <w:left w:val="none" w:color="FFFFFF" w:sz="0"/>
              <w:bottom w:val="none" w:color="FFFFFF" w:sz="0"/>
              <w:right w:val="none" w:color="FFFFFF" w:sz="0"/>
            </w:tcBorders>
            <w:tcMar>
              <w:top w:type="dxa" w:w="60"/>
              <w:left w:type="dxa" w:w="100"/>
              <w:bottom w:type="dxa" w:w="60"/>
              <w:right w:type="dxa" w:w="0"/>
            </w:tcMar>
          </w:tcPr>
          <w:p>
            <w:r>
              <w:rPr>
                <w:rFonts w:ascii="Arial" w:cs="Arial" w:eastAsia="Arial" w:hAnsi="Arial"/>
                <w:color w:val="000000"/>
                <w:sz w:val="20"/>
                <w:szCs w:val="20"/>
              </w:rPr>
              <w:t xml:space="preserve">Dhaka, Bangladesh</w:t>
            </w:r>
          </w:p>
        </w:tc>
      </w:tr>
    </w:tbl>
    <w:p>
      <w:pPr>
        <w:spacing w:after="600" w:before="0"/>
      </w:pPr>
      <w:r>
        <w:t xml:space="preserve"/>
      </w:r>
    </w:p>
    <w:p>
      <w:pPr>
        <w:pBdr>
          <w:bottom w:val="single" w:color="2E75B6" w:sz="8" w:space="1"/>
        </w:pBdr>
        <w:spacing w:after="80" w:before="0"/>
      </w:pPr>
    </w:p>
    <w:p>
      <w:pPr>
        <w:spacing w:before="120"/>
        <w:jc w:val="center"/>
      </w:pPr>
      <w:r>
        <w:rPr>
          <w:rFonts w:ascii="Arial" w:cs="Arial" w:eastAsia="Arial" w:hAnsi="Arial"/>
          <w:i/>
          <w:iCs/>
          <w:color w:val="595959"/>
          <w:sz w:val="18"/>
          <w:szCs w:val="18"/>
        </w:rPr>
        <w:t xml:space="preserve">Prepared for Academic Evaluation Purposes</w:t>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Abstract</w:t>
      </w:r>
    </w:p>
    <w:p>
      <w:pPr>
        <w:spacing w:after="120" w:before="60"/>
        <w:jc w:val="both"/>
      </w:pPr>
      <w:r>
        <w:rPr>
          <w:rFonts w:ascii="Arial" w:cs="Arial" w:eastAsia="Arial" w:hAnsi="Arial"/>
          <w:color w:val="000000"/>
          <w:sz w:val="22"/>
          <w:szCs w:val="22"/>
        </w:rPr>
        <w:t xml:space="preserve">Artificial Intelligence (AI) has rapidly emerged as a defining force in modern business management, reshaping how organisations design and execute their operational processes. Despite growing investment in AI technologies, empirical evidence examining the direct relationship between AI adoption and operational performance remains limited, particularly within emerging-market contexts. This study seeks to address that gap by investigating the impact of AI adoption on business operations performance in Bangladesh. Employing a quantitative, deductive research design, data will be collected via a structured questionnaire administered to 200 employees and managers across AI-adopting organisations in Dhaka. The Technology Acceptance Model (TAM) and the Resource-Based View (RBV) together form the theoretical foundation for the study. Structural Equation Modelling (SEM) will be used to test four hypotheses linking AI adoption to operational efficiency, productivity, decision-making quality, and implementation challenges. Findings are expected to contribute to both the academic literature on digital transformation and the practical knowledge of managers making strategic AI investment decisions.</w:t>
      </w:r>
    </w:p>
    <w:p>
      <w:pPr>
        <w:spacing w:after="120" w:before="0"/>
      </w:pPr>
      <w:r>
        <w:t xml:space="preserve"/>
      </w:r>
    </w:p>
    <w:p>
      <w:pPr>
        <w:spacing w:after="120" w:before="60"/>
      </w:pPr>
      <w:r>
        <w:rPr>
          <w:rFonts w:ascii="Arial" w:cs="Arial" w:eastAsia="Arial" w:hAnsi="Arial"/>
          <w:b/>
          <w:bCs/>
          <w:sz w:val="22"/>
          <w:szCs w:val="22"/>
        </w:rPr>
        <w:t xml:space="preserve">Keywords: </w:t>
      </w:r>
      <w:r>
        <w:rPr>
          <w:rFonts w:ascii="Arial" w:cs="Arial" w:eastAsia="Arial" w:hAnsi="Arial"/>
          <w:i/>
          <w:iCs/>
          <w:sz w:val="22"/>
          <w:szCs w:val="22"/>
        </w:rPr>
        <w:t xml:space="preserve">Artificial Intelligence, Business Operations, Operational Efficiency, Productivity, Digital Transformation, Bangladesh</w:t>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1. Introduction</w:t>
      </w:r>
    </w:p>
    <w:p>
      <w:pPr>
        <w:spacing w:after="120" w:before="60"/>
        <w:jc w:val="both"/>
      </w:pPr>
      <w:r>
        <w:rPr>
          <w:rFonts w:ascii="Arial" w:cs="Arial" w:eastAsia="Arial" w:hAnsi="Arial"/>
          <w:color w:val="000000"/>
          <w:sz w:val="22"/>
          <w:szCs w:val="22"/>
        </w:rPr>
        <w:t xml:space="preserve">Artificial Intelligence (AI) has become one of the most consequential technological forces shaping the modern business environment. Broadly defined as the capability of computer systems to perform tasks that ordinarily require human intelligence — including learning, reasoning, problem-solving, speech recognition, and predictive analytics — AI is transforming how organisations compete, operate, and create value (Russell and Norvig, 2021). From machine learning algorithms and robotic process automation (RPA) to natural language processing and intelligent decision-support systems, AI applications are being deployed across every major industry sector.</w:t>
      </w:r>
    </w:p>
    <w:p>
      <w:pPr>
        <w:spacing w:after="120" w:before="60"/>
        <w:jc w:val="both"/>
      </w:pPr>
      <w:r>
        <w:rPr>
          <w:rFonts w:ascii="Arial" w:cs="Arial" w:eastAsia="Arial" w:hAnsi="Arial"/>
          <w:color w:val="000000"/>
          <w:sz w:val="22"/>
          <w:szCs w:val="22"/>
        </w:rPr>
        <w:t xml:space="preserve">Businesses in banking, retail, healthcare, logistics, manufacturing, and e-commerce have moved swiftly to integrate AI-driven tools into their core operations. These technologies assist organisations in reducing costs, minimising human error, accelerating workflow execution, and improving responsiveness to market dynamics (Davenport and Ronanki, 2018). The strategic rationale is compelling: organisations that successfully leverage AI gain measurable advantages in efficiency, customer experience, and adaptability.</w:t>
      </w:r>
    </w:p>
    <w:p>
      <w:pPr>
        <w:spacing w:after="120" w:before="60"/>
        <w:jc w:val="both"/>
      </w:pPr>
      <w:r>
        <w:rPr>
          <w:rFonts w:ascii="Arial" w:cs="Arial" w:eastAsia="Arial" w:hAnsi="Arial"/>
          <w:color w:val="000000"/>
          <w:sz w:val="22"/>
          <w:szCs w:val="22"/>
        </w:rPr>
        <w:t xml:space="preserve">Nevertheless, successful AI adoption is far from guaranteed. Many organisations face substantial barriers, including inadequate technological infrastructure, insufficient employee training, organisational resistance to change, cybersecurity vulnerabilities, and high implementation costs (Bughin et al., 2019). These challenges raise a critical question that this research seeks to answer: to what extent does AI adoption actually improve business operations performance, and under what conditions does it do so most effectively?</w:t>
      </w:r>
    </w:p>
    <w:p>
      <w:pPr>
        <w:spacing w:after="120" w:before="60"/>
        <w:jc w:val="both"/>
      </w:pPr>
      <w:r>
        <w:rPr>
          <w:rFonts w:ascii="Arial" w:cs="Arial" w:eastAsia="Arial" w:hAnsi="Arial"/>
          <w:color w:val="000000"/>
          <w:sz w:val="22"/>
          <w:szCs w:val="22"/>
        </w:rPr>
        <w:t xml:space="preserve">This proposal outlines a quantitative study designed to examine the relationship between AI adoption and key dimensions of operational performance — namely efficiency, productivity, decision-making quality, and implementation challenges — within organisations operating in Bangladesh. By grounding the investigation in established theoretical frameworks and employing rigorous statistical methods, the study aims to produce evidence-based insights of value to both academic researchers and business practitioners.</w:t>
      </w:r>
    </w:p>
    <w:p>
      <w:pPr>
        <w:pStyle w:val="Heading2"/>
        <w:spacing w:after="100" w:before="280"/>
      </w:pPr>
      <w:r>
        <w:rPr>
          <w:rFonts w:ascii="Arial" w:cs="Arial" w:eastAsia="Arial" w:hAnsi="Arial"/>
          <w:b/>
          <w:bCs/>
          <w:color w:val="2E75B6"/>
          <w:sz w:val="24"/>
          <w:szCs w:val="24"/>
        </w:rPr>
        <w:t xml:space="preserve">1.1 Background of the Study</w:t>
      </w:r>
    </w:p>
    <w:p>
      <w:pPr>
        <w:spacing w:after="120" w:before="60"/>
        <w:jc w:val="both"/>
      </w:pPr>
      <w:r>
        <w:rPr>
          <w:rFonts w:ascii="Arial" w:cs="Arial" w:eastAsia="Arial" w:hAnsi="Arial"/>
          <w:color w:val="000000"/>
          <w:sz w:val="22"/>
          <w:szCs w:val="22"/>
        </w:rPr>
        <w:t xml:space="preserve">The global acceleration of digital transformation has positioned AI as a central pillar of modern operational strategy. Early AI applications were largely confined to research laboratories and technology firms; however, sustained reductions in computing costs, the proliferation of cloud infrastructure, and the exponential growth of data have made AI economically accessible to a far broader range of organisations (Brynjolfsson and McAfee, 2017).</w:t>
      </w:r>
    </w:p>
    <w:p>
      <w:pPr>
        <w:spacing w:after="120" w:before="60"/>
        <w:jc w:val="both"/>
      </w:pPr>
      <w:r>
        <w:rPr>
          <w:rFonts w:ascii="Arial" w:cs="Arial" w:eastAsia="Arial" w:hAnsi="Arial"/>
          <w:color w:val="000000"/>
          <w:sz w:val="22"/>
          <w:szCs w:val="22"/>
        </w:rPr>
        <w:t xml:space="preserve">In manufacturing, AI enables predictive maintenance programmes that reduce equipment downtime, computer vision systems that elevate quality control precision, and autonomous production scheduling that improves throughput. In financial services, AI powers real-time fraud detection, automated credit scoring, and algorithmic trading platforms. Retail organisations exploit AI for demand forecasting, personalised recommendation engines, and dynamic pricing strategies. These examples confirm that AI adoption is not sector-specific; its operational implications extend across virtually every dimension of business activity.</w:t>
      </w:r>
    </w:p>
    <w:p>
      <w:pPr>
        <w:spacing w:after="120" w:before="60"/>
        <w:jc w:val="both"/>
      </w:pPr>
      <w:r>
        <w:rPr>
          <w:rFonts w:ascii="Arial" w:cs="Arial" w:eastAsia="Arial" w:hAnsi="Arial"/>
          <w:color w:val="000000"/>
          <w:sz w:val="22"/>
          <w:szCs w:val="22"/>
        </w:rPr>
        <w:t xml:space="preserve">Within the context of Bangladesh, the relevance of AI adoption is particularly pronounced. The country has pursued an ambitious Digital Bangladesh agenda, with significant public and private investment directed towards telecommunications infrastructure, fintech innovation, and e-commerce expansion (Bangladesh ICT Division, 2022). Sectors such as ready-made garments, banking, and mobile financial services are increasingly integrating AI-powered analytics and automation to remain competitive in global and domestic markets. Yet despite this momentum, empirical research specifically examining AI adoption and its operational consequences within the Bangladeshi business context remains sparse.</w:t>
      </w:r>
    </w:p>
    <w:p>
      <w:pPr>
        <w:spacing w:after="120" w:before="60"/>
        <w:jc w:val="both"/>
      </w:pPr>
      <w:r>
        <w:rPr>
          <w:rFonts w:ascii="Arial" w:cs="Arial" w:eastAsia="Arial" w:hAnsi="Arial"/>
          <w:color w:val="000000"/>
          <w:sz w:val="22"/>
          <w:szCs w:val="22"/>
        </w:rPr>
        <w:t xml:space="preserve">This study therefore addresses an important gap — both in terms of geography and empirical focus — by providing evidence drawn from organisations actively implementing AI in one of South Asia's fastest-growing emerging economies.</w:t>
      </w:r>
    </w:p>
    <w:p>
      <w:pPr>
        <w:pStyle w:val="Heading2"/>
        <w:spacing w:after="100" w:before="280"/>
      </w:pPr>
      <w:r>
        <w:rPr>
          <w:rFonts w:ascii="Arial" w:cs="Arial" w:eastAsia="Arial" w:hAnsi="Arial"/>
          <w:b/>
          <w:bCs/>
          <w:color w:val="2E75B6"/>
          <w:sz w:val="24"/>
          <w:szCs w:val="24"/>
        </w:rPr>
        <w:t xml:space="preserve">1.2 Problem Statement</w:t>
      </w:r>
    </w:p>
    <w:p>
      <w:pPr>
        <w:spacing w:after="120" w:before="60"/>
        <w:jc w:val="both"/>
      </w:pPr>
      <w:r>
        <w:rPr>
          <w:rFonts w:ascii="Arial" w:cs="Arial" w:eastAsia="Arial" w:hAnsi="Arial"/>
          <w:color w:val="000000"/>
          <w:sz w:val="22"/>
          <w:szCs w:val="22"/>
        </w:rPr>
        <w:t xml:space="preserve">Despite the growing organisational investment in AI technologies, significant uncertainty persists regarding the actual operational impact of these systems. Many organisations adopt AI-driven tools without a comprehensive understanding of the prerequisites for successful integration, the performance outcomes that can reasonably be expected, or the organisational and managerial conditions that determine whether AI delivers value (Davenport and Kirby, 2016).</w:t>
      </w:r>
    </w:p>
    <w:p>
      <w:pPr>
        <w:spacing w:after="120" w:before="60"/>
        <w:jc w:val="both"/>
      </w:pPr>
      <w:r>
        <w:rPr>
          <w:rFonts w:ascii="Arial" w:cs="Arial" w:eastAsia="Arial" w:hAnsi="Arial"/>
          <w:color w:val="000000"/>
          <w:sz w:val="22"/>
          <w:szCs w:val="22"/>
        </w:rPr>
        <w:t xml:space="preserve">The academic literature reflects a similar gap. While prior research has extensively examined AI from technological and strategic perspectives, fewer studies have rigorously measured the direct effect of AI adoption on specific operational performance indicators such as efficiency, productivity, and decision-making quality. This gap is further compounded in emerging-market contexts, where organisational capabilities, workforce readiness, and technological infrastructure may differ considerably from the high-income country settings that dominate the existing empirical base (Ransbotham et al., 2020).</w:t>
      </w:r>
    </w:p>
    <w:p>
      <w:pPr>
        <w:spacing w:after="120" w:before="60"/>
        <w:jc w:val="both"/>
      </w:pPr>
      <w:r>
        <w:rPr>
          <w:rFonts w:ascii="Arial" w:cs="Arial" w:eastAsia="Arial" w:hAnsi="Arial"/>
          <w:color w:val="000000"/>
          <w:sz w:val="22"/>
          <w:szCs w:val="22"/>
        </w:rPr>
        <w:t xml:space="preserve">Without a clearer understanding of how AI adoption influences operational performance — and what factors moderate that relationship — organisations risk misallocating resources, underestimating implementation complexity, and failing to realise the returns that AI investments are intended to generate. This study is designed to address this gap directly, providing empirical evidence from Bangladesh-based organisations that will be of value to both scholars and decision-makers.</w:t>
      </w:r>
    </w:p>
    <w:p>
      <w:pPr>
        <w:pStyle w:val="Heading2"/>
        <w:spacing w:after="100" w:before="280"/>
      </w:pPr>
      <w:r>
        <w:rPr>
          <w:rFonts w:ascii="Arial" w:cs="Arial" w:eastAsia="Arial" w:hAnsi="Arial"/>
          <w:b/>
          <w:bCs/>
          <w:color w:val="2E75B6"/>
          <w:sz w:val="24"/>
          <w:szCs w:val="24"/>
        </w:rPr>
        <w:t xml:space="preserve">1.3 Research Objectives</w:t>
      </w:r>
    </w:p>
    <w:p>
      <w:pPr>
        <w:spacing w:after="120" w:before="60"/>
        <w:jc w:val="both"/>
      </w:pPr>
      <w:r>
        <w:rPr>
          <w:rFonts w:ascii="Arial" w:cs="Arial" w:eastAsia="Arial" w:hAnsi="Arial"/>
          <w:color w:val="000000"/>
          <w:sz w:val="22"/>
          <w:szCs w:val="22"/>
        </w:rPr>
        <w:t xml:space="preserve">The primary objective of this study is to examine the impact of Artificial Intelligence adoption on business operations performance within organisations in Bangladesh.</w:t>
      </w:r>
    </w:p>
    <w:p>
      <w:pPr>
        <w:spacing w:after="80" w:before="0"/>
      </w:pPr>
      <w:r>
        <w:t xml:space="preserve"/>
      </w:r>
    </w:p>
    <w:p>
      <w:pPr>
        <w:spacing w:after="120" w:before="60"/>
        <w:jc w:val="both"/>
      </w:pPr>
      <w:r>
        <w:rPr>
          <w:rFonts w:ascii="Arial" w:cs="Arial" w:eastAsia="Arial" w:hAnsi="Arial"/>
          <w:b/>
          <w:bCs/>
          <w:color w:val="000000"/>
          <w:sz w:val="22"/>
          <w:szCs w:val="22"/>
        </w:rPr>
        <w:t xml:space="preserve">The specific objectives are:</w:t>
      </w:r>
    </w:p>
    <w:p>
      <w:pPr>
        <w:pStyle w:val="ListParagraph"/>
        <w:numPr>
          <w:ilvl w:val="0"/>
          <w:numId w:val="2"/>
        </w:numPr>
        <w:spacing w:after="60" w:before="40"/>
      </w:pPr>
      <w:r>
        <w:rPr>
          <w:rFonts w:ascii="Arial" w:cs="Arial" w:eastAsia="Arial" w:hAnsi="Arial"/>
          <w:sz w:val="22"/>
          <w:szCs w:val="22"/>
        </w:rPr>
        <w:t xml:space="preserve">To assess the current level of Artificial Intelligence adoption across business operations in Bangladesh.</w:t>
      </w:r>
    </w:p>
    <w:p>
      <w:pPr>
        <w:pStyle w:val="ListParagraph"/>
        <w:numPr>
          <w:ilvl w:val="0"/>
          <w:numId w:val="2"/>
        </w:numPr>
        <w:spacing w:after="60" w:before="40"/>
      </w:pPr>
      <w:r>
        <w:rPr>
          <w:rFonts w:ascii="Arial" w:cs="Arial" w:eastAsia="Arial" w:hAnsi="Arial"/>
          <w:sz w:val="22"/>
          <w:szCs w:val="22"/>
        </w:rPr>
        <w:t xml:space="preserve">To examine the relationship between AI adoption and operational efficiency.</w:t>
      </w:r>
    </w:p>
    <w:p>
      <w:pPr>
        <w:pStyle w:val="ListParagraph"/>
        <w:numPr>
          <w:ilvl w:val="0"/>
          <w:numId w:val="2"/>
        </w:numPr>
        <w:spacing w:after="60" w:before="40"/>
      </w:pPr>
      <w:r>
        <w:rPr>
          <w:rFonts w:ascii="Arial" w:cs="Arial" w:eastAsia="Arial" w:hAnsi="Arial"/>
          <w:sz w:val="22"/>
          <w:szCs w:val="22"/>
        </w:rPr>
        <w:t xml:space="preserve">To analyse the influence of AI technologies on organisational productivity and decision-making quality.</w:t>
      </w:r>
    </w:p>
    <w:p>
      <w:pPr>
        <w:pStyle w:val="ListParagraph"/>
        <w:numPr>
          <w:ilvl w:val="0"/>
          <w:numId w:val="2"/>
        </w:numPr>
        <w:spacing w:after="60" w:before="40"/>
      </w:pPr>
      <w:r>
        <w:rPr>
          <w:rFonts w:ascii="Arial" w:cs="Arial" w:eastAsia="Arial" w:hAnsi="Arial"/>
          <w:sz w:val="22"/>
          <w:szCs w:val="22"/>
        </w:rPr>
        <w:t xml:space="preserve">To identify the principal challenges organisations encounter during AI implementation.</w:t>
      </w:r>
    </w:p>
    <w:p>
      <w:pPr>
        <w:pStyle w:val="Heading2"/>
        <w:spacing w:after="100" w:before="280"/>
      </w:pPr>
      <w:r>
        <w:rPr>
          <w:rFonts w:ascii="Arial" w:cs="Arial" w:eastAsia="Arial" w:hAnsi="Arial"/>
          <w:b/>
          <w:bCs/>
          <w:color w:val="2E75B6"/>
          <w:sz w:val="24"/>
          <w:szCs w:val="24"/>
        </w:rPr>
        <w:t xml:space="preserve">1.4 Research Questions</w:t>
      </w:r>
    </w:p>
    <w:p>
      <w:pPr>
        <w:spacing w:after="120" w:before="60"/>
        <w:jc w:val="both"/>
      </w:pPr>
      <w:r>
        <w:rPr>
          <w:rFonts w:ascii="Arial" w:cs="Arial" w:eastAsia="Arial" w:hAnsi="Arial"/>
          <w:color w:val="000000"/>
          <w:sz w:val="22"/>
          <w:szCs w:val="22"/>
        </w:rPr>
        <w:t xml:space="preserve">The study is guided by the following research questions:</w:t>
      </w:r>
    </w:p>
    <w:p>
      <w:pPr>
        <w:spacing w:after="80" w:before="0"/>
      </w:pPr>
      <w:r>
        <w:t xml:space="preserve"/>
      </w:r>
    </w:p>
    <w:p>
      <w:pPr>
        <w:pStyle w:val="ListParagraph"/>
        <w:numPr>
          <w:ilvl w:val="0"/>
          <w:numId w:val="3"/>
        </w:numPr>
        <w:spacing w:after="60" w:before="40"/>
      </w:pPr>
      <w:r>
        <w:rPr>
          <w:rFonts w:ascii="Arial" w:cs="Arial" w:eastAsia="Arial" w:hAnsi="Arial"/>
          <w:sz w:val="22"/>
          <w:szCs w:val="22"/>
        </w:rPr>
        <w:t xml:space="preserve">What is the current level of Artificial Intelligence adoption in business operations in Bangladesh?</w:t>
      </w:r>
    </w:p>
    <w:p>
      <w:pPr>
        <w:pStyle w:val="ListParagraph"/>
        <w:numPr>
          <w:ilvl w:val="0"/>
          <w:numId w:val="3"/>
        </w:numPr>
        <w:spacing w:after="60" w:before="40"/>
      </w:pPr>
      <w:r>
        <w:rPr>
          <w:rFonts w:ascii="Arial" w:cs="Arial" w:eastAsia="Arial" w:hAnsi="Arial"/>
          <w:sz w:val="22"/>
          <w:szCs w:val="22"/>
        </w:rPr>
        <w:t xml:space="preserve">What is the relationship between AI adoption and operational efficiency?</w:t>
      </w:r>
    </w:p>
    <w:p>
      <w:pPr>
        <w:pStyle w:val="ListParagraph"/>
        <w:numPr>
          <w:ilvl w:val="0"/>
          <w:numId w:val="3"/>
        </w:numPr>
        <w:spacing w:after="60" w:before="40"/>
      </w:pPr>
      <w:r>
        <w:rPr>
          <w:rFonts w:ascii="Arial" w:cs="Arial" w:eastAsia="Arial" w:hAnsi="Arial"/>
          <w:sz w:val="22"/>
          <w:szCs w:val="22"/>
        </w:rPr>
        <w:t xml:space="preserve">How does AI adoption influence organisational productivity and decision-making quality?</w:t>
      </w:r>
    </w:p>
    <w:p>
      <w:pPr>
        <w:pStyle w:val="ListParagraph"/>
        <w:numPr>
          <w:ilvl w:val="0"/>
          <w:numId w:val="3"/>
        </w:numPr>
        <w:spacing w:after="60" w:before="40"/>
      </w:pPr>
      <w:r>
        <w:rPr>
          <w:rFonts w:ascii="Arial" w:cs="Arial" w:eastAsia="Arial" w:hAnsi="Arial"/>
          <w:sz w:val="22"/>
          <w:szCs w:val="22"/>
        </w:rPr>
        <w:t xml:space="preserve">What challenges do organisations face in implementing Artificial Intelligence technologies?</w:t>
      </w:r>
    </w:p>
    <w:p>
      <w:pPr>
        <w:pStyle w:val="Heading2"/>
        <w:spacing w:after="100" w:before="280"/>
      </w:pPr>
      <w:r>
        <w:rPr>
          <w:rFonts w:ascii="Arial" w:cs="Arial" w:eastAsia="Arial" w:hAnsi="Arial"/>
          <w:b/>
          <w:bCs/>
          <w:color w:val="2E75B6"/>
          <w:sz w:val="24"/>
          <w:szCs w:val="24"/>
        </w:rPr>
        <w:t xml:space="preserve">1.5 Research Hypotheses</w:t>
      </w:r>
    </w:p>
    <w:p>
      <w:pPr>
        <w:spacing w:after="120" w:before="60"/>
        <w:jc w:val="both"/>
      </w:pPr>
      <w:r>
        <w:rPr>
          <w:rFonts w:ascii="Arial" w:cs="Arial" w:eastAsia="Arial" w:hAnsi="Arial"/>
          <w:color w:val="000000"/>
          <w:sz w:val="22"/>
          <w:szCs w:val="22"/>
        </w:rPr>
        <w:t xml:space="preserve">Building on the theoretical framework presented in Section 3, the following hypotheses are proposed:</w:t>
      </w:r>
    </w:p>
    <w:p>
      <w:pPr>
        <w:spacing w:after="80" w:before="0"/>
      </w:pPr>
      <w:r>
        <w:t xml:space="preserve"/>
      </w:r>
    </w:p>
    <w:p>
      <w:pPr>
        <w:pStyle w:val="ListParagraph"/>
        <w:numPr>
          <w:ilvl w:val="0"/>
          <w:numId w:val="4"/>
        </w:numPr>
        <w:spacing w:after="60" w:before="40"/>
      </w:pPr>
      <w:r>
        <w:rPr>
          <w:rFonts w:ascii="Arial" w:cs="Arial" w:eastAsia="Arial" w:hAnsi="Arial"/>
          <w:sz w:val="22"/>
          <w:szCs w:val="22"/>
        </w:rPr>
        <w:t xml:space="preserve">H1: Artificial Intelligence adoption has a significant positive effect on operational efficiency.</w:t>
      </w:r>
    </w:p>
    <w:p>
      <w:pPr>
        <w:pStyle w:val="ListParagraph"/>
        <w:numPr>
          <w:ilvl w:val="0"/>
          <w:numId w:val="4"/>
        </w:numPr>
        <w:spacing w:after="60" w:before="40"/>
      </w:pPr>
      <w:r>
        <w:rPr>
          <w:rFonts w:ascii="Arial" w:cs="Arial" w:eastAsia="Arial" w:hAnsi="Arial"/>
          <w:sz w:val="22"/>
          <w:szCs w:val="22"/>
        </w:rPr>
        <w:t xml:space="preserve">H2: Artificial Intelligence adoption has a significant positive effect on organisational productivity.</w:t>
      </w:r>
    </w:p>
    <w:p>
      <w:pPr>
        <w:pStyle w:val="ListParagraph"/>
        <w:numPr>
          <w:ilvl w:val="0"/>
          <w:numId w:val="4"/>
        </w:numPr>
        <w:spacing w:after="60" w:before="40"/>
      </w:pPr>
      <w:r>
        <w:rPr>
          <w:rFonts w:ascii="Arial" w:cs="Arial" w:eastAsia="Arial" w:hAnsi="Arial"/>
          <w:sz w:val="22"/>
          <w:szCs w:val="22"/>
        </w:rPr>
        <w:t xml:space="preserve">H3: Artificial Intelligence adoption has a significant positive effect on decision-making quality.</w:t>
      </w:r>
    </w:p>
    <w:p>
      <w:pPr>
        <w:pStyle w:val="ListParagraph"/>
        <w:numPr>
          <w:ilvl w:val="0"/>
          <w:numId w:val="4"/>
        </w:numPr>
        <w:spacing w:after="60" w:before="40"/>
      </w:pPr>
      <w:r>
        <w:rPr>
          <w:rFonts w:ascii="Arial" w:cs="Arial" w:eastAsia="Arial" w:hAnsi="Arial"/>
          <w:sz w:val="22"/>
          <w:szCs w:val="22"/>
        </w:rPr>
        <w:t xml:space="preserve">H4: The level of implementation challenges moderates the relationship between AI adoption and operational performance.</w:t>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2. Literature Review</w:t>
      </w:r>
    </w:p>
    <w:p>
      <w:pPr>
        <w:pStyle w:val="Heading2"/>
        <w:spacing w:after="100" w:before="280"/>
      </w:pPr>
      <w:r>
        <w:rPr>
          <w:rFonts w:ascii="Arial" w:cs="Arial" w:eastAsia="Arial" w:hAnsi="Arial"/>
          <w:b/>
          <w:bCs/>
          <w:color w:val="2E75B6"/>
          <w:sz w:val="24"/>
          <w:szCs w:val="24"/>
        </w:rPr>
        <w:t xml:space="preserve">2.1 Artificial Intelligence in Business Operations</w:t>
      </w:r>
    </w:p>
    <w:p>
      <w:pPr>
        <w:spacing w:after="120" w:before="60"/>
        <w:jc w:val="both"/>
      </w:pPr>
      <w:r>
        <w:rPr>
          <w:rFonts w:ascii="Arial" w:cs="Arial" w:eastAsia="Arial" w:hAnsi="Arial"/>
          <w:color w:val="000000"/>
          <w:sz w:val="22"/>
          <w:szCs w:val="22"/>
        </w:rPr>
        <w:t xml:space="preserve">Scholarly interest in AI's business applications has grown substantially since the early 2010s. Davenport and Ronanki (2018) identify three broad categories of AI application relevant to operations: process automation (replacing routine, rules-based tasks), cognitive insight (using machine learning to detect patterns in large datasets), and cognitive engagement (deploying natural language processing for customer and employee interaction). Their research, based on analysis of more than 150 AI projects across industries, found that AI generated the greatest operational value when applied to well-defined, high-volume processes — a finding with direct implications for how organisations should prioritise AI investment.</w:t>
      </w:r>
    </w:p>
    <w:p>
      <w:pPr>
        <w:spacing w:after="120" w:before="60"/>
        <w:jc w:val="both"/>
      </w:pPr>
      <w:r>
        <w:rPr>
          <w:rFonts w:ascii="Arial" w:cs="Arial" w:eastAsia="Arial" w:hAnsi="Arial"/>
          <w:color w:val="000000"/>
          <w:sz w:val="22"/>
          <w:szCs w:val="22"/>
        </w:rPr>
        <w:t xml:space="preserve">Brynjolfsson and McAfee (2017) place AI within the broader context of the second machine age, arguing that AI and related digital technologies are fundamentally restructuring the sources of competitive advantage in the global economy. Organisations that develop the internal capabilities to harness AI — including appropriate data infrastructure, analytical skills, and adaptive leadership — are positioned to achieve sustainable performance advantages over those that do not.</w:t>
      </w:r>
    </w:p>
    <w:p>
      <w:pPr>
        <w:pStyle w:val="Heading2"/>
        <w:spacing w:after="100" w:before="280"/>
      </w:pPr>
      <w:r>
        <w:rPr>
          <w:rFonts w:ascii="Arial" w:cs="Arial" w:eastAsia="Arial" w:hAnsi="Arial"/>
          <w:b/>
          <w:bCs/>
          <w:color w:val="2E75B6"/>
          <w:sz w:val="24"/>
          <w:szCs w:val="24"/>
        </w:rPr>
        <w:t xml:space="preserve">2.2 AI Adoption and Operational Efficiency</w:t>
      </w:r>
    </w:p>
    <w:p>
      <w:pPr>
        <w:spacing w:after="120" w:before="60"/>
        <w:jc w:val="both"/>
      </w:pPr>
      <w:r>
        <w:rPr>
          <w:rFonts w:ascii="Arial" w:cs="Arial" w:eastAsia="Arial" w:hAnsi="Arial"/>
          <w:color w:val="000000"/>
          <w:sz w:val="22"/>
          <w:szCs w:val="22"/>
        </w:rPr>
        <w:t xml:space="preserve">Operational efficiency — defined as the ability to produce outputs at minimised resource consumption while maintaining quality standards — is one of the most frequently cited performance benefits of AI adoption. Jeble et al. (2018) demonstrated that predictive analytics capabilities drawn from big data significantly improve supply chain efficiency, reducing lead times and inventory holding costs in manufacturing environments. Similarly, Ransbotham et al. (2020) found that organisations with advanced AI programmes reported measurably faster decision cycles and lower process error rates than their less digitally mature peers.</w:t>
      </w:r>
    </w:p>
    <w:p>
      <w:pPr>
        <w:spacing w:after="120" w:before="60"/>
        <w:jc w:val="both"/>
      </w:pPr>
      <w:r>
        <w:rPr>
          <w:rFonts w:ascii="Arial" w:cs="Arial" w:eastAsia="Arial" w:hAnsi="Arial"/>
          <w:color w:val="000000"/>
          <w:sz w:val="22"/>
          <w:szCs w:val="22"/>
        </w:rPr>
        <w:t xml:space="preserve">The mechanism through which AI drives efficiency gains is largely attributable to automation and data-driven optimisation. By automating repetitive, rule-based tasks — such as invoice processing, quality inspections, and inventory reordering — AI frees human labour for higher-value activities while simultaneously reducing error rates and processing times (Bughin et al., 2019).</w:t>
      </w:r>
    </w:p>
    <w:p>
      <w:pPr>
        <w:pStyle w:val="Heading2"/>
        <w:spacing w:after="100" w:before="280"/>
      </w:pPr>
      <w:r>
        <w:rPr>
          <w:rFonts w:ascii="Arial" w:cs="Arial" w:eastAsia="Arial" w:hAnsi="Arial"/>
          <w:b/>
          <w:bCs/>
          <w:color w:val="2E75B6"/>
          <w:sz w:val="24"/>
          <w:szCs w:val="24"/>
        </w:rPr>
        <w:t xml:space="preserve">2.3 AI Adoption and Productivity</w:t>
      </w:r>
    </w:p>
    <w:p>
      <w:pPr>
        <w:spacing w:after="120" w:before="60"/>
        <w:jc w:val="both"/>
      </w:pPr>
      <w:r>
        <w:rPr>
          <w:rFonts w:ascii="Arial" w:cs="Arial" w:eastAsia="Arial" w:hAnsi="Arial"/>
          <w:color w:val="000000"/>
          <w:sz w:val="22"/>
          <w:szCs w:val="22"/>
        </w:rPr>
        <w:t xml:space="preserve">The relationship between AI and productivity has attracted considerable attention from both economists and management scholars. At the macroeconomic level, Brynjolfsson and McAfee (2017) anticipate that AI will eventually produce productivity gains comparable to those generated by general-purpose technologies such as electricity and the steam engine, though they acknowledge that organisational and institutional frictions may delay the realisation of these gains — a phenomenon they term the productivity paradox.</w:t>
      </w:r>
    </w:p>
    <w:p>
      <w:pPr>
        <w:spacing w:after="120" w:before="60"/>
        <w:jc w:val="both"/>
      </w:pPr>
      <w:r>
        <w:rPr>
          <w:rFonts w:ascii="Arial" w:cs="Arial" w:eastAsia="Arial" w:hAnsi="Arial"/>
          <w:color w:val="000000"/>
          <w:sz w:val="22"/>
          <w:szCs w:val="22"/>
        </w:rPr>
        <w:t xml:space="preserve">At the organisational level, AI productivity benefits tend to be most pronounced in knowledge-intensive tasks. Natural language generation tools reduce the time required for report production; machine learning forecasting models improve sales and demand planning accuracy; and AI-assisted screening reduces the time-to-hire in recruitment processes. Davenport and Kirby (2016) emphasise that AI is most effective not when it replaces human workers wholesale but when it augments human capabilities, enabling individuals to make better decisions faster and with less cognitive burden.</w:t>
      </w:r>
    </w:p>
    <w:p>
      <w:pPr>
        <w:pStyle w:val="Heading2"/>
        <w:spacing w:after="100" w:before="280"/>
      </w:pPr>
      <w:r>
        <w:rPr>
          <w:rFonts w:ascii="Arial" w:cs="Arial" w:eastAsia="Arial" w:hAnsi="Arial"/>
          <w:b/>
          <w:bCs/>
          <w:color w:val="2E75B6"/>
          <w:sz w:val="24"/>
          <w:szCs w:val="24"/>
        </w:rPr>
        <w:t xml:space="preserve">2.4 Challenges in AI Implementation</w:t>
      </w:r>
    </w:p>
    <w:p>
      <w:pPr>
        <w:spacing w:after="120" w:before="60"/>
        <w:jc w:val="both"/>
      </w:pPr>
      <w:r>
        <w:rPr>
          <w:rFonts w:ascii="Arial" w:cs="Arial" w:eastAsia="Arial" w:hAnsi="Arial"/>
          <w:color w:val="000000"/>
          <w:sz w:val="22"/>
          <w:szCs w:val="22"/>
        </w:rPr>
        <w:t xml:space="preserve">Despite the documented operational benefits of AI, implementation success is not universal. Bughin et al. (2019) identify several structural barriers to effective AI adoption, including shortages of data science talent, inadequate data governance frameworks, poor integration with legacy systems, and a lack of clear AI strategy at the executive level. These barriers are especially pronounced in developing-country contexts, where technological ecosystems may be less mature and workforce digital literacy lower than in high-income economies.</w:t>
      </w:r>
    </w:p>
    <w:p>
      <w:pPr>
        <w:spacing w:after="120" w:before="60"/>
        <w:jc w:val="both"/>
      </w:pPr>
      <w:r>
        <w:rPr>
          <w:rFonts w:ascii="Arial" w:cs="Arial" w:eastAsia="Arial" w:hAnsi="Arial"/>
          <w:color w:val="000000"/>
          <w:sz w:val="22"/>
          <w:szCs w:val="22"/>
        </w:rPr>
        <w:t xml:space="preserve">Organisational culture and change management represent additional critical challenges. Davenport and Kirby (2016) note that employee anxiety about job displacement can undermine AI adoption efforts, creating resistance that reduces implementation effectiveness even when the underlying technology is sound. Effective AI deployment therefore requires not only technical capability but also deliberate investment in change leadership, employee training, and transparent communication.</w:t>
      </w:r>
    </w:p>
    <w:p>
      <w:pPr>
        <w:pStyle w:val="Heading2"/>
        <w:spacing w:after="100" w:before="280"/>
      </w:pPr>
      <w:r>
        <w:rPr>
          <w:rFonts w:ascii="Arial" w:cs="Arial" w:eastAsia="Arial" w:hAnsi="Arial"/>
          <w:b/>
          <w:bCs/>
          <w:color w:val="2E75B6"/>
          <w:sz w:val="24"/>
          <w:szCs w:val="24"/>
        </w:rPr>
        <w:t xml:space="preserve">2.5 AI Adoption in Emerging Markets</w:t>
      </w:r>
    </w:p>
    <w:p>
      <w:pPr>
        <w:spacing w:after="120" w:before="60"/>
        <w:jc w:val="both"/>
      </w:pPr>
      <w:r>
        <w:rPr>
          <w:rFonts w:ascii="Arial" w:cs="Arial" w:eastAsia="Arial" w:hAnsi="Arial"/>
          <w:color w:val="000000"/>
          <w:sz w:val="22"/>
          <w:szCs w:val="22"/>
        </w:rPr>
        <w:t xml:space="preserve">Most empirical AI adoption research has been conducted in North American and European organisational contexts, leaving significant gaps in knowledge regarding emerging-market settings. The handful of studies that have examined AI adoption in South and Southeast Asian economies suggest that while enthusiasm for AI is high, adoption is frequently constrained by infrastructure limitations, regulatory uncertainty, and human capital shortages (Ransbotham et al., 2020). Bangladesh, with its rapidly expanding digital economy and ambitious national digitalisation agenda, offers a particularly relevant and underexplored context for this line of inquiry.</w:t>
      </w:r>
    </w:p>
    <w:p>
      <w:pPr>
        <w:pStyle w:val="Heading2"/>
        <w:spacing w:after="100" w:before="280"/>
      </w:pPr>
      <w:r>
        <w:rPr>
          <w:rFonts w:ascii="Arial" w:cs="Arial" w:eastAsia="Arial" w:hAnsi="Arial"/>
          <w:b/>
          <w:bCs/>
          <w:color w:val="2E75B6"/>
          <w:sz w:val="24"/>
          <w:szCs w:val="24"/>
        </w:rPr>
        <w:t xml:space="preserve">2.6 Summary and Research Gap</w:t>
      </w:r>
    </w:p>
    <w:p>
      <w:pPr>
        <w:spacing w:after="120" w:before="60"/>
        <w:jc w:val="both"/>
      </w:pPr>
      <w:r>
        <w:rPr>
          <w:rFonts w:ascii="Arial" w:cs="Arial" w:eastAsia="Arial" w:hAnsi="Arial"/>
          <w:color w:val="000000"/>
          <w:sz w:val="22"/>
          <w:szCs w:val="22"/>
        </w:rPr>
        <w:t xml:space="preserve">The literature reviewed above establishes a strong conceptual rationale for expecting AI adoption to improve operational efficiency, productivity, and decision-making quality. However, the empirical evidence remains inconsistent, particularly outside high-income country contexts. No peer-reviewed study to date has specifically examined the AI adoption–operational performance relationship using primary quantitative data from Bangladesh. This study addresses that gap directly.</w:t>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3. Theoretical Framework</w:t>
      </w:r>
    </w:p>
    <w:p>
      <w:pPr>
        <w:spacing w:after="120" w:before="60"/>
        <w:jc w:val="both"/>
      </w:pPr>
      <w:r>
        <w:rPr>
          <w:rFonts w:ascii="Arial" w:cs="Arial" w:eastAsia="Arial" w:hAnsi="Arial"/>
          <w:color w:val="000000"/>
          <w:sz w:val="22"/>
          <w:szCs w:val="22"/>
        </w:rPr>
        <w:t xml:space="preserve">This study draws on two established theoretical frameworks that, in combination, provide a robust foundation for understanding why and how AI adoption influences operational performance.</w:t>
      </w:r>
    </w:p>
    <w:p>
      <w:pPr>
        <w:pStyle w:val="Heading2"/>
        <w:spacing w:after="100" w:before="280"/>
      </w:pPr>
      <w:r>
        <w:rPr>
          <w:rFonts w:ascii="Arial" w:cs="Arial" w:eastAsia="Arial" w:hAnsi="Arial"/>
          <w:b/>
          <w:bCs/>
          <w:color w:val="2E75B6"/>
          <w:sz w:val="24"/>
          <w:szCs w:val="24"/>
        </w:rPr>
        <w:t xml:space="preserve">3.1 Technology Acceptance Model (TAM)</w:t>
      </w:r>
    </w:p>
    <w:p>
      <w:pPr>
        <w:spacing w:after="120" w:before="60"/>
        <w:jc w:val="both"/>
      </w:pPr>
      <w:r>
        <w:rPr>
          <w:rFonts w:ascii="Arial" w:cs="Arial" w:eastAsia="Arial" w:hAnsi="Arial"/>
          <w:color w:val="000000"/>
          <w:sz w:val="22"/>
          <w:szCs w:val="22"/>
        </w:rPr>
        <w:t xml:space="preserve">Developed by Davis (1989), the Technology Acceptance Model posits that individuals' adoption of a technology is primarily determined by two beliefs: perceived usefulness (the degree to which a user believes the technology will enhance job performance) and perceived ease of use (the degree to which adoption is expected to be free of effort). TAM has been extensively validated in organisational technology adoption contexts and provides a behavioural lens through which to understand how managers and employees engage with AI systems. In this study, TAM informs the operationalisation of AI adoption as a construct that encompasses both the extent of AI deployment and the quality of user engagement with these systems.</w:t>
      </w:r>
    </w:p>
    <w:p>
      <w:pPr>
        <w:pStyle w:val="Heading2"/>
        <w:spacing w:after="100" w:before="280"/>
      </w:pPr>
      <w:r>
        <w:rPr>
          <w:rFonts w:ascii="Arial" w:cs="Arial" w:eastAsia="Arial" w:hAnsi="Arial"/>
          <w:b/>
          <w:bCs/>
          <w:color w:val="2E75B6"/>
          <w:sz w:val="24"/>
          <w:szCs w:val="24"/>
        </w:rPr>
        <w:t xml:space="preserve">3.2 Resource-Based View (RBV)</w:t>
      </w:r>
    </w:p>
    <w:p>
      <w:pPr>
        <w:spacing w:after="120" w:before="60"/>
        <w:jc w:val="both"/>
      </w:pPr>
      <w:r>
        <w:rPr>
          <w:rFonts w:ascii="Arial" w:cs="Arial" w:eastAsia="Arial" w:hAnsi="Arial"/>
          <w:color w:val="000000"/>
          <w:sz w:val="22"/>
          <w:szCs w:val="22"/>
        </w:rPr>
        <w:t xml:space="preserve">The Resource-Based View, introduced by Barney (1991), holds that sustained competitive advantage derives from the possession of valuable, rare, inimitable, and non-substitutable (VRIN) resources and capabilities. AI technologies, when effectively integrated into operational processes, may constitute precisely such a resource — difficult for competitors to replicate due to the data, expertise, and organisational learning required for successful deployment. RBV provides the strategic rationale for why AI adoption should be expected to generate durable performance advantages, not merely short-term efficiency gains.</w:t>
      </w:r>
    </w:p>
    <w:p>
      <w:pPr>
        <w:pStyle w:val="Heading2"/>
        <w:spacing w:after="100" w:before="280"/>
      </w:pPr>
      <w:r>
        <w:rPr>
          <w:rFonts w:ascii="Arial" w:cs="Arial" w:eastAsia="Arial" w:hAnsi="Arial"/>
          <w:b/>
          <w:bCs/>
          <w:color w:val="2E75B6"/>
          <w:sz w:val="24"/>
          <w:szCs w:val="24"/>
        </w:rPr>
        <w:t xml:space="preserve">3.3 Conceptual Framework</w:t>
      </w:r>
    </w:p>
    <w:p>
      <w:pPr>
        <w:spacing w:after="120" w:before="60"/>
        <w:jc w:val="both"/>
      </w:pPr>
      <w:r>
        <w:rPr>
          <w:rFonts w:ascii="Arial" w:cs="Arial" w:eastAsia="Arial" w:hAnsi="Arial"/>
          <w:color w:val="000000"/>
          <w:sz w:val="22"/>
          <w:szCs w:val="22"/>
        </w:rPr>
        <w:t xml:space="preserve">Integrating TAM and RBV, this study proposes that AI adoption — measured across dimensions of technology deployment breadth, user acceptance, and data utilisation maturity — directly influences three operational performance outcomes: efficiency, productivity, and decision-making quality. This relationship is moderated by the degree of implementation challenges experienced, including technical barriers, employee resistance, and resource constraints. Figure 1 illustrates this conceptual framework.</w:t>
      </w:r>
    </w:p>
    <w:p>
      <w:pPr>
        <w:spacing w:after="120" w:before="0"/>
      </w:pPr>
      <w:r>
        <w:t xml:space="preserve"/>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2200"/>
        <w:gridCol w:w="600"/>
        <w:gridCol w:w="2400"/>
      </w:tblGrid>
      <w:tr>
        <w:tc>
          <w:tcPr>
            <w:tcW w:type="dxa" w:w="2200"/>
            <w:shd w:fill="D6E4F0" w:val="clear"/>
            <w:tcMar>
              <w:top w:type="dxa" w:w="120"/>
              <w:left w:type="dxa" w:w="120"/>
              <w:bottom w:type="dxa" w:w="120"/>
              <w:right w:type="dxa" w:w="120"/>
            </w:tcMar>
            <w:vAlign w:val="center"/>
          </w:tcPr>
          <w:p>
            <w:pPr>
              <w:jc w:val="center"/>
            </w:pPr>
            <w:r>
              <w:rPr>
                <w:rFonts w:ascii="Arial" w:cs="Arial" w:eastAsia="Arial" w:hAnsi="Arial"/>
                <w:b/>
                <w:bCs/>
                <w:color w:val="1F3864"/>
                <w:sz w:val="22"/>
                <w:szCs w:val="22"/>
              </w:rPr>
              <w:t xml:space="preserve">AI Adoption</w:t>
            </w:r>
          </w:p>
          <w:p>
            <w:pPr>
              <w:jc w:val="center"/>
            </w:pPr>
            <w:r>
              <w:rPr>
                <w:rFonts w:ascii="Arial" w:cs="Arial" w:eastAsia="Arial" w:hAnsi="Arial"/>
                <w:i/>
                <w:iCs/>
                <w:color w:val="595959"/>
                <w:sz w:val="18"/>
                <w:szCs w:val="18"/>
              </w:rPr>
              <w:t xml:space="preserve">(TAM + RBV)</w:t>
            </w:r>
          </w:p>
        </w:tc>
        <w:tc>
          <w:tcPr>
            <w:tcW w:type="dxa" w:w="600"/>
            <w:tcMar>
              <w:top w:type="dxa" w:w="120"/>
              <w:left w:type="dxa" w:w="40"/>
              <w:bottom w:type="dxa" w:w="120"/>
              <w:right w:type="dxa" w:w="40"/>
            </w:tcMar>
            <w:vAlign w:val="center"/>
          </w:tcPr>
          <w:p>
            <w:pPr>
              <w:jc w:val="center"/>
            </w:pPr>
            <w:r>
              <w:rPr>
                <w:rFonts w:ascii="Arial" w:cs="Arial" w:eastAsia="Arial" w:hAnsi="Arial"/>
                <w:b/>
                <w:bCs/>
                <w:color w:val="2E75B6"/>
                <w:sz w:val="28"/>
                <w:szCs w:val="28"/>
              </w:rPr>
              <w:t xml:space="preserve">→</w:t>
            </w:r>
          </w:p>
        </w:tc>
        <w:tc>
          <w:tcPr>
            <w:tcW w:type="dxa" w:w="2200"/>
            <w:shd w:fill="D6E4F0" w:val="clear"/>
            <w:tcMar>
              <w:top w:type="dxa" w:w="120"/>
              <w:left w:type="dxa" w:w="120"/>
              <w:bottom w:type="dxa" w:w="120"/>
              <w:right w:type="dxa" w:w="120"/>
            </w:tcMar>
            <w:vAlign w:val="center"/>
          </w:tcPr>
          <w:p>
            <w:pPr>
              <w:jc w:val="center"/>
            </w:pPr>
            <w:r>
              <w:rPr>
                <w:rFonts w:ascii="Arial" w:cs="Arial" w:eastAsia="Arial" w:hAnsi="Arial"/>
                <w:b/>
                <w:bCs/>
                <w:color w:val="1F3864"/>
                <w:sz w:val="20"/>
                <w:szCs w:val="20"/>
              </w:rPr>
              <w:t xml:space="preserve">Moderating Factor</w:t>
            </w:r>
          </w:p>
          <w:p>
            <w:pPr>
              <w:jc w:val="center"/>
            </w:pPr>
            <w:r>
              <w:rPr>
                <w:rFonts w:ascii="Arial" w:cs="Arial" w:eastAsia="Arial" w:hAnsi="Arial"/>
                <w:i/>
                <w:iCs/>
                <w:color w:val="595959"/>
                <w:sz w:val="18"/>
                <w:szCs w:val="18"/>
              </w:rPr>
              <w:t xml:space="preserve">Implementation Challenges</w:t>
            </w:r>
          </w:p>
        </w:tc>
        <w:tc>
          <w:tcPr>
            <w:tcW w:type="dxa" w:w="600"/>
            <w:tcMar>
              <w:top w:type="dxa" w:w="120"/>
              <w:left w:type="dxa" w:w="40"/>
              <w:bottom w:type="dxa" w:w="120"/>
              <w:right w:type="dxa" w:w="40"/>
            </w:tcMar>
            <w:vAlign w:val="center"/>
          </w:tcPr>
          <w:p>
            <w:pPr>
              <w:jc w:val="center"/>
            </w:pPr>
            <w:r>
              <w:rPr>
                <w:rFonts w:ascii="Arial" w:cs="Arial" w:eastAsia="Arial" w:hAnsi="Arial"/>
                <w:b/>
                <w:bCs/>
                <w:color w:val="2E75B6"/>
                <w:sz w:val="28"/>
                <w:szCs w:val="28"/>
              </w:rPr>
              <w:t xml:space="preserve">→</w:t>
            </w:r>
          </w:p>
        </w:tc>
        <w:tc>
          <w:tcPr>
            <w:tcW w:type="dxa" w:w="2400"/>
            <w:shd w:fill="D6E4F0" w:val="clear"/>
            <w:tcMar>
              <w:top w:type="dxa" w:w="120"/>
              <w:left w:type="dxa" w:w="120"/>
              <w:bottom w:type="dxa" w:w="120"/>
              <w:right w:type="dxa" w:w="120"/>
            </w:tcMar>
            <w:vAlign w:val="center"/>
          </w:tcPr>
          <w:p>
            <w:pPr>
              <w:jc w:val="center"/>
            </w:pPr>
            <w:r>
              <w:rPr>
                <w:rFonts w:ascii="Arial" w:cs="Arial" w:eastAsia="Arial" w:hAnsi="Arial"/>
                <w:b/>
                <w:bCs/>
                <w:color w:val="1F3864"/>
                <w:sz w:val="20"/>
                <w:szCs w:val="20"/>
              </w:rPr>
              <w:t xml:space="preserve">Operational Performance</w:t>
            </w:r>
          </w:p>
          <w:p>
            <w:pPr>
              <w:jc w:val="center"/>
            </w:pPr>
            <w:r>
              <w:rPr>
                <w:rFonts w:ascii="Arial" w:cs="Arial" w:eastAsia="Arial" w:hAnsi="Arial"/>
                <w:i/>
                <w:iCs/>
                <w:color w:val="595959"/>
                <w:sz w:val="18"/>
                <w:szCs w:val="18"/>
              </w:rPr>
              <w:t xml:space="preserve">Efficiency | Productivity | Decision-Making</w:t>
            </w:r>
          </w:p>
        </w:tc>
      </w:tr>
    </w:tbl>
    <w:p>
      <w:pPr>
        <w:spacing w:after="120" w:before="0"/>
      </w:pPr>
      <w:r>
        <w:t xml:space="preserve"/>
      </w:r>
    </w:p>
    <w:p>
      <w:pPr>
        <w:spacing w:after="120" w:before="60"/>
        <w:jc w:val="center"/>
      </w:pPr>
      <w:r>
        <w:rPr>
          <w:rFonts w:ascii="Arial" w:cs="Arial" w:eastAsia="Arial" w:hAnsi="Arial"/>
          <w:i/>
          <w:iCs/>
          <w:color w:val="595959"/>
          <w:sz w:val="20"/>
          <w:szCs w:val="20"/>
        </w:rPr>
        <w:t xml:space="preserve">Figure 1: Conceptual Framework of the Study</w:t>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4. Research Methodology</w:t>
      </w:r>
    </w:p>
    <w:p>
      <w:pPr>
        <w:pStyle w:val="Heading2"/>
        <w:spacing w:after="100" w:before="280"/>
      </w:pPr>
      <w:r>
        <w:rPr>
          <w:rFonts w:ascii="Arial" w:cs="Arial" w:eastAsia="Arial" w:hAnsi="Arial"/>
          <w:b/>
          <w:bCs/>
          <w:color w:val="2E75B6"/>
          <w:sz w:val="24"/>
          <w:szCs w:val="24"/>
        </w:rPr>
        <w:t xml:space="preserve">4.1 Research Philosophy and Approach</w:t>
      </w:r>
    </w:p>
    <w:p>
      <w:pPr>
        <w:spacing w:after="120" w:before="60"/>
        <w:jc w:val="both"/>
      </w:pPr>
      <w:r>
        <w:rPr>
          <w:rFonts w:ascii="Arial" w:cs="Arial" w:eastAsia="Arial" w:hAnsi="Arial"/>
          <w:color w:val="000000"/>
          <w:sz w:val="22"/>
          <w:szCs w:val="22"/>
        </w:rPr>
        <w:t xml:space="preserve">This study adopts a positivist research philosophy, which holds that social phenomena can be observed and measured objectively, and that causal relationships can be identified through systematic empirical inquiry (Neuman, 2016). Consistent with this philosophical position, a deductive research approach is employed: theoretical propositions drawn from TAM and RBV are translated into testable hypotheses, which are then evaluated against empirical data. This approach is well-suited to a study seeking to quantify relationships between AI adoption and operational performance outcomes.</w:t>
      </w:r>
    </w:p>
    <w:p>
      <w:pPr>
        <w:pStyle w:val="Heading2"/>
        <w:spacing w:after="100" w:before="280"/>
      </w:pPr>
      <w:r>
        <w:rPr>
          <w:rFonts w:ascii="Arial" w:cs="Arial" w:eastAsia="Arial" w:hAnsi="Arial"/>
          <w:b/>
          <w:bCs/>
          <w:color w:val="2E75B6"/>
          <w:sz w:val="24"/>
          <w:szCs w:val="24"/>
        </w:rPr>
        <w:t xml:space="preserve">4.2 Research Design</w:t>
      </w:r>
    </w:p>
    <w:p>
      <w:pPr>
        <w:spacing w:after="120" w:before="60"/>
        <w:jc w:val="both"/>
      </w:pPr>
      <w:r>
        <w:rPr>
          <w:rFonts w:ascii="Arial" w:cs="Arial" w:eastAsia="Arial" w:hAnsi="Arial"/>
          <w:color w:val="000000"/>
          <w:sz w:val="22"/>
          <w:szCs w:val="22"/>
        </w:rPr>
        <w:t xml:space="preserve">A cross-sectional survey research design will be used to collect data at a single point in time from a representative sample of organisations. This design is appropriate for the study's objectives because it enables efficient data collection from a large number of respondents and supports the statistical analysis of variable relationships (Sekaran and Bougie, 2016). Although longitudinal designs would allow observation of performance changes over time, the constraints of the current study make cross-sectional data collection the more feasible option. The study acknowledges this as a limitation and calls for future longitudinal research.</w:t>
      </w:r>
    </w:p>
    <w:p>
      <w:pPr>
        <w:pStyle w:val="Heading2"/>
        <w:spacing w:after="100" w:before="280"/>
      </w:pPr>
      <w:r>
        <w:rPr>
          <w:rFonts w:ascii="Arial" w:cs="Arial" w:eastAsia="Arial" w:hAnsi="Arial"/>
          <w:b/>
          <w:bCs/>
          <w:color w:val="2E75B6"/>
          <w:sz w:val="24"/>
          <w:szCs w:val="24"/>
        </w:rPr>
        <w:t xml:space="preserve">4.3 Population and Sampling</w:t>
      </w:r>
    </w:p>
    <w:p>
      <w:pPr>
        <w:spacing w:after="120" w:before="60"/>
        <w:jc w:val="both"/>
      </w:pPr>
      <w:r>
        <w:rPr>
          <w:rFonts w:ascii="Arial" w:cs="Arial" w:eastAsia="Arial" w:hAnsi="Arial"/>
          <w:color w:val="000000"/>
          <w:sz w:val="22"/>
          <w:szCs w:val="22"/>
        </w:rPr>
        <w:t xml:space="preserve">The target population consists of employees and managers working in organisations that have formally adopted at least one AI-driven system within their business operations. This population spans multiple industries, including banking and financial services, retail, telecommunications, manufacturing, logistics, and information technology — all sectors characterised by active digital transformation activity in Bangladesh.</w:t>
      </w:r>
    </w:p>
    <w:p>
      <w:pPr>
        <w:spacing w:after="120" w:before="60"/>
        <w:jc w:val="both"/>
      </w:pPr>
      <w:r>
        <w:rPr>
          <w:rFonts w:ascii="Arial" w:cs="Arial" w:eastAsia="Arial" w:hAnsi="Arial"/>
          <w:color w:val="000000"/>
          <w:sz w:val="22"/>
          <w:szCs w:val="22"/>
        </w:rPr>
        <w:t xml:space="preserve">A simple random probability sampling technique will be applied, affording each eligible member of the target population an equal probability of selection and thereby minimising selection bias (Kumar, 2019). The target sample size is 200 respondents. This figure is consistent with the guidelines proposed by Hair et al. (2019) for Structural Equation Modelling, which recommend a minimum of five observations per measured variable; with the questionnaire containing approximately 35 items, a sample of 200 provides a comfortable margin above this threshold and is sufficient to achieve statistical power of 0.80 at a significance level of 0.05.</w:t>
      </w:r>
    </w:p>
    <w:p>
      <w:pPr>
        <w:pStyle w:val="Heading2"/>
        <w:spacing w:after="100" w:before="280"/>
      </w:pPr>
      <w:r>
        <w:rPr>
          <w:rFonts w:ascii="Arial" w:cs="Arial" w:eastAsia="Arial" w:hAnsi="Arial"/>
          <w:b/>
          <w:bCs/>
          <w:color w:val="2E75B6"/>
          <w:sz w:val="24"/>
          <w:szCs w:val="24"/>
        </w:rPr>
        <w:t xml:space="preserve">4.4 Study Location</w:t>
      </w:r>
    </w:p>
    <w:p>
      <w:pPr>
        <w:spacing w:after="120" w:before="60"/>
        <w:jc w:val="both"/>
      </w:pPr>
      <w:r>
        <w:rPr>
          <w:rFonts w:ascii="Arial" w:cs="Arial" w:eastAsia="Arial" w:hAnsi="Arial"/>
          <w:color w:val="000000"/>
          <w:sz w:val="22"/>
          <w:szCs w:val="22"/>
        </w:rPr>
        <w:t xml:space="preserve">Data collection will be conducted in Dhaka, Bangladesh. Dhaka is the commercial and administrative capital of the country and is home to the headquarters of the majority of Bangladesh's largest corporations, financial institutions, and technology firms. It is therefore the most appropriate location for accessing organisations engaged in AI adoption at an operationally significant scale. The selection of Bangladesh as the study setting is further justified by the country's accelerating digital transformation trajectory and the lack of existing empirical AI adoption research in this context — a gap this study is specifically designed to address.</w:t>
      </w:r>
    </w:p>
    <w:p>
      <w:pPr>
        <w:pStyle w:val="Heading2"/>
        <w:spacing w:after="100" w:before="280"/>
      </w:pPr>
      <w:r>
        <w:rPr>
          <w:rFonts w:ascii="Arial" w:cs="Arial" w:eastAsia="Arial" w:hAnsi="Arial"/>
          <w:b/>
          <w:bCs/>
          <w:color w:val="2E75B6"/>
          <w:sz w:val="24"/>
          <w:szCs w:val="24"/>
        </w:rPr>
        <w:t xml:space="preserve">4.5 Research Instrument</w:t>
      </w:r>
    </w:p>
    <w:p>
      <w:pPr>
        <w:spacing w:after="120" w:before="60"/>
        <w:jc w:val="both"/>
      </w:pPr>
      <w:r>
        <w:rPr>
          <w:rFonts w:ascii="Arial" w:cs="Arial" w:eastAsia="Arial" w:hAnsi="Arial"/>
          <w:color w:val="000000"/>
          <w:sz w:val="22"/>
          <w:szCs w:val="22"/>
        </w:rPr>
        <w:t xml:space="preserve">Data will be collected using a structured, self-administered questionnaire developed by adapting validated scales from the existing literature. The instrument is organised into three sections:</w:t>
      </w:r>
    </w:p>
    <w:p>
      <w:pPr>
        <w:spacing w:after="80" w:before="0"/>
      </w:pPr>
      <w:r>
        <w:t xml:space="preserve"/>
      </w:r>
    </w:p>
    <w:p>
      <w:pPr>
        <w:pStyle w:val="ListParagraph"/>
        <w:numPr>
          <w:ilvl w:val="0"/>
          <w:numId w:val="5"/>
        </w:numPr>
        <w:spacing w:after="60" w:before="40"/>
      </w:pPr>
      <w:r>
        <w:rPr>
          <w:rFonts w:ascii="Arial" w:cs="Arial" w:eastAsia="Arial" w:hAnsi="Arial"/>
          <w:sz w:val="22"/>
          <w:szCs w:val="22"/>
        </w:rPr>
        <w:t xml:space="preserve">Section A — Respondent Demographics: age, gender, educational level, industry sector, job role, and years of experience with AI-enabled systems.</w:t>
      </w:r>
    </w:p>
    <w:p>
      <w:pPr>
        <w:pStyle w:val="ListParagraph"/>
        <w:numPr>
          <w:ilvl w:val="0"/>
          <w:numId w:val="5"/>
        </w:numPr>
        <w:spacing w:after="60" w:before="40"/>
      </w:pPr>
      <w:r>
        <w:rPr>
          <w:rFonts w:ascii="Arial" w:cs="Arial" w:eastAsia="Arial" w:hAnsi="Arial"/>
          <w:sz w:val="22"/>
          <w:szCs w:val="22"/>
        </w:rPr>
        <w:t xml:space="preserve">Section B — AI Adoption: a ten-item scale assessing the breadth of AI deployment, the quality of user engagement, and the organisation's data utilisation maturity, adapted from Ransbotham et al. (2020).</w:t>
      </w:r>
    </w:p>
    <w:p>
      <w:pPr>
        <w:pStyle w:val="ListParagraph"/>
        <w:numPr>
          <w:ilvl w:val="0"/>
          <w:numId w:val="5"/>
        </w:numPr>
        <w:spacing w:after="60" w:before="40"/>
      </w:pPr>
      <w:r>
        <w:rPr>
          <w:rFonts w:ascii="Arial" w:cs="Arial" w:eastAsia="Arial" w:hAnsi="Arial"/>
          <w:sz w:val="22"/>
          <w:szCs w:val="22"/>
        </w:rPr>
        <w:t xml:space="preserve">Section C — Operational Performance and Implementation Challenges: scales measuring operational efficiency (six items), productivity (six items), decision-making quality (six items), and implementation challenges (seven items), drawing on validated instruments from Davenport and Ronanki (2018) and Bughin et al. (2019).</w:t>
      </w:r>
    </w:p>
    <w:p>
      <w:pPr>
        <w:spacing w:after="80" w:before="0"/>
      </w:pPr>
      <w:r>
        <w:t xml:space="preserve"/>
      </w:r>
    </w:p>
    <w:p>
      <w:pPr>
        <w:spacing w:after="120" w:before="60"/>
        <w:jc w:val="both"/>
      </w:pPr>
      <w:r>
        <w:rPr>
          <w:rFonts w:ascii="Arial" w:cs="Arial" w:eastAsia="Arial" w:hAnsi="Arial"/>
          <w:color w:val="000000"/>
          <w:sz w:val="22"/>
          <w:szCs w:val="22"/>
        </w:rPr>
        <w:t xml:space="preserve">All constructs in Sections B and C will be measured using a five-point Likert scale anchored at 1 (Strongly Disagree) and 5 (Strongly Agree). The questionnaire will be distributed primarily through an online survey platform to maximise reach and convenience; paper-based distribution will be used as a supplementary method where digital access is limited.</w:t>
      </w:r>
    </w:p>
    <w:p>
      <w:pPr>
        <w:pStyle w:val="Heading2"/>
        <w:spacing w:after="100" w:before="280"/>
      </w:pPr>
      <w:r>
        <w:rPr>
          <w:rFonts w:ascii="Arial" w:cs="Arial" w:eastAsia="Arial" w:hAnsi="Arial"/>
          <w:b/>
          <w:bCs/>
          <w:color w:val="2E75B6"/>
          <w:sz w:val="24"/>
          <w:szCs w:val="24"/>
        </w:rPr>
        <w:t xml:space="preserve">4.6 Data Collection Procedure</w:t>
      </w:r>
    </w:p>
    <w:p>
      <w:pPr>
        <w:spacing w:after="120" w:before="60"/>
        <w:jc w:val="both"/>
      </w:pPr>
      <w:r>
        <w:rPr>
          <w:rFonts w:ascii="Arial" w:cs="Arial" w:eastAsia="Arial" w:hAnsi="Arial"/>
          <w:color w:val="000000"/>
          <w:sz w:val="22"/>
          <w:szCs w:val="22"/>
        </w:rPr>
        <w:t xml:space="preserve">Prior to full data collection, a pilot study will be administered to 30 respondents drawn from organisations similar to those in the main sample. Pilot results will be used to refine questionnaire wording, verify that items are interpreted as intended, and provide preliminary estimates of scale reliability. Respondents in the pilot study will not be included in the main sample.</w:t>
      </w:r>
    </w:p>
    <w:p>
      <w:pPr>
        <w:spacing w:after="120" w:before="60"/>
        <w:jc w:val="both"/>
      </w:pPr>
      <w:r>
        <w:rPr>
          <w:rFonts w:ascii="Arial" w:cs="Arial" w:eastAsia="Arial" w:hAnsi="Arial"/>
          <w:color w:val="000000"/>
          <w:sz w:val="22"/>
          <w:szCs w:val="22"/>
        </w:rPr>
        <w:t xml:space="preserve">For the main survey, access to organisations will be sought through professional networks, industry associations, and direct organisational contact. Participation will be entirely voluntary. A covering letter explaining the study's purpose, scope, and data confidentiality arrangements will accompany each questionnaire. Respondents will be assured that their individual responses will not be identifiable in any published outputs.</w:t>
      </w:r>
    </w:p>
    <w:p>
      <w:pPr>
        <w:pStyle w:val="Heading2"/>
        <w:spacing w:after="100" w:before="280"/>
      </w:pPr>
      <w:r>
        <w:rPr>
          <w:rFonts w:ascii="Arial" w:cs="Arial" w:eastAsia="Arial" w:hAnsi="Arial"/>
          <w:b/>
          <w:bCs/>
          <w:color w:val="2E75B6"/>
          <w:sz w:val="24"/>
          <w:szCs w:val="24"/>
        </w:rPr>
        <w:t xml:space="preserve">4.7 Data Analysis</w:t>
      </w:r>
    </w:p>
    <w:p>
      <w:pPr>
        <w:spacing w:after="120" w:before="60"/>
        <w:jc w:val="both"/>
      </w:pPr>
      <w:r>
        <w:rPr>
          <w:rFonts w:ascii="Arial" w:cs="Arial" w:eastAsia="Arial" w:hAnsi="Arial"/>
          <w:color w:val="000000"/>
          <w:sz w:val="22"/>
          <w:szCs w:val="22"/>
        </w:rPr>
        <w:t xml:space="preserve">Quantitative data will be analysed using a sequential two-stage analytical approach:</w:t>
      </w:r>
    </w:p>
    <w:p>
      <w:pPr>
        <w:spacing w:after="80" w:before="0"/>
      </w:pPr>
      <w:r>
        <w:t xml:space="preserve"/>
      </w:r>
    </w:p>
    <w:p>
      <w:pPr>
        <w:spacing w:after="120" w:before="60"/>
        <w:jc w:val="both"/>
      </w:pPr>
      <w:r>
        <w:rPr>
          <w:rFonts w:ascii="Arial" w:cs="Arial" w:eastAsia="Arial" w:hAnsi="Arial"/>
          <w:i w:val="false"/>
          <w:iCs w:val="false"/>
          <w:color w:val="000000"/>
          <w:sz w:val="22"/>
          <w:szCs w:val="22"/>
        </w:rPr>
        <w:t xml:space="preserve">Stage 1 — Measurement Model Evaluation: Confirmatory Factor Analysis (CFA) will be used to assess the validity and reliability of all constructs. Specifically, Cronbach's Alpha and Composite Reliability (CR) values above 0.70 will confirm internal consistency; Average Variance Extracted (AVE) values above 0.50 will establish convergent validity; and the Fornell-Larcker criterion will be applied to assess discriminant validity (Hair et al., 2019).</w:t>
      </w:r>
    </w:p>
    <w:p>
      <w:pPr>
        <w:spacing w:after="80" w:before="0"/>
      </w:pPr>
      <w:r>
        <w:t xml:space="preserve"/>
      </w:r>
    </w:p>
    <w:p>
      <w:pPr>
        <w:spacing w:after="120" w:before="60"/>
        <w:jc w:val="both"/>
      </w:pPr>
      <w:r>
        <w:rPr>
          <w:rFonts w:ascii="Arial" w:cs="Arial" w:eastAsia="Arial" w:hAnsi="Arial"/>
          <w:i w:val="false"/>
          <w:iCs w:val="false"/>
          <w:color w:val="000000"/>
          <w:sz w:val="22"/>
          <w:szCs w:val="22"/>
        </w:rPr>
        <w:t xml:space="preserve">Stage 2 — Structural Model Testing: Structural Equation Modelling (SEM), implemented using SPSS AMOS, will be used to test the four research hypotheses. SEM is preferred over simple regression analysis in this context because it enables simultaneous testing of multiple relationships among latent variables while explicitly accounting for measurement error (Neuman, 2016). Descriptive statistics — including means, standard deviations, and frequency distributions — will be reported for all variables and demographic characteristics.</w:t>
      </w:r>
    </w:p>
    <w:p>
      <w:pPr>
        <w:pStyle w:val="Heading2"/>
        <w:spacing w:after="100" w:before="280"/>
      </w:pPr>
      <w:r>
        <w:rPr>
          <w:rFonts w:ascii="Arial" w:cs="Arial" w:eastAsia="Arial" w:hAnsi="Arial"/>
          <w:b/>
          <w:bCs/>
          <w:color w:val="2E75B6"/>
          <w:sz w:val="24"/>
          <w:szCs w:val="24"/>
        </w:rPr>
        <w:t xml:space="preserve">4.8 Ethical Considerations</w:t>
      </w:r>
    </w:p>
    <w:p>
      <w:pPr>
        <w:spacing w:after="120" w:before="60"/>
        <w:jc w:val="both"/>
      </w:pPr>
      <w:r>
        <w:rPr>
          <w:rFonts w:ascii="Arial" w:cs="Arial" w:eastAsia="Arial" w:hAnsi="Arial"/>
          <w:color w:val="000000"/>
          <w:sz w:val="22"/>
          <w:szCs w:val="22"/>
        </w:rPr>
        <w:t xml:space="preserve">This research will be conducted in strict accordance with the ethical principles governing academic research. The following measures will be implemented:</w:t>
      </w:r>
    </w:p>
    <w:p>
      <w:pPr>
        <w:spacing w:after="80" w:before="0"/>
      </w:pPr>
      <w:r>
        <w:t xml:space="preserve"/>
      </w:r>
    </w:p>
    <w:p>
      <w:pPr>
        <w:pStyle w:val="ListParagraph"/>
        <w:numPr>
          <w:ilvl w:val="0"/>
          <w:numId w:val="6"/>
        </w:numPr>
        <w:spacing w:after="60" w:before="40"/>
      </w:pPr>
      <w:r>
        <w:rPr>
          <w:rFonts w:ascii="Arial" w:cs="Arial" w:eastAsia="Arial" w:hAnsi="Arial"/>
          <w:sz w:val="22"/>
          <w:szCs w:val="22"/>
        </w:rPr>
        <w:t xml:space="preserve">Informed Consent: all participants will receive a clear explanation of the study's purpose and will be required to provide explicit consent before completing the questionnaire.</w:t>
      </w:r>
    </w:p>
    <w:p>
      <w:pPr>
        <w:pStyle w:val="ListParagraph"/>
        <w:numPr>
          <w:ilvl w:val="0"/>
          <w:numId w:val="6"/>
        </w:numPr>
        <w:spacing w:after="60" w:before="40"/>
      </w:pPr>
      <w:r>
        <w:rPr>
          <w:rFonts w:ascii="Arial" w:cs="Arial" w:eastAsia="Arial" w:hAnsi="Arial"/>
          <w:sz w:val="22"/>
          <w:szCs w:val="22"/>
        </w:rPr>
        <w:t xml:space="preserve">Voluntary Participation: participation is entirely voluntary; respondents may withdraw at any time without consequence.</w:t>
      </w:r>
    </w:p>
    <w:p>
      <w:pPr>
        <w:pStyle w:val="ListParagraph"/>
        <w:numPr>
          <w:ilvl w:val="0"/>
          <w:numId w:val="6"/>
        </w:numPr>
        <w:spacing w:after="60" w:before="40"/>
      </w:pPr>
      <w:r>
        <w:rPr>
          <w:rFonts w:ascii="Arial" w:cs="Arial" w:eastAsia="Arial" w:hAnsi="Arial"/>
          <w:sz w:val="22"/>
          <w:szCs w:val="22"/>
        </w:rPr>
        <w:t xml:space="preserve">Anonymity and Confidentiality: no personally identifiable information will be collected; organisational identities will not be disclosed in any publications arising from this research.</w:t>
      </w:r>
    </w:p>
    <w:p>
      <w:pPr>
        <w:pStyle w:val="ListParagraph"/>
        <w:numPr>
          <w:ilvl w:val="0"/>
          <w:numId w:val="6"/>
        </w:numPr>
        <w:spacing w:after="60" w:before="40"/>
      </w:pPr>
      <w:r>
        <w:rPr>
          <w:rFonts w:ascii="Arial" w:cs="Arial" w:eastAsia="Arial" w:hAnsi="Arial"/>
          <w:sz w:val="22"/>
          <w:szCs w:val="22"/>
        </w:rPr>
        <w:t xml:space="preserve">Data Security: all electronic data will be stored on password-protected systems accessible only to the research team; data will be retained for a period consistent with institutional requirements and then securely deleted.</w:t>
      </w:r>
    </w:p>
    <w:p>
      <w:pPr>
        <w:pStyle w:val="ListParagraph"/>
        <w:numPr>
          <w:ilvl w:val="0"/>
          <w:numId w:val="6"/>
        </w:numPr>
        <w:spacing w:after="60" w:before="40"/>
      </w:pPr>
      <w:r>
        <w:rPr>
          <w:rFonts w:ascii="Arial" w:cs="Arial" w:eastAsia="Arial" w:hAnsi="Arial"/>
          <w:sz w:val="22"/>
          <w:szCs w:val="22"/>
        </w:rPr>
        <w:t xml:space="preserve">Ethical Approval: ethical clearance will be sought from the relevant institutional ethics review committee prior to the commencement of data collection.</w:t>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5. Significance of the Study</w:t>
      </w:r>
    </w:p>
    <w:p>
      <w:pPr>
        <w:spacing w:after="120" w:before="60"/>
        <w:jc w:val="both"/>
      </w:pPr>
      <w:r>
        <w:rPr>
          <w:rFonts w:ascii="Arial" w:cs="Arial" w:eastAsia="Arial" w:hAnsi="Arial"/>
          <w:color w:val="000000"/>
          <w:sz w:val="22"/>
          <w:szCs w:val="22"/>
        </w:rPr>
        <w:t xml:space="preserve">This study makes contributions at three distinct levels.</w:t>
      </w:r>
    </w:p>
    <w:p>
      <w:pPr>
        <w:pStyle w:val="Heading2"/>
        <w:spacing w:after="100" w:before="280"/>
      </w:pPr>
      <w:r>
        <w:rPr>
          <w:rFonts w:ascii="Arial" w:cs="Arial" w:eastAsia="Arial" w:hAnsi="Arial"/>
          <w:b/>
          <w:bCs/>
          <w:color w:val="2E75B6"/>
          <w:sz w:val="24"/>
          <w:szCs w:val="24"/>
        </w:rPr>
        <w:t xml:space="preserve">5.1 Academic Contribution</w:t>
      </w:r>
    </w:p>
    <w:p>
      <w:pPr>
        <w:spacing w:after="120" w:before="60"/>
        <w:jc w:val="both"/>
      </w:pPr>
      <w:r>
        <w:rPr>
          <w:rFonts w:ascii="Arial" w:cs="Arial" w:eastAsia="Arial" w:hAnsi="Arial"/>
          <w:color w:val="000000"/>
          <w:sz w:val="22"/>
          <w:szCs w:val="22"/>
        </w:rPr>
        <w:t xml:space="preserve">By applying TAM and RBV together in a developing-country setting, this research extends the theoretical literature on AI adoption beyond its predominantly Western empirical base. The SEM-based analysis of moderated relationships between AI adoption and multiple operational performance dimensions provides a more nuanced account of these dynamics than prior studies that have examined performance outcomes in isolation. The resulting evidence base will support the development of more contextually sensitive theoretical models of AI adoption.</w:t>
      </w:r>
    </w:p>
    <w:p>
      <w:pPr>
        <w:pStyle w:val="Heading2"/>
        <w:spacing w:after="100" w:before="280"/>
      </w:pPr>
      <w:r>
        <w:rPr>
          <w:rFonts w:ascii="Arial" w:cs="Arial" w:eastAsia="Arial" w:hAnsi="Arial"/>
          <w:b/>
          <w:bCs/>
          <w:color w:val="2E75B6"/>
          <w:sz w:val="24"/>
          <w:szCs w:val="24"/>
        </w:rPr>
        <w:t xml:space="preserve">5.2 Managerial Contribution</w:t>
      </w:r>
    </w:p>
    <w:p>
      <w:pPr>
        <w:spacing w:after="120" w:before="60"/>
        <w:jc w:val="both"/>
      </w:pPr>
      <w:r>
        <w:rPr>
          <w:rFonts w:ascii="Arial" w:cs="Arial" w:eastAsia="Arial" w:hAnsi="Arial"/>
          <w:color w:val="000000"/>
          <w:sz w:val="22"/>
          <w:szCs w:val="22"/>
        </w:rPr>
        <w:t xml:space="preserve">The findings will offer business leaders in Bangladesh — and, by extension, managers in comparable emerging-market contexts — actionable evidence regarding the conditions under which AI investment generates the strongest operational returns. Specifically, the moderation analysis will identify which implementation challenges most significantly constrain AI's performance impact, enabling managers to allocate change management and capacity-building resources more strategically.</w:t>
      </w:r>
    </w:p>
    <w:p>
      <w:pPr>
        <w:pStyle w:val="Heading2"/>
        <w:spacing w:after="100" w:before="280"/>
      </w:pPr>
      <w:r>
        <w:rPr>
          <w:rFonts w:ascii="Arial" w:cs="Arial" w:eastAsia="Arial" w:hAnsi="Arial"/>
          <w:b/>
          <w:bCs/>
          <w:color w:val="2E75B6"/>
          <w:sz w:val="24"/>
          <w:szCs w:val="24"/>
        </w:rPr>
        <w:t xml:space="preserve">5.3 Policy Contribution</w:t>
      </w:r>
    </w:p>
    <w:p>
      <w:pPr>
        <w:spacing w:after="120" w:before="60"/>
        <w:jc w:val="both"/>
      </w:pPr>
      <w:r>
        <w:rPr>
          <w:rFonts w:ascii="Arial" w:cs="Arial" w:eastAsia="Arial" w:hAnsi="Arial"/>
          <w:color w:val="000000"/>
          <w:sz w:val="22"/>
          <w:szCs w:val="22"/>
        </w:rPr>
        <w:t xml:space="preserve">For policymakers and government bodies responsible for Bangladesh's national digitalisation agenda, the study will provide data-driven insights into the sectoral and organisational factors that facilitate or hinder AI adoption. These insights may inform the design of support programmes, training initiatives, and regulatory frameworks intended to accelerate the productive integration of AI across the national economy.</w:t>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6. Limitations of the Study</w:t>
      </w:r>
    </w:p>
    <w:p>
      <w:pPr>
        <w:spacing w:after="120" w:before="60"/>
        <w:jc w:val="both"/>
      </w:pPr>
      <w:r>
        <w:rPr>
          <w:rFonts w:ascii="Arial" w:cs="Arial" w:eastAsia="Arial" w:hAnsi="Arial"/>
          <w:color w:val="000000"/>
          <w:sz w:val="22"/>
          <w:szCs w:val="22"/>
        </w:rPr>
        <w:t xml:space="preserve">Every research study is subject to limitations, and intellectual honesty requires that these be acknowledged explicitly.</w:t>
      </w:r>
    </w:p>
    <w:p>
      <w:pPr>
        <w:spacing w:after="80" w:before="0"/>
      </w:pPr>
      <w:r>
        <w:t xml:space="preserve"/>
      </w:r>
    </w:p>
    <w:p>
      <w:pPr>
        <w:pStyle w:val="ListParagraph"/>
        <w:numPr>
          <w:ilvl w:val="0"/>
          <w:numId w:val="7"/>
        </w:numPr>
        <w:spacing w:after="60" w:before="40"/>
      </w:pPr>
      <w:r>
        <w:rPr>
          <w:rFonts w:ascii="Arial" w:cs="Arial" w:eastAsia="Arial" w:hAnsi="Arial"/>
          <w:sz w:val="22"/>
          <w:szCs w:val="22"/>
        </w:rPr>
        <w:t xml:space="preserve">Cross-Sectional Design: data collected at a single point in time cannot establish causality or track how AI adoption's performance impact evolves as technologies mature and organisations accumulate implementation experience. Future research employing longitudinal designs is strongly encouraged.</w:t>
      </w:r>
    </w:p>
    <w:p>
      <w:pPr>
        <w:pStyle w:val="ListParagraph"/>
        <w:numPr>
          <w:ilvl w:val="0"/>
          <w:numId w:val="7"/>
        </w:numPr>
        <w:spacing w:after="60" w:before="40"/>
      </w:pPr>
      <w:r>
        <w:rPr>
          <w:rFonts w:ascii="Arial" w:cs="Arial" w:eastAsia="Arial" w:hAnsi="Arial"/>
          <w:sz w:val="22"/>
          <w:szCs w:val="22"/>
        </w:rPr>
        <w:t xml:space="preserve">Geographic Scope: the study is confined to Dhaka, Bangladesh. While this context is theoretically well-motivated, findings may not generalise to other regions of Bangladesh or to other emerging-market countries with different institutional environments.</w:t>
      </w:r>
    </w:p>
    <w:p>
      <w:pPr>
        <w:pStyle w:val="ListParagraph"/>
        <w:numPr>
          <w:ilvl w:val="0"/>
          <w:numId w:val="7"/>
        </w:numPr>
        <w:spacing w:after="60" w:before="40"/>
      </w:pPr>
      <w:r>
        <w:rPr>
          <w:rFonts w:ascii="Arial" w:cs="Arial" w:eastAsia="Arial" w:hAnsi="Arial"/>
          <w:sz w:val="22"/>
          <w:szCs w:val="22"/>
        </w:rPr>
        <w:t xml:space="preserve">Self-Report Bias: reliance on self-reported questionnaire data introduces the possibility of social desirability bias, whereby respondents overstate the degree of AI adoption or performance improvement within their organisations. Triangulation with archival or observational data in future research would mitigate this limitation.</w:t>
      </w:r>
    </w:p>
    <w:p>
      <w:pPr>
        <w:pStyle w:val="ListParagraph"/>
        <w:numPr>
          <w:ilvl w:val="0"/>
          <w:numId w:val="7"/>
        </w:numPr>
        <w:spacing w:after="60" w:before="40"/>
      </w:pPr>
      <w:r>
        <w:rPr>
          <w:rFonts w:ascii="Arial" w:cs="Arial" w:eastAsia="Arial" w:hAnsi="Arial"/>
          <w:sz w:val="22"/>
          <w:szCs w:val="22"/>
        </w:rPr>
        <w:t xml:space="preserve">Common Method Variance: collecting all data from a single source at a single time point raises the risk of common method variance inflating observed construct correlations. Harman's Single Factor Test will be conducted as a post-hoc diagnostic check.</w:t>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7. Proposed Research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2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Estimated Timeframe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Literature review and theoretical framework development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Months 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Questionnaire design and pilot testing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Ethical clearance submission and approval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3–4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Main data collection (online and in-person survey)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Months 4–5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cleaning, CFA, and SEM analysis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Interpretation of results and discussion drafting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report writing, revision, and submission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8</w:t>
            </w:r>
          </w:p>
        </w:tc>
      </w:tr>
    </w:tbl>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8. Conclusion</w:t>
      </w:r>
    </w:p>
    <w:p>
      <w:pPr>
        <w:spacing w:after="120" w:before="60"/>
        <w:jc w:val="both"/>
      </w:pPr>
      <w:r>
        <w:rPr>
          <w:rFonts w:ascii="Arial" w:cs="Arial" w:eastAsia="Arial" w:hAnsi="Arial"/>
          <w:color w:val="000000"/>
          <w:sz w:val="22"/>
          <w:szCs w:val="22"/>
        </w:rPr>
        <w:t xml:space="preserve">Artificial Intelligence is reshaping the landscape of business operations at a pace and scale that demand rigorous academic investigation. While the strategic case for AI adoption is increasingly well-established in theory and in high-income country practice, the empirical evidence from emerging-market contexts — and from Bangladesh specifically — remains thin. This proposal has outlined a theoretically grounded, methodologically rigorous, and practically relevant study designed to close that gap.</w:t>
      </w:r>
    </w:p>
    <w:p>
      <w:pPr>
        <w:spacing w:after="120" w:before="60"/>
        <w:jc w:val="both"/>
      </w:pPr>
      <w:r>
        <w:rPr>
          <w:rFonts w:ascii="Arial" w:cs="Arial" w:eastAsia="Arial" w:hAnsi="Arial"/>
          <w:color w:val="000000"/>
          <w:sz w:val="22"/>
          <w:szCs w:val="22"/>
        </w:rPr>
        <w:t xml:space="preserve">Rooted in the Technology Acceptance Model and the Resource-Based View, the study will examine whether and how AI adoption drives improvements in operational efficiency, productivity, and decision-making quality — and the extent to which implementation challenges moderate these relationships. Using Structural Equation Modelling applied to data collected from 200 respondents across AI-adopting organisations in Dhaka, the research is designed to produce findings that are statistically robust and practically actionable.</w:t>
      </w:r>
    </w:p>
    <w:p>
      <w:pPr>
        <w:spacing w:after="120" w:before="60"/>
        <w:jc w:val="both"/>
      </w:pPr>
      <w:r>
        <w:rPr>
          <w:rFonts w:ascii="Arial" w:cs="Arial" w:eastAsia="Arial" w:hAnsi="Arial"/>
          <w:color w:val="000000"/>
          <w:sz w:val="22"/>
          <w:szCs w:val="22"/>
        </w:rPr>
        <w:t xml:space="preserve">The outcomes of this study will contribute to a growing body of knowledge that supports both scholars seeking to build better theories of digital transformation and organisations seeking to make smarter, evidence-based decisions about their AI investments.</w:t>
      </w:r>
    </w:p>
    <w:p>
      <w:r>
        <w:br w:type="page"/>
      </w:r>
    </w:p>
    <w:p>
      <w:pPr>
        <w:pStyle w:val="Heading1"/>
        <w:pBdr>
          <w:bottom w:val="single" w:color="2E75B6" w:sz="6" w:space="4"/>
        </w:pBdr>
        <w:spacing w:after="120" w:before="360"/>
      </w:pPr>
      <w:r>
        <w:rPr>
          <w:rFonts w:ascii="Arial" w:cs="Arial" w:eastAsia="Arial" w:hAnsi="Arial"/>
          <w:b/>
          <w:bCs/>
          <w:color w:val="1F3864"/>
          <w:sz w:val="28"/>
          <w:szCs w:val="28"/>
        </w:rPr>
        <w:t xml:space="preserve">References</w:t>
      </w:r>
    </w:p>
    <w:p>
      <w:pPr>
        <w:spacing w:after="120" w:before="0"/>
        <w:ind w:left="720" w:hanging="720"/>
        <w:jc w:val="both"/>
      </w:pPr>
      <w:r>
        <w:rPr>
          <w:rFonts w:ascii="Arial" w:cs="Arial" w:eastAsia="Arial" w:hAnsi="Arial"/>
          <w:color w:val="000000"/>
          <w:sz w:val="20"/>
          <w:szCs w:val="20"/>
        </w:rPr>
        <w:t xml:space="preserve">Bangladesh ICT Division (2022) Digital Bangladesh Vision 2021 Progress Report. Dhaka: Ministry of Posts, Telecommunications and Information Technology.</w:t>
      </w:r>
    </w:p>
    <w:p>
      <w:pPr>
        <w:spacing w:after="120" w:before="0"/>
        <w:ind w:left="720" w:hanging="720"/>
        <w:jc w:val="both"/>
      </w:pPr>
      <w:r>
        <w:rPr>
          <w:rFonts w:ascii="Arial" w:cs="Arial" w:eastAsia="Arial" w:hAnsi="Arial"/>
          <w:color w:val="000000"/>
          <w:sz w:val="20"/>
          <w:szCs w:val="20"/>
        </w:rPr>
        <w:t xml:space="preserve">Barney, J. (1991) 'Firm Resources and Sustained Competitive Advantage', Journal of Management, 17(1), pp. 99–120.</w:t>
      </w:r>
    </w:p>
    <w:p>
      <w:pPr>
        <w:spacing w:after="120" w:before="0"/>
        <w:ind w:left="720" w:hanging="720"/>
        <w:jc w:val="both"/>
      </w:pPr>
      <w:r>
        <w:rPr>
          <w:rFonts w:ascii="Arial" w:cs="Arial" w:eastAsia="Arial" w:hAnsi="Arial"/>
          <w:color w:val="000000"/>
          <w:sz w:val="20"/>
          <w:szCs w:val="20"/>
        </w:rPr>
        <w:t xml:space="preserve">Brynjolfsson, E. and McAfee, A. (2017) Machine, Platform, Crowd: Harnessing Our Digital Future. New York: W.W. Norton &amp; Company.</w:t>
      </w:r>
    </w:p>
    <w:p>
      <w:pPr>
        <w:spacing w:after="120" w:before="0"/>
        <w:ind w:left="720" w:hanging="720"/>
        <w:jc w:val="both"/>
      </w:pPr>
      <w:r>
        <w:rPr>
          <w:rFonts w:ascii="Arial" w:cs="Arial" w:eastAsia="Arial" w:hAnsi="Arial"/>
          <w:color w:val="000000"/>
          <w:sz w:val="20"/>
          <w:szCs w:val="20"/>
        </w:rPr>
        <w:t xml:space="preserve">Bughin, J., Hazan, E., Ramaswamy, S., Chui, M., Allas, T., Dahlstrom, P., Henke, N. and Trench, M. (2019) 'Artificial Intelligence: The Next Digital Frontier?', McKinsey Global Institute, pp. 1–80.</w:t>
      </w:r>
    </w:p>
    <w:p>
      <w:pPr>
        <w:spacing w:after="120" w:before="0"/>
        <w:ind w:left="720" w:hanging="720"/>
        <w:jc w:val="both"/>
      </w:pPr>
      <w:r>
        <w:rPr>
          <w:rFonts w:ascii="Arial" w:cs="Arial" w:eastAsia="Arial" w:hAnsi="Arial"/>
          <w:color w:val="000000"/>
          <w:sz w:val="20"/>
          <w:szCs w:val="20"/>
        </w:rPr>
        <w:t xml:space="preserve">Davenport, T.H. and Kirby, J. (2016) Only Humans Need Apply: Winners and Losers in the Age of Smart Machines. New York: Harper Business.</w:t>
      </w:r>
    </w:p>
    <w:p>
      <w:pPr>
        <w:spacing w:after="120" w:before="0"/>
        <w:ind w:left="720" w:hanging="720"/>
        <w:jc w:val="both"/>
      </w:pPr>
      <w:r>
        <w:rPr>
          <w:rFonts w:ascii="Arial" w:cs="Arial" w:eastAsia="Arial" w:hAnsi="Arial"/>
          <w:color w:val="000000"/>
          <w:sz w:val="20"/>
          <w:szCs w:val="20"/>
        </w:rPr>
        <w:t xml:space="preserve">Davenport, T.H. and Ronanki, R. (2018) 'Artificial Intelligence for the Real World', Harvard Business Review, 96(1), pp. 108–116.</w:t>
      </w:r>
    </w:p>
    <w:p>
      <w:pPr>
        <w:spacing w:after="120" w:before="0"/>
        <w:ind w:left="720" w:hanging="720"/>
        <w:jc w:val="both"/>
      </w:pPr>
      <w:r>
        <w:rPr>
          <w:rFonts w:ascii="Arial" w:cs="Arial" w:eastAsia="Arial" w:hAnsi="Arial"/>
          <w:color w:val="000000"/>
          <w:sz w:val="20"/>
          <w:szCs w:val="20"/>
        </w:rPr>
        <w:t xml:space="preserve">Davis, F.D. (1989) 'Perceived Usefulness, Perceived Ease of Use, and User Acceptance of Information Technology', MIS Quarterly, 13(3), pp. 319–340.</w:t>
      </w:r>
    </w:p>
    <w:p>
      <w:pPr>
        <w:spacing w:after="120" w:before="0"/>
        <w:ind w:left="720" w:hanging="720"/>
        <w:jc w:val="both"/>
      </w:pPr>
      <w:r>
        <w:rPr>
          <w:rFonts w:ascii="Arial" w:cs="Arial" w:eastAsia="Arial" w:hAnsi="Arial"/>
          <w:color w:val="000000"/>
          <w:sz w:val="20"/>
          <w:szCs w:val="20"/>
        </w:rPr>
        <w:t xml:space="preserve">Hair, J.F., Black, W.C., Babin, B.J. and Anderson, R.E. (2019) Multivariate Data Analysis. 8th edn. Andover: Cengage Learning.</w:t>
      </w:r>
    </w:p>
    <w:p>
      <w:pPr>
        <w:spacing w:after="120" w:before="0"/>
        <w:ind w:left="720" w:hanging="720"/>
        <w:jc w:val="both"/>
      </w:pPr>
      <w:r>
        <w:rPr>
          <w:rFonts w:ascii="Arial" w:cs="Arial" w:eastAsia="Arial" w:hAnsi="Arial"/>
          <w:color w:val="000000"/>
          <w:sz w:val="20"/>
          <w:szCs w:val="20"/>
        </w:rPr>
        <w:t xml:space="preserve">Jeble, S., Dubey, R., Childe, S.J., Papadopoulos, T., Roubaud, D., Prakash, A. and Queiroz, M.M. (2018) 'Impact of Big Data and Predictive Analytics Capability on Supply Chain Sustainability', International Journal of Logistics Management, 29(2), pp. 513–538.</w:t>
      </w:r>
    </w:p>
    <w:p>
      <w:pPr>
        <w:spacing w:after="120" w:before="0"/>
        <w:ind w:left="720" w:hanging="720"/>
        <w:jc w:val="both"/>
      </w:pPr>
      <w:r>
        <w:rPr>
          <w:rFonts w:ascii="Arial" w:cs="Arial" w:eastAsia="Arial" w:hAnsi="Arial"/>
          <w:color w:val="000000"/>
          <w:sz w:val="20"/>
          <w:szCs w:val="20"/>
        </w:rPr>
        <w:t xml:space="preserve">Kumar, R. (2019) Research Methodology: A Step-by-Step Guide for Beginners. 5th edn. London: SAGE Publications.</w:t>
      </w:r>
    </w:p>
    <w:p>
      <w:pPr>
        <w:spacing w:after="120" w:before="0"/>
        <w:ind w:left="720" w:hanging="720"/>
        <w:jc w:val="both"/>
      </w:pPr>
      <w:r>
        <w:rPr>
          <w:rFonts w:ascii="Arial" w:cs="Arial" w:eastAsia="Arial" w:hAnsi="Arial"/>
          <w:color w:val="000000"/>
          <w:sz w:val="20"/>
          <w:szCs w:val="20"/>
        </w:rPr>
        <w:t xml:space="preserve">Neuman, W.L. (2016) Social Research Methods: Qualitative and Quantitative Approaches. 7th edn. New York: Pearson Education.</w:t>
      </w:r>
    </w:p>
    <w:p>
      <w:pPr>
        <w:spacing w:after="120" w:before="0"/>
        <w:ind w:left="720" w:hanging="720"/>
        <w:jc w:val="both"/>
      </w:pPr>
      <w:r>
        <w:rPr>
          <w:rFonts w:ascii="Arial" w:cs="Arial" w:eastAsia="Arial" w:hAnsi="Arial"/>
          <w:color w:val="000000"/>
          <w:sz w:val="20"/>
          <w:szCs w:val="20"/>
        </w:rPr>
        <w:t xml:space="preserve">Ransbotham, S., Gerbert, P., Reeves, M., Kiron, D. and Spira, M. (2020) 'Expanding AI's Impact with Organizational Learning', MIT Sloan Management Review, 61(4), pp. 1–12.</w:t>
      </w:r>
    </w:p>
    <w:p>
      <w:pPr>
        <w:spacing w:after="120" w:before="0"/>
        <w:ind w:left="720" w:hanging="720"/>
        <w:jc w:val="both"/>
      </w:pPr>
      <w:r>
        <w:rPr>
          <w:rFonts w:ascii="Arial" w:cs="Arial" w:eastAsia="Arial" w:hAnsi="Arial"/>
          <w:color w:val="000000"/>
          <w:sz w:val="20"/>
          <w:szCs w:val="20"/>
        </w:rPr>
        <w:t xml:space="preserve">Russell, S. and Norvig, P. (2021) Artificial Intelligence: A Modern Approach. 4th edn. Harlow: Pearson.</w:t>
      </w:r>
    </w:p>
    <w:p>
      <w:pPr>
        <w:spacing w:after="120" w:before="0"/>
        <w:ind w:left="720" w:hanging="720"/>
        <w:jc w:val="both"/>
      </w:pPr>
      <w:r>
        <w:rPr>
          <w:rFonts w:ascii="Arial" w:cs="Arial" w:eastAsia="Arial" w:hAnsi="Arial"/>
          <w:color w:val="000000"/>
          <w:sz w:val="20"/>
          <w:szCs w:val="20"/>
        </w:rPr>
        <w:t xml:space="preserve">Sekaran, U. and Bougie, R. (2016) Research Methods for Business: A Skill Building Approach. 7th edn. New York: John Wiley &amp; Sons.</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595959"/>
        <w:sz w:val="18"/>
        <w:szCs w:val="18"/>
      </w:rPr>
      <w:t xml:space="preserve">MBA 5134 – Research Methods  |  AI Adoption &amp; Business Operations Performance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6"/>
    <w:lvlOverride w:ilvl="0">
      <w:startOverride w:val="1"/>
    </w:lvlOverride>
  </w:num>
  <w:num w:numId="4">
    <w:abstractNumId w:val="7"/>
    <w:lvlOverride w:ilvl="0">
      <w:startOverride w:val="1"/>
    </w:lvlOverride>
  </w:num>
  <w:num w:numId="5">
    <w:abstractNumId w:val="2"/>
    <w:lvlOverride w:ilvl="0">
      <w:startOverride w:val="1"/>
    </w:lvlOverride>
  </w:num>
  <w:num w:numId="6">
    <w:abstractNumId w:val="3"/>
    <w:lvlOverride w:ilvl="0">
      <w:startOverride w:val="1"/>
    </w:lvlOverride>
  </w:num>
  <w:num w:numId="7">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2026-05-09T02:30:11.996Z</dcterms:created>
  <dcterms:modified xsi:type="dcterms:W3CDTF">2026-05-09T02:30:11.996Z</dcterms:modified>
</cp:coreProperties>
</file>

<file path=docProps/custom.xml><?xml version="1.0" encoding="utf-8"?>
<Properties xmlns="http://schemas.openxmlformats.org/officeDocument/2006/custom-properties" xmlns:vt="http://schemas.openxmlformats.org/officeDocument/2006/docPropsVTypes"/>
</file>