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материалы-к-защите-что-где-лежит"/>
    <w:p>
      <w:pPr>
        <w:pStyle w:val="Heading1"/>
      </w:pPr>
      <w:r>
        <w:t xml:space="preserve">Материалы к защите — что где лежит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1_Описание_проекта.docx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описание: задача, архитектура, структура кода, метрики, ограничения</w:t>
            </w:r>
          </w:p>
        </w:tc>
        <w:tc>
          <w:tcPr/>
          <w:p>
            <w:pPr>
              <w:pStyle w:val="Compact"/>
            </w:pPr>
            <w:r>
              <w:t xml:space="preserve">отправить преподавателю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2_Речь_для_защиты.docx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текст выступления на 5–7 минут + ответы на 10 вероятных вопросов</w:t>
            </w:r>
          </w:p>
        </w:tc>
        <w:tc>
          <w:tcPr/>
          <w:p>
            <w:pPr>
              <w:pStyle w:val="Compact"/>
            </w:pPr>
            <w:r>
              <w:t xml:space="preserve">говорить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3_Презентация.pptx</w:t>
            </w:r>
          </w:p>
        </w:tc>
        <w:tc>
          <w:tcPr/>
          <w:p>
            <w:pPr>
              <w:pStyle w:val="Compact"/>
            </w:pPr>
            <w:r>
              <w:t xml:space="preserve">12 слайдов PowerPoint, синхронных с речью, со скриншотами</w:t>
            </w:r>
          </w:p>
        </w:tc>
        <w:tc>
          <w:tcPr/>
          <w:p>
            <w:pPr>
              <w:pStyle w:val="Compact"/>
            </w:pPr>
            <w:r>
              <w:t xml:space="preserve">показывать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4_Сообщение_преподавателю.md</w:t>
            </w:r>
          </w:p>
        </w:tc>
        <w:tc>
          <w:tcPr/>
          <w:p>
            <w:pPr>
              <w:pStyle w:val="Compact"/>
            </w:pPr>
            <w:r>
              <w:t xml:space="preserve">текст для Telegram, два варианта — полный и короткий</w:t>
            </w:r>
          </w:p>
        </w:tc>
        <w:tc>
          <w:tcPr/>
          <w:p>
            <w:pPr>
              <w:pStyle w:val="Compact"/>
            </w:pPr>
            <w:r>
              <w:t xml:space="preserve">отправить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5_Как_устроен_код.docx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подробный разбор кода</w:t>
            </w:r>
            <w:r>
              <w:t xml:space="preserve">: что где лежит, в каком порядке работает и зачем</w:t>
            </w:r>
          </w:p>
        </w:tc>
        <w:tc>
          <w:tcPr/>
          <w:p>
            <w:pPr>
              <w:pStyle w:val="Compact"/>
            </w:pPr>
            <w:r>
              <w:t xml:space="preserve">читать самому, чтобы понимать проект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скриншоты/</w:t>
            </w:r>
          </w:p>
        </w:tc>
        <w:tc>
          <w:tcPr/>
          <w:p>
            <w:pPr>
              <w:pStyle w:val="Compact"/>
            </w:pPr>
            <w:r>
              <w:t xml:space="preserve">8 снимков работающего приложения</w:t>
            </w:r>
          </w:p>
        </w:tc>
        <w:tc>
          <w:tcPr/>
          <w:p>
            <w:pPr>
              <w:pStyle w:val="Compact"/>
            </w:pPr>
            <w:r>
              <w:t xml:space="preserve">вставлены в презентацию, годятся и для отчёта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3_Презентация_запасная_версия.html</w:t>
            </w:r>
          </w:p>
        </w:tc>
        <w:tc>
          <w:tcPr/>
          <w:p>
            <w:pPr>
              <w:pStyle w:val="Compact"/>
            </w:pPr>
            <w:r>
              <w:t xml:space="preserve">та же презентация в браузере</w:t>
            </w:r>
          </w:p>
        </w:tc>
        <w:tc>
          <w:tcPr/>
          <w:p>
            <w:pPr>
              <w:pStyle w:val="Compact"/>
            </w:pPr>
            <w:r>
              <w:t xml:space="preserve">если под рукой не будет PowerPoint</w:t>
            </w:r>
          </w:p>
        </w:tc>
      </w:tr>
    </w:tbl>
    <w:p>
      <w:pPr>
        <w:pStyle w:val="BodyText"/>
      </w:pPr>
      <w:r>
        <w:t xml:space="preserve">Word-версии сделаны из тех же текстов, что 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 правьте что-то одно, чтобы</w:t>
      </w:r>
      <w:r>
        <w:t xml:space="preserve"> </w:t>
      </w:r>
      <w:r>
        <w:t xml:space="preserve">не разошлись. Пересобрать Word:</w:t>
      </w:r>
      <w:r>
        <w:t xml:space="preserve"> </w:t>
      </w:r>
      <w:r>
        <w:rPr>
          <w:rStyle w:val="VerbatimChar"/>
        </w:rPr>
        <w:t xml:space="preserve">pandoc файл.md -o файл.docx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как-показывать-презентацию"/>
    <w:p>
      <w:pPr>
        <w:pStyle w:val="Heading2"/>
      </w:pPr>
      <w:r>
        <w:t xml:space="preserve">Как показывать презентацию</w:t>
      </w:r>
    </w:p>
    <w:p>
      <w:pPr>
        <w:pStyle w:val="FirstParagraph"/>
      </w:pPr>
      <w:r>
        <w:rPr>
          <w:rStyle w:val="VerbatimChar"/>
        </w:rPr>
        <w:t xml:space="preserve">3_Презентация.pptx</w:t>
      </w:r>
      <w:r>
        <w:t xml:space="preserve"> </w:t>
      </w:r>
      <w:r>
        <w:t xml:space="preserve">— обычный PowerPoint, 12 слайдов, формат 16:9.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— показ с начала,</w:t>
      </w:r>
      <w:r>
        <w:t xml:space="preserve"> </w:t>
      </w:r>
      <w:r>
        <w:rPr>
          <w:rStyle w:val="VerbatimChar"/>
        </w:rPr>
        <w:t xml:space="preserve">Shift+F5</w:t>
      </w:r>
      <w:r>
        <w:t xml:space="preserve"> </w:t>
      </w:r>
      <w:r>
        <w:t xml:space="preserve">— с текущего слайда.</w:t>
      </w:r>
    </w:p>
    <w:p>
      <w:pPr>
        <w:pStyle w:val="BodyText"/>
      </w:pPr>
      <w:r>
        <w:t xml:space="preserve">В заметках к слайдам (область под слайдом в режиме редактирования) продублированы</w:t>
      </w:r>
      <w:r>
        <w:t xml:space="preserve"> </w:t>
      </w:r>
      <w:r>
        <w:t xml:space="preserve">ключевые мысли — удобно смотреть в режиме докладчика.</w:t>
      </w:r>
    </w:p>
    <w:p>
      <w:pPr>
        <w:pStyle w:val="BodyText"/>
      </w:pPr>
      <w:r>
        <w:t xml:space="preserve">Запасной вариант:</w:t>
      </w:r>
      <w:r>
        <w:t xml:space="preserve"> </w:t>
      </w:r>
      <w:r>
        <w:rPr>
          <w:rStyle w:val="VerbatimChar"/>
        </w:rPr>
        <w:t xml:space="preserve">3_Презентация_запасная_версия.html</w:t>
      </w:r>
      <w:r>
        <w:t xml:space="preserve"> </w:t>
      </w:r>
      <w:r>
        <w:t xml:space="preserve">открывается двойным</w:t>
      </w:r>
      <w:r>
        <w:t xml:space="preserve"> </w:t>
      </w:r>
      <w:r>
        <w:t xml:space="preserve">щелчком в браузере, листается стрелками,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печать в PDF. Пригодится, если</w:t>
      </w:r>
      <w:r>
        <w:t xml:space="preserve"> </w:t>
      </w:r>
      <w:r>
        <w:t xml:space="preserve">на чужом компьютере не окажется PowerPoint.</w:t>
      </w:r>
    </w:p>
    <w:p>
      <w:pPr>
        <w:pStyle w:val="BodyText"/>
      </w:pPr>
      <w:r>
        <w:t xml:space="preserve">Метки</w:t>
      </w:r>
      <w:r>
        <w:t xml:space="preserve"> </w:t>
      </w:r>
      <w:r>
        <w:rPr>
          <w:rStyle w:val="VerbatimChar"/>
        </w:rPr>
        <w:t xml:space="preserve">[Слайд N]</w:t>
      </w:r>
      <w:r>
        <w:t xml:space="preserve"> </w:t>
      </w:r>
      <w:r>
        <w:t xml:space="preserve">в тексте речи соответствуют номерам слайдов.</w:t>
      </w:r>
    </w:p>
    <w:p>
      <w:r>
        <w:pict>
          <v:rect style="width:0;height:1.5pt" o:hralign="center" o:hrstd="t" o:hr="t"/>
        </w:pict>
      </w:r>
    </w:p>
    <w:bookmarkEnd w:id="9"/>
    <w:bookmarkStart w:id="10" w:name="порядок-подготовки-к-защите"/>
    <w:p>
      <w:pPr>
        <w:pStyle w:val="Heading2"/>
      </w:pPr>
      <w:r>
        <w:t xml:space="preserve">Порядок подготовки к защите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5_Как_устроен_код.docx</w:t>
      </w:r>
      <w:r>
        <w:t xml:space="preserve"> </w:t>
      </w:r>
      <w:r>
        <w:t xml:space="preserve">— чтобы понимать, что откуда берётся.</w:t>
      </w:r>
      <w:r>
        <w:t xml:space="preserve"> </w:t>
      </w:r>
      <w:r>
        <w:t xml:space="preserve">Это главный документ, если нужно восстановить картину проекта.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1_Описание_проекта.docx</w:t>
      </w:r>
      <w:r>
        <w:t xml:space="preserve"> </w:t>
      </w:r>
      <w:r>
        <w:t xml:space="preserve">— чтобы держать в голове цифры.</w:t>
      </w:r>
    </w:p>
    <w:p>
      <w:pPr>
        <w:pStyle w:val="Compact"/>
        <w:numPr>
          <w:ilvl w:val="0"/>
          <w:numId w:val="1001"/>
        </w:numPr>
      </w:pPr>
      <w:r>
        <w:t xml:space="preserve">Прогнать вслух</w:t>
      </w:r>
      <w:r>
        <w:t xml:space="preserve"> </w:t>
      </w:r>
      <w:r>
        <w:rPr>
          <w:rStyle w:val="VerbatimChar"/>
        </w:rPr>
        <w:t xml:space="preserve">2_Речь_для_защиты.docx</w:t>
      </w:r>
      <w:r>
        <w:t xml:space="preserve"> </w:t>
      </w:r>
      <w:r>
        <w:t xml:space="preserve">с презентацией — примерно 6 минут.</w:t>
      </w:r>
    </w:p>
    <w:p>
      <w:pPr>
        <w:pStyle w:val="Compact"/>
        <w:numPr>
          <w:ilvl w:val="0"/>
          <w:numId w:val="1001"/>
        </w:numPr>
      </w:pPr>
      <w:r>
        <w:t xml:space="preserve">Просмотреть блок «Ответы на возможные вопросы». Самое частое:</w:t>
      </w:r>
      <w:r>
        <w:t xml:space="preserve"> </w:t>
      </w:r>
      <w:r>
        <w:t xml:space="preserve">«почему не дообучили модель», «что мешает выдумать номер решения»,</w:t>
      </w:r>
      <w:r>
        <w:t xml:space="preserve"> </w:t>
      </w:r>
      <w:r>
        <w:t xml:space="preserve">«почему уверенность считает код, а не модель».</w:t>
      </w:r>
    </w:p>
    <w:p>
      <w:pPr>
        <w:pStyle w:val="Compact"/>
        <w:numPr>
          <w:ilvl w:val="0"/>
          <w:numId w:val="1001"/>
        </w:numPr>
      </w:pPr>
      <w:r>
        <w:t xml:space="preserve">Перед выступлением запустить приложение — на случай, если попросят живое демо.</w:t>
      </w:r>
    </w:p>
    <w:p>
      <w:pPr>
        <w:pStyle w:val="FirstParagraph"/>
      </w:pPr>
      <w:r>
        <w:t xml:space="preserve">Запуск приложения: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eaeu_regulatory_assistant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venvs</w:t>
      </w:r>
      <w:r>
        <w:rPr>
          <w:rStyle w:val="NormalTok"/>
        </w:rPr>
        <w:t xml:space="preserve">\eaeu\Scripts\Activate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streamlit run app\main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Пересоздать скриншоты (если поменяется интерфейс): при запущенном приложении</w:t>
      </w:r>
      <w:r>
        <w:t xml:space="preserve"> </w:t>
      </w:r>
      <w:r>
        <w:t xml:space="preserve">выполнить</w:t>
      </w:r>
      <w:r>
        <w:t xml:space="preserve"> </w:t>
      </w:r>
      <w:r>
        <w:rPr>
          <w:rStyle w:val="VerbatimChar"/>
        </w:rPr>
        <w:t xml:space="preserve">python scripts\make_screenshots.py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что-отвечать-на-а-что-вы-обучали"/>
    <w:p>
      <w:pPr>
        <w:pStyle w:val="Heading2"/>
      </w:pPr>
      <w:r>
        <w:t xml:space="preserve">Что отвечать на «а что вы обучали?»</w:t>
      </w:r>
    </w:p>
    <w:p>
      <w:pPr>
        <w:pStyle w:val="FirstParagraph"/>
      </w:pPr>
      <w:r>
        <w:t xml:space="preserve">Ничего не обучали — и это осознанное решение. Берём две готовые модели:</w:t>
      </w:r>
      <w:r>
        <w:t xml:space="preserve"> </w:t>
      </w:r>
      <w:r>
        <w:rPr>
          <w:rStyle w:val="VerbatimChar"/>
        </w:rPr>
        <w:t xml:space="preserve">multilingual-e5-base</w:t>
      </w:r>
      <w:r>
        <w:t xml:space="preserve"> </w:t>
      </w:r>
      <w:r>
        <w:t xml:space="preserve">для эмбеддингов (работает локально) и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по API.</w:t>
      </w:r>
      <w:r>
        <w:t xml:space="preserve"> </w:t>
      </w:r>
      <w:r>
        <w:t xml:space="preserve">Дообучение здесь противопоказано: знание ушло бы в веса, проверить</w:t>
      </w:r>
      <w:r>
        <w:t xml:space="preserve"> </w:t>
      </w:r>
      <w:r>
        <w:t xml:space="preserve">происхождение утверждения стало бы невозможно, а при каждом новом решении ЕЭК</w:t>
      </w:r>
      <w:r>
        <w:t xml:space="preserve"> </w:t>
      </w:r>
      <w:r>
        <w:t xml:space="preserve">пришлось бы дообучать заново. В RAG знание лежит в поисковом индексе — документ</w:t>
      </w:r>
      <w:r>
        <w:t xml:space="preserve"> </w:t>
      </w:r>
      <w:r>
        <w:t xml:space="preserve">добавляется за минуты, каждое утверждение прослеживается до пункта источника.</w:t>
      </w:r>
    </w:p>
    <w:p>
      <w:pPr>
        <w:pStyle w:val="BodyText"/>
      </w:pPr>
      <w:r>
        <w:t xml:space="preserve">Проект — это конвейер вокруг моделей, около 7 000 строк: разбор документов с</w:t>
      </w:r>
      <w:r>
        <w:t xml:space="preserve"> </w:t>
      </w:r>
      <w:r>
        <w:t xml:space="preserve">сохранением структуры, гибридный поиск, реестр цитат, валидация ответа, расчёт</w:t>
      </w:r>
      <w:r>
        <w:t xml:space="preserve"> </w:t>
      </w:r>
      <w:r>
        <w:t xml:space="preserve">уверенности, предметная логика по препаратам. Подробности — в</w:t>
      </w:r>
      <w:r>
        <w:t xml:space="preserve"> </w:t>
      </w:r>
      <w:r>
        <w:rPr>
          <w:rStyle w:val="VerbatimChar"/>
        </w:rPr>
        <w:t xml:space="preserve">5_Как_устроен_код.md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ключевые-цифры-шпаргалка"/>
    <w:p>
      <w:pPr>
        <w:pStyle w:val="Heading2"/>
      </w:pPr>
      <w:r>
        <w:t xml:space="preserve">Ключевые цифры (шпаргалка)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Документов в корпусе</w:t>
            </w:r>
          </w:p>
        </w:tc>
        <w:tc>
          <w:tcPr/>
          <w:p>
            <w:pPr>
              <w:pStyle w:val="Compact"/>
            </w:pPr>
            <w:r>
              <w:t xml:space="preserve">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Фрагментов / векторов</w:t>
            </w:r>
          </w:p>
        </w:tc>
        <w:tc>
          <w:tcPr/>
          <w:p>
            <w:pPr>
              <w:pStyle w:val="Compact"/>
            </w:pPr>
            <w:r>
              <w:t xml:space="preserve">11 058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Токенов текста</w:t>
            </w:r>
          </w:p>
        </w:tc>
        <w:tc>
          <w:tcPr/>
          <w:p>
            <w:pPr>
              <w:pStyle w:val="Compact"/>
            </w:pPr>
            <w:r>
              <w:t xml:space="preserve">~6,07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Обязательных актов ЕАЭС (TIER 1–2)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Рекомендаций Экспертного комитета (TIER 3)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Распознано сканов через OCR</w:t>
            </w:r>
          </w:p>
        </w:tc>
        <w:tc>
          <w:tcPr/>
          <w:p>
            <w:pPr>
              <w:pStyle w:val="Compact"/>
            </w:pPr>
            <w:r>
              <w:t xml:space="preserve">569 из 569, ошибок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 / Recall@10</w:t>
            </w:r>
          </w:p>
        </w:tc>
        <w:tc>
          <w:tcPr/>
          <w:p>
            <w:pPr>
              <w:pStyle w:val="Compact"/>
            </w:pPr>
            <w:r>
              <w:t xml:space="preserve">0,70 / 0,82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 до OCR → после</w:t>
            </w:r>
          </w:p>
        </w:tc>
        <w:tc>
          <w:tcPr/>
          <w:p>
            <w:pPr>
              <w:pStyle w:val="Compact"/>
            </w:pPr>
            <w:r>
              <w:t xml:space="preserve">0,70 → 0,82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Автотестов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Фрагментов в контексте одного ответа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 кода</w:t>
            </w:r>
          </w:p>
        </w:tc>
        <w:tc>
          <w:tcPr/>
          <w:p>
            <w:pPr>
              <w:pStyle w:val="Compact"/>
            </w:pPr>
            <w:r>
              <w:t xml:space="preserve">~7 000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2026-08-11T15:17:35Z</dcterms:created>
  <dcterms:modified xsi:type="dcterms:W3CDTF">2026-08-11T15:17:35Z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