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4"/>
        <w:pBdr/>
        <w:spacing/>
        <w:ind/>
        <w:rPr/>
      </w:pPr>
      <w:r/>
      <w:bookmarkStart w:id="283" w:name="X709818609d9dbcf641d518239310f677edf38a6"/>
      <w:r>
        <w:t xml:space="preserve">Islamic Value-Sensitive Design: A Framework for Moral Software Services</w:t>
      </w:r>
      <w:r/>
    </w:p>
    <w:p>
      <w:pPr>
        <w:pStyle w:val="963"/>
        <w:pBdr/>
        <w:spacing/>
        <w:ind/>
        <w:rPr/>
      </w:pPr>
      <w:r>
        <w:rPr>
          <w:b/>
          <w:bCs/>
        </w:rPr>
        <w:t xml:space="preserve">Bachelor Thesis</w:t>
      </w:r>
      <w:r/>
    </w:p>
    <w:p>
      <w:pPr>
        <w:pStyle w:val="962"/>
        <w:pBdr/>
        <w:spacing/>
        <w:ind/>
        <w:rPr/>
      </w:pPr>
      <w:r>
        <w:rPr>
          <w:b/>
          <w:bCs/>
        </w:rPr>
        <w:t xml:space="preserve">Author:</w:t>
      </w:r>
      <w:r>
        <w:t xml:space="preserve"> Amir Akrari</w:t>
      </w:r>
      <w:r>
        <w:br/>
      </w:r>
      <w:r>
        <w:rPr>
          <w:b/>
          <w:bCs/>
        </w:rPr>
        <w:t xml:space="preserve">Program:</w:t>
      </w:r>
      <w:r>
        <w:t xml:space="preserve"> Applied Informatics</w:t>
      </w:r>
      <w:r>
        <w:br/>
      </w:r>
      <w:r>
        <w:rPr>
          <w:b/>
          <w:bCs/>
        </w:rPr>
        <w:t xml:space="preserve">Institution:</w:t>
      </w:r>
      <w:r>
        <w:t xml:space="preserve"> Odisee</w:t>
      </w:r>
      <w:r>
        <w:br/>
      </w:r>
      <w:r>
        <w:rPr>
          <w:b/>
          <w:bCs/>
        </w:rPr>
        <w:t xml:space="preserve">Date:</w:t>
      </w:r>
      <w:r/>
    </w:p>
    <w:p>
      <w:pPr>
        <w:pStyle w:val="962"/>
        <w:pBdr/>
        <w:spacing/>
        <w:ind/>
        <w:rPr/>
      </w:pPr>
      <w:r>
        <w:rPr>
          <w:b/>
          <w:bCs/>
        </w:rPr>
        <w:t xml:space="preserve">Supervisor:</w:t>
      </w:r>
      <w:r>
        <w:t xml:space="preserve"> Patrick Van den Broeck</w:t>
      </w:r>
      <w:r/>
    </w:p>
    <w:p>
      <w:pPr>
        <w:pStyle w:val="975"/>
        <w:pBdr/>
        <w:spacing/>
        <w:ind/>
        <w:rPr/>
      </w:pPr>
      <w:r/>
      <w:bookmarkStart w:id="9" w:name="declaration-of-original-work"/>
      <w:r>
        <w:t xml:space="preserve">Declaration of Original Work</w:t>
      </w:r>
      <w:r/>
    </w:p>
    <w:p>
      <w:pPr>
        <w:pStyle w:val="963"/>
        <w:pBdr/>
        <w:spacing/>
        <w:ind/>
        <w:rPr/>
      </w:pPr>
      <w:r>
        <w:t xml:space="preserve">I hereby declare that this thesis represents my own original work and has not been submitted p</w:t>
      </w:r>
      <w:r>
        <w:t xml:space="preserve">reviously for any academic degree or qualification at any institution. All sources used in this work have been properly cited and acknowledged in accordance with academic conventions. Where I have quoted from the work of others, the source is always given.</w:t>
      </w:r>
      <w:r/>
    </w:p>
    <w:p>
      <w:pPr>
        <w:pStyle w:val="962"/>
        <w:pBdr/>
        <w:spacing/>
        <w:ind/>
        <w:rPr/>
      </w:pPr>
      <w:r>
        <w:t xml:space="preserve">The views expressed in this thesis are those of the author and do not necessarily reflect the views of the institution. Any remaining errors or omissions are my own responsibility.</w:t>
      </w:r>
      <w:r/>
    </w:p>
    <w:p>
      <w:pPr>
        <w:pStyle w:val="962"/>
        <w:pBdr/>
        <w:spacing/>
        <w:ind/>
        <w:rPr/>
      </w:pPr>
      <w:r>
        <w:rPr>
          <w:b/>
          <w:bCs/>
        </w:rPr>
        <w:t xml:space="preserve">Signature:</w:t>
      </w:r>
      <w:r/>
    </w:p>
    <w:p>
      <w:pPr>
        <w:pStyle w:val="962"/>
        <w:pBdr/>
        <w:spacing/>
        <w:ind/>
        <w:rPr/>
      </w:pPr>
      <w:r>
        <w:rPr>
          <w:b/>
          <w:bCs/>
        </w:rPr>
        <w:t xml:space="preserve">Date:</w:t>
      </w:r>
      <w:r/>
    </w:p>
    <w:p>
      <w:pPr>
        <w:pBdr/>
        <w:spacing/>
        <w:ind/>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FFFFFF" strokecolor="#000000"/>
            </w:pict>
          </mc:Fallback>
        </mc:AlternateContent>
      </w:r>
      <w:bookmarkEnd w:id="9"/>
      <w:r/>
    </w:p>
    <w:p>
      <w:pPr>
        <w:pStyle w:val="975"/>
        <w:pBdr/>
        <w:spacing/>
        <w:ind/>
        <w:rPr/>
      </w:pPr>
      <w:r/>
      <w:bookmarkStart w:id="10" w:name="foreword"/>
      <w:r>
        <w:t xml:space="preserve">Foreword</w:t>
      </w:r>
      <w:r/>
    </w:p>
    <w:p>
      <w:pPr>
        <w:pStyle w:val="963"/>
        <w:pBdr/>
        <w:spacing/>
        <w:ind/>
        <w:rPr/>
      </w:pPr>
      <w:r>
        <w:t xml:space="preserve">The software industry’s ethical failures are not merely academic concerns, they affect billions of users daily. From manipulative design patterns that exploit psychologi</w:t>
      </w:r>
      <w:r>
        <w:t xml:space="preserve">cal vulnerabilities to privacy violations, the problems documented in this thesis are urgent and real. Yet the industry’s response has been inadequate, often treating ethics as an afterthought or marketing opportunity rather than a foundational commitment.</w:t>
      </w:r>
      <w:r/>
    </w:p>
    <w:p>
      <w:pPr>
        <w:pStyle w:val="962"/>
        <w:pBdr/>
        <w:spacing/>
        <w:ind/>
        <w:rPr/>
      </w:pPr>
      <w:r>
        <w:t xml:space="preserve">Islamic ethics offers a comprehensive framework for commercial conduct that has guided Muslim merchants and professionals for over fourteen ce</w:t>
      </w:r>
      <w:r>
        <w:t xml:space="preserve">nturies. The principles of truthfulness (Sidq), trustworthiness (Amanah), justice (Adl), and prohibition of harm (La Darar) provide clear guidance that, when properly applied, address many of the ethical failures plaguing contemporary software development.</w:t>
      </w:r>
      <w:r/>
    </w:p>
    <w:p>
      <w:pPr>
        <w:pStyle w:val="962"/>
        <w:pBdr/>
        <w:spacing/>
        <w:ind/>
        <w:rPr/>
      </w:pPr>
      <w:r>
        <w:t xml:space="preserve">This thesis does not claim to provide all answers. The I-VSD framework is a beginning, not an end. It requires refinement through broader application, scholarly review, and community engagement.</w:t>
      </w:r>
      <w:r/>
    </w:p>
    <w:p>
      <w:pPr>
        <w:pBdr/>
        <w:spacing/>
        <w:ind/>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bookmarkEnd w:id="10"/>
      <w:r/>
    </w:p>
    <w:p>
      <w:pPr>
        <w:pStyle w:val="975"/>
        <w:pBdr/>
        <w:spacing/>
        <w:ind/>
        <w:rPr/>
      </w:pPr>
      <w:r/>
      <w:bookmarkStart w:id="11" w:name="abstract"/>
      <w:r>
        <w:t xml:space="preserve">Abstract</w:t>
      </w:r>
      <w:r/>
    </w:p>
    <w:p>
      <w:pPr>
        <w:pStyle w:val="963"/>
        <w:pBdr/>
        <w:spacing/>
        <w:ind/>
        <w:rPr/>
      </w:pPr>
      <w:r>
        <w:t xml:space="preserve">This thesis develops an Islamic Value-Sensitive Design (I-VSD) framework for provider-media</w:t>
      </w:r>
      <w:r>
        <w:t xml:space="preserve">ted software solutions: web platforms, SaaS products, APIs, self-hostable systems, and related tools where a provider retains ongoing responsibility for design, data, availability, governance, or stakeholder effects. The research adapts Value-Sensitive Des</w:t>
      </w:r>
      <w:r>
        <w:t xml:space="preserve">ign by grounding value selection in selected Sunni Islamic ethical principles derived from the Quran and Sunnah and translating those principles into practical heuristics across strategic, design, technical, operational, governance, and evaluation domains.</w:t>
      </w:r>
      <w:r/>
    </w:p>
    <w:p>
      <w:pPr>
        <w:pStyle w:val="962"/>
        <w:pBdr/>
        <w:spacing/>
        <w:ind/>
        <w:rPr/>
      </w:pPr>
      <w:r>
        <w:t xml:space="preserve">The framework is illustrated through ISLAMU Event as a single case-based application. The ca</w:t>
      </w:r>
      <w:r>
        <w:t xml:space="preserve">se shows how I-VSD can structure design reasoning about curation, anti-scam safeguards, privacy, payments, openness, federation, and long-term stewardship. This application provides initial design evidence and a worked example, not full empirical validatio</w:t>
      </w:r>
      <w:r>
        <w:t xml:space="preserve">n across all software categories. The thesis contributes a reusable framework for morally accountable software provision and identifies future validation paths through additional cases, practitioner review, stakeholder research, and operational evaluation.</w:t>
      </w:r>
      <w:r/>
    </w:p>
    <w:p>
      <w:pPr>
        <w:pStyle w:val="962"/>
        <w:pBdr/>
        <w:spacing/>
        <w:ind/>
        <w:rPr/>
      </w:pPr>
      <w:r>
        <w:rPr>
          <w:b/>
          <w:bCs/>
        </w:rPr>
        <w:t xml:space="preserve">Keywords:</w:t>
      </w:r>
      <w:r>
        <w:t xml:space="preserve"> Islamic Ethics, Value-Sensitive Design, Software Engineering, Moral Design, Provider-Mediated Software Solutions, Design Heuristics</w:t>
      </w:r>
      <w:r/>
    </w:p>
    <w:p>
      <w:pPr>
        <w:pBdr/>
        <w:spacing/>
        <w:ind/>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FFFFFF" strokecolor="#000000"/>
            </w:pict>
          </mc:Fallback>
        </mc:AlternateContent>
      </w:r>
      <w:bookmarkEnd w:id="11"/>
      <w:r/>
    </w:p>
    <w:p>
      <w:pPr>
        <w:pStyle w:val="975"/>
        <w:pBdr/>
        <w:spacing/>
        <w:ind/>
        <w:rPr/>
      </w:pPr>
      <w:r/>
      <w:bookmarkStart w:id="15" w:name="note-on-value-sources"/>
      <w:r>
        <w:t xml:space="preserve">Note on Value Sources</w:t>
      </w:r>
      <w:r/>
    </w:p>
    <w:p>
      <w:pPr>
        <w:pStyle w:val="963"/>
        <w:pBdr/>
        <w:spacing/>
        <w:ind/>
        <w:rPr/>
      </w:pPr>
      <w:r>
        <w:rPr>
          <w:b/>
          <w:bCs/>
        </w:rPr>
        <w:t xml:space="preserve">Important Clarification:</w:t>
      </w:r>
      <w:r>
        <w:t xml:space="preserve"> The values and principles presented in this framework are not derived exclusively from Islamic sources. This framework synthesizes ethical guidance from multiple complementary sources, all of which must be compatible with Sunni Islamic principles:</w:t>
      </w:r>
      <w:r/>
    </w:p>
    <w:p>
      <w:pPr>
        <w:pBdr/>
        <w:spacing/>
        <w:ind/>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12" w:name="primary-sources-islamic"/>
      <w:r>
        <w:t xml:space="preserve">Primary Sources (Islamic)</w:t>
      </w:r>
      <w:r/>
    </w:p>
    <w:p>
      <w:pPr>
        <w:pStyle w:val="964"/>
        <w:numPr>
          <w:ilvl w:val="0"/>
          <w:numId w:val="2"/>
        </w:numPr>
        <w:pBdr/>
        <w:spacing/>
        <w:ind/>
        <w:rPr/>
      </w:pPr>
      <w:r>
        <w:rPr>
          <w:b/>
          <w:bCs/>
        </w:rPr>
        <w:t xml:space="preserve">The Quran</w:t>
      </w:r>
      <w:r>
        <w:t xml:space="preserve"> - The direct word of Allah (God), the ultimate source of guidance</w:t>
      </w:r>
      <w:r/>
    </w:p>
    <w:p>
      <w:pPr>
        <w:pStyle w:val="964"/>
        <w:numPr>
          <w:ilvl w:val="0"/>
          <w:numId w:val="2"/>
        </w:numPr>
        <w:pBdr/>
        <w:spacing/>
        <w:ind/>
        <w:rPr/>
      </w:pPr>
      <w:r>
        <w:rPr>
          <w:b/>
          <w:bCs/>
        </w:rPr>
        <w:t xml:space="preserve">The Sunnah</w:t>
      </w:r>
      <w:r>
        <w:t xml:space="preserve"> - The authentic teachings, actions, and approvals of Prophet Muhammad (PBUH)</w:t>
      </w:r>
      <w:r/>
    </w:p>
    <w:p>
      <w:pPr>
        <w:pStyle w:val="964"/>
        <w:numPr>
          <w:ilvl w:val="0"/>
          <w:numId w:val="2"/>
        </w:numPr>
        <w:pBdr/>
        <w:spacing/>
        <w:ind/>
        <w:rPr/>
      </w:pPr>
      <w:r>
        <w:rPr>
          <w:b/>
          <w:bCs/>
        </w:rPr>
        <w:t xml:space="preserve">Ijma (Scholarly Consensus)</w:t>
      </w:r>
      <w:r>
        <w:t xml:space="preserve"> - Agreement among qualified Islamic scholars on specific rulings</w:t>
      </w:r>
      <w:r/>
    </w:p>
    <w:p>
      <w:pPr>
        <w:pStyle w:val="964"/>
        <w:numPr>
          <w:ilvl w:val="0"/>
          <w:numId w:val="2"/>
        </w:numPr>
        <w:pBdr/>
        <w:spacing/>
        <w:ind/>
        <w:rPr/>
      </w:pPr>
      <w:r>
        <w:rPr>
          <w:b/>
          <w:bCs/>
        </w:rPr>
        <w:t xml:space="preserve">Classical Islamic Scholarship</w:t>
      </w:r>
      <w:r>
        <w:t xml:space="preserve"> - Works of recognized scholars such as Imam al-Ghazali, Ibn Taymiyyah, and the four Madhabs</w:t>
      </w:r>
      <w:r/>
    </w:p>
    <w:p>
      <w:pPr>
        <w:pBdr/>
        <w:spacing/>
        <w:ind/>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FFFFFF" strokecolor="#000000"/>
            </w:pict>
          </mc:Fallback>
        </mc:AlternateContent>
      </w:r>
      <w:bookmarkEnd w:id="12"/>
      <w:r/>
    </w:p>
    <w:p>
      <w:pPr>
        <w:pStyle w:val="976"/>
        <w:pBdr/>
        <w:spacing/>
        <w:ind/>
        <w:rPr/>
      </w:pPr>
      <w:r/>
      <w:bookmarkStart w:id="13" w:name="X779b0c6d6abece4c14e8c976a60549b7798f7f6"/>
      <w:r>
        <w:t xml:space="preserve">Complementary Sources (Compatible with Islam)</w:t>
      </w:r>
      <w:r/>
    </w:p>
    <w:p>
      <w:pPr>
        <w:pStyle w:val="964"/>
        <w:numPr>
          <w:ilvl w:val="0"/>
          <w:numId w:val="3"/>
        </w:numPr>
        <w:pBdr/>
        <w:spacing/>
        <w:ind/>
        <w:rPr/>
      </w:pPr>
      <w:r>
        <w:rPr>
          <w:b/>
          <w:bCs/>
        </w:rPr>
        <w:t xml:space="preserve">Developer Rights and Ethics</w:t>
      </w:r>
      <w:r>
        <w:t xml:space="preserve"> - Professional standards established by organizations like ACM, IEEE, and software engineering bodies</w:t>
      </w:r>
      <w:r/>
    </w:p>
    <w:p>
      <w:pPr>
        <w:pStyle w:val="964"/>
        <w:numPr>
          <w:ilvl w:val="0"/>
          <w:numId w:val="3"/>
        </w:numPr>
        <w:pBdr/>
        <w:spacing/>
        <w:ind/>
        <w:rPr/>
      </w:pPr>
      <w:r>
        <w:rPr>
          <w:b/>
          <w:bCs/>
        </w:rPr>
        <w:t xml:space="preserve">Consumer Protection Laws and Rights</w:t>
      </w:r>
      <w:r>
        <w:t xml:space="preserve"> - GDPR, consumer protection regulations, right-to-repair movements</w:t>
      </w:r>
      <w:r/>
    </w:p>
    <w:p>
      <w:pPr>
        <w:pStyle w:val="964"/>
        <w:numPr>
          <w:ilvl w:val="0"/>
          <w:numId w:val="3"/>
        </w:numPr>
        <w:pBdr/>
        <w:spacing/>
        <w:ind/>
        <w:rPr/>
      </w:pPr>
      <w:r>
        <w:rPr>
          <w:b/>
          <w:bCs/>
        </w:rPr>
        <w:t xml:space="preserve">Advertising Standards</w:t>
      </w:r>
      <w:r>
        <w:t xml:space="preserve"> - Guidelines from bodies like the Acceptable Ads Committee, FTC advertising guidelines, ASA (Advertising Standards Authority)</w:t>
      </w:r>
      <w:r/>
    </w:p>
    <w:p>
      <w:pPr>
        <w:pStyle w:val="964"/>
        <w:numPr>
          <w:ilvl w:val="0"/>
          <w:numId w:val="3"/>
        </w:numPr>
        <w:pBdr/>
        <w:spacing/>
        <w:ind/>
        <w:rPr/>
      </w:pPr>
      <w:r>
        <w:rPr>
          <w:b/>
          <w:bCs/>
        </w:rPr>
        <w:t xml:space="preserve">Industry Best Practices</w:t>
      </w:r>
      <w:r>
        <w:t xml:space="preserve"> - Open source ethics, privacy-by-design principles, accessibility standards (WCAG)</w:t>
      </w:r>
      <w:r/>
    </w:p>
    <w:p>
      <w:pPr>
        <w:pStyle w:val="964"/>
        <w:numPr>
          <w:ilvl w:val="0"/>
          <w:numId w:val="3"/>
        </w:numPr>
        <w:pBdr/>
        <w:spacing/>
        <w:ind/>
        <w:rPr/>
      </w:pPr>
      <w:r>
        <w:rPr>
          <w:b/>
          <w:bCs/>
        </w:rPr>
        <w:t xml:space="preserve">Human Rights Frameworks</w:t>
      </w:r>
      <w:r>
        <w:t xml:space="preserve"> - Where compatible with Islamic principles, such as data privacy rights and anti-discrimination</w:t>
      </w:r>
      <w:r/>
    </w:p>
    <w:p>
      <w:pPr>
        <w:pBdr/>
        <w:spacing/>
        <w:ind/>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FFFFFF" strokecolor="#000000"/>
            </w:pict>
          </mc:Fallback>
        </mc:AlternateContent>
      </w:r>
      <w:bookmarkEnd w:id="13"/>
      <w:r/>
    </w:p>
    <w:p>
      <w:pPr>
        <w:pStyle w:val="976"/>
        <w:pBdr/>
        <w:spacing/>
        <w:ind/>
        <w:rPr/>
      </w:pPr>
      <w:r/>
      <w:bookmarkStart w:id="14" w:name="integration-principle"/>
      <w:r>
        <w:t xml:space="preserve">Integration Principle</w:t>
      </w:r>
      <w:r/>
    </w:p>
    <w:p>
      <w:pPr>
        <w:pStyle w:val="963"/>
        <w:pBdr/>
        <w:spacing/>
        <w:ind/>
        <w:rPr/>
      </w:pPr>
      <w:r>
        <w:t xml:space="preserve">When secular sources align with Islamic ethics, they provide additional practical guidance and legal frameworks. When they conflict with Islamic principles, Islamic guidance takes precedence. This framework prioritizes:</w:t>
      </w:r>
      <w:r/>
    </w:p>
    <w:p>
      <w:pPr>
        <w:pStyle w:val="964"/>
        <w:numPr>
          <w:ilvl w:val="0"/>
          <w:numId w:val="4"/>
        </w:numPr>
        <w:pBdr/>
        <w:spacing/>
        <w:ind/>
        <w:rPr/>
      </w:pPr>
      <w:r>
        <w:rPr>
          <w:b/>
          <w:bCs/>
        </w:rPr>
        <w:t xml:space="preserve">Absolute Islamic Prohibitions</w:t>
      </w:r>
      <w:r>
        <w:t xml:space="preserve"> - Never compromised (e.g., Usury (riba), deception etc…)</w:t>
      </w:r>
      <w:r/>
    </w:p>
    <w:p>
      <w:pPr>
        <w:pStyle w:val="964"/>
        <w:numPr>
          <w:ilvl w:val="0"/>
          <w:numId w:val="4"/>
        </w:numPr>
        <w:pBdr/>
        <w:spacing/>
        <w:ind/>
        <w:rPr/>
      </w:pPr>
      <w:r>
        <w:rPr>
          <w:b/>
          <w:bCs/>
        </w:rPr>
        <w:t xml:space="preserve">Islamic Recommendations</w:t>
      </w:r>
      <w:r>
        <w:t xml:space="preserve"> - Strongly preferred even if not legally required elsewhere</w:t>
      </w:r>
      <w:r/>
    </w:p>
    <w:p>
      <w:pPr>
        <w:pStyle w:val="964"/>
        <w:numPr>
          <w:ilvl w:val="0"/>
          <w:numId w:val="4"/>
        </w:numPr>
        <w:pBdr/>
        <w:spacing/>
        <w:ind/>
        <w:rPr/>
      </w:pPr>
      <w:r>
        <w:rPr>
          <w:b/>
          <w:bCs/>
        </w:rPr>
        <w:t xml:space="preserve">Complementary Secular Standards</w:t>
      </w:r>
      <w:r>
        <w:t xml:space="preserve"> - Adopted when without contradiction</w:t>
      </w:r>
      <w:r/>
    </w:p>
    <w:p>
      <w:pPr>
        <w:pStyle w:val="964"/>
        <w:numPr>
          <w:ilvl w:val="0"/>
          <w:numId w:val="4"/>
        </w:numPr>
        <w:pBdr/>
        <w:spacing/>
        <w:ind/>
        <w:rPr/>
      </w:pPr>
      <w:r>
        <w:rPr>
          <w:b/>
          <w:bCs/>
        </w:rPr>
        <w:t xml:space="preserve">Cultural Best Practices</w:t>
      </w:r>
      <w:r>
        <w:t xml:space="preserve"> - Considered when neutral to Islamic principles</w:t>
      </w:r>
      <w:r/>
    </w:p>
    <w:p>
      <w:pPr>
        <w:pStyle w:val="963"/>
        <w:pBdr/>
        <w:spacing/>
        <w:ind/>
        <w:rPr/>
      </w:pPr>
      <w:r>
        <w:t xml:space="preserve">This multi-source approach aims to keep the framework religiously grounded and practically applicable in modern software development contexts.</w:t>
      </w:r>
      <w:r/>
    </w:p>
    <w:p>
      <w:pPr>
        <w:pBdr/>
        <w:spacing/>
        <w:ind/>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FFFFFF" strokecolor="#000000"/>
            </w:pict>
          </mc:Fallback>
        </mc:AlternateContent>
      </w:r>
      <w:bookmarkEnd w:id="14"/>
      <w:bookmarkEnd w:id="15"/>
      <w:r/>
    </w:p>
    <w:p>
      <w:pPr>
        <w:pStyle w:val="975"/>
        <w:pBdr/>
        <w:spacing/>
        <w:ind/>
        <w:rPr/>
      </w:pPr>
      <w:r/>
      <w:bookmarkStart w:id="16" w:name="table-of-contents"/>
      <w:r>
        <w:t xml:space="preserve">Table of Contents</w:t>
      </w:r>
      <w:r/>
    </w:p>
    <w:p>
      <w:pPr>
        <w:pStyle w:val="963"/>
        <w:pBdr/>
        <w:spacing/>
        <w:ind/>
        <w:rPr/>
      </w:pPr>
      <w:r>
        <w:t xml:space="preserve">This table of contents reflects the refactored thesis spine. The main chapters keep the argument concise, while detailed catalogue evidence and expanded source notes are preserved in Appendix D.</w:t>
      </w:r>
      <w:r/>
    </w:p>
    <w:p>
      <w:pPr>
        <w:numPr>
          <w:ilvl w:val="0"/>
          <w:numId w:val="5"/>
        </w:numPr>
        <w:pBdr/>
        <w:spacing/>
        <w:ind/>
        <w:rPr/>
      </w:pPr>
      <w:r>
        <w:t xml:space="preserve">Introduction</w:t>
      </w:r>
      <w:r/>
    </w:p>
    <w:p>
      <w:pPr>
        <w:pStyle w:val="964"/>
        <w:numPr>
          <w:ilvl w:val="1"/>
          <w:numId w:val="6"/>
        </w:numPr>
        <w:pBdr/>
        <w:spacing/>
        <w:ind/>
        <w:rPr/>
      </w:pPr>
      <w:r>
        <w:t xml:space="preserve">1.1 Problem Statement: Moral Implications of Provider-Mediated Software</w:t>
      </w:r>
      <w:r/>
    </w:p>
    <w:p>
      <w:pPr>
        <w:pStyle w:val="964"/>
        <w:numPr>
          <w:ilvl w:val="1"/>
          <w:numId w:val="6"/>
        </w:numPr>
        <w:pBdr/>
        <w:spacing/>
        <w:ind/>
        <w:rPr/>
      </w:pPr>
      <w:r>
        <w:t xml:space="preserve">1.2 Main Research Question</w:t>
      </w:r>
      <w:r/>
    </w:p>
    <w:p>
      <w:pPr>
        <w:pStyle w:val="964"/>
        <w:numPr>
          <w:ilvl w:val="1"/>
          <w:numId w:val="6"/>
        </w:numPr>
        <w:pBdr/>
        <w:spacing/>
        <w:ind/>
        <w:rPr/>
      </w:pPr>
      <w:r>
        <w:t xml:space="preserve">1.3 Goal and Scope</w:t>
      </w:r>
      <w:r/>
    </w:p>
    <w:p>
      <w:pPr>
        <w:pStyle w:val="964"/>
        <w:numPr>
          <w:ilvl w:val="1"/>
          <w:numId w:val="6"/>
        </w:numPr>
        <w:pBdr/>
        <w:spacing/>
        <w:ind/>
        <w:rPr/>
      </w:pPr>
      <w:r>
        <w:t xml:space="preserve">1.4 Key Definitions</w:t>
      </w:r>
      <w:r/>
    </w:p>
    <w:p>
      <w:pPr>
        <w:pStyle w:val="964"/>
        <w:numPr>
          <w:ilvl w:val="1"/>
          <w:numId w:val="6"/>
        </w:numPr>
        <w:pBdr/>
        <w:spacing/>
        <w:ind/>
        <w:rPr/>
      </w:pPr>
      <w:r>
        <w:t xml:space="preserve">1.5 Thesis Structure</w:t>
      </w:r>
      <w:r/>
    </w:p>
    <w:p>
      <w:pPr>
        <w:numPr>
          <w:ilvl w:val="0"/>
          <w:numId w:val="5"/>
        </w:numPr>
        <w:pBdr/>
        <w:spacing/>
        <w:ind/>
        <w:rPr/>
      </w:pPr>
      <w:r>
        <w:t xml:space="preserve">Theoretical Framework</w:t>
      </w:r>
      <w:r/>
    </w:p>
    <w:p>
      <w:pPr>
        <w:pStyle w:val="964"/>
        <w:numPr>
          <w:ilvl w:val="1"/>
          <w:numId w:val="7"/>
        </w:numPr>
        <w:pBdr/>
        <w:spacing/>
        <w:ind/>
        <w:rPr/>
      </w:pPr>
      <w:r>
        <w:t xml:space="preserve">2.1 Representative Software Harms and Ethical Shortcomings</w:t>
      </w:r>
      <w:r/>
    </w:p>
    <w:p>
      <w:pPr>
        <w:pStyle w:val="964"/>
        <w:numPr>
          <w:ilvl w:val="2"/>
          <w:numId w:val="8"/>
        </w:numPr>
        <w:pBdr/>
        <w:spacing/>
        <w:ind/>
        <w:rPr/>
      </w:pPr>
      <w:r>
        <w:t xml:space="preserve">2.1.1 Islamic Business Principles and Prohibitions</w:t>
      </w:r>
      <w:r/>
    </w:p>
    <w:p>
      <w:pPr>
        <w:pStyle w:val="964"/>
        <w:numPr>
          <w:ilvl w:val="2"/>
          <w:numId w:val="8"/>
        </w:numPr>
        <w:pBdr/>
        <w:spacing/>
        <w:ind/>
        <w:rPr/>
      </w:pPr>
      <w:r>
        <w:t xml:space="preserve">2.1.2 The Principle of Dual-Use Services and Assisting in Sin</w:t>
      </w:r>
      <w:r/>
    </w:p>
    <w:p>
      <w:pPr>
        <w:pStyle w:val="964"/>
        <w:numPr>
          <w:ilvl w:val="2"/>
          <w:numId w:val="8"/>
        </w:numPr>
        <w:pBdr/>
        <w:spacing/>
        <w:ind/>
        <w:rPr/>
      </w:pPr>
      <w:r>
        <w:t xml:space="preserve">2.1.3 Representative Software Harms and I-VSD Motivation</w:t>
      </w:r>
      <w:r/>
    </w:p>
    <w:p>
      <w:pPr>
        <w:pStyle w:val="964"/>
        <w:numPr>
          <w:ilvl w:val="2"/>
          <w:numId w:val="8"/>
        </w:numPr>
        <w:pBdr/>
        <w:spacing/>
        <w:ind/>
        <w:rPr/>
      </w:pPr>
      <w:r>
        <w:t xml:space="preserve">2.1.4 Case Studies: Value-Driven Decisions and Industry Practice</w:t>
      </w:r>
      <w:r/>
    </w:p>
    <w:p>
      <w:pPr>
        <w:pStyle w:val="964"/>
        <w:numPr>
          <w:ilvl w:val="1"/>
          <w:numId w:val="7"/>
        </w:numPr>
        <w:pBdr/>
        <w:spacing/>
        <w:ind/>
        <w:rPr/>
      </w:pPr>
      <w:r>
        <w:t xml:space="preserve">2.2 Value-Sensitive Design: A Review of the Methodology</w:t>
      </w:r>
      <w:r/>
    </w:p>
    <w:p>
      <w:pPr>
        <w:pStyle w:val="964"/>
        <w:numPr>
          <w:ilvl w:val="2"/>
          <w:numId w:val="9"/>
        </w:numPr>
        <w:pBdr/>
        <w:spacing/>
        <w:ind/>
        <w:rPr/>
      </w:pPr>
      <w:r>
        <w:t xml:space="preserve">2.2.1 Origins and Foundations of VSD</w:t>
      </w:r>
      <w:r/>
    </w:p>
    <w:p>
      <w:pPr>
        <w:pStyle w:val="964"/>
        <w:numPr>
          <w:ilvl w:val="2"/>
          <w:numId w:val="9"/>
        </w:numPr>
        <w:pBdr/>
        <w:spacing/>
        <w:ind/>
        <w:rPr/>
      </w:pPr>
      <w:r>
        <w:t xml:space="preserve">2.2.2 VSD in Software Development Practice</w:t>
      </w:r>
      <w:r/>
    </w:p>
    <w:p>
      <w:pPr>
        <w:pStyle w:val="964"/>
        <w:numPr>
          <w:ilvl w:val="2"/>
          <w:numId w:val="9"/>
        </w:numPr>
        <w:pBdr/>
        <w:spacing/>
        <w:ind/>
        <w:rPr/>
      </w:pPr>
      <w:r>
        <w:t xml:space="preserve">2.2.3 Limitations of VSD for Religious Contexts</w:t>
      </w:r>
      <w:r/>
    </w:p>
    <w:p>
      <w:pPr>
        <w:pStyle w:val="964"/>
        <w:numPr>
          <w:ilvl w:val="2"/>
          <w:numId w:val="9"/>
        </w:numPr>
        <w:pBdr/>
        <w:spacing/>
        <w:ind/>
        <w:rPr/>
      </w:pPr>
      <w:r>
        <w:t xml:space="preserve">2.2.4 Related Value-Conscious Approaches</w:t>
      </w:r>
      <w:r/>
    </w:p>
    <w:p>
      <w:pPr>
        <w:pStyle w:val="964"/>
        <w:numPr>
          <w:ilvl w:val="1"/>
          <w:numId w:val="7"/>
        </w:numPr>
        <w:pBdr/>
        <w:spacing/>
        <w:ind/>
        <w:rPr/>
      </w:pPr>
      <w:r>
        <w:t xml:space="preserve">2.3 Islamic Ethical Principles for Software Design</w:t>
      </w:r>
      <w:r/>
    </w:p>
    <w:p>
      <w:pPr>
        <w:pStyle w:val="964"/>
        <w:numPr>
          <w:ilvl w:val="2"/>
          <w:numId w:val="10"/>
        </w:numPr>
        <w:pBdr/>
        <w:spacing/>
        <w:ind/>
        <w:rPr/>
      </w:pPr>
      <w:r>
        <w:t xml:space="preserve">2.3.1 Core Islamic Ethical Principles Applicable to Software Development</w:t>
      </w:r>
      <w:r/>
    </w:p>
    <w:p>
      <w:pPr>
        <w:pStyle w:val="964"/>
        <w:numPr>
          <w:ilvl w:val="2"/>
          <w:numId w:val="10"/>
        </w:numPr>
        <w:pBdr/>
        <w:spacing/>
        <w:ind/>
        <w:rPr/>
      </w:pPr>
      <w:r>
        <w:t xml:space="preserve">2.3.2 Summary: From Islamic Ethical Principles to I-VSD Domains</w:t>
      </w:r>
      <w:r/>
    </w:p>
    <w:p>
      <w:pPr>
        <w:numPr>
          <w:ilvl w:val="0"/>
          <w:numId w:val="5"/>
        </w:numPr>
        <w:pBdr/>
        <w:spacing/>
        <w:ind/>
        <w:rPr/>
      </w:pPr>
      <w:r>
        <w:t xml:space="preserve">Methodology: Developing the I-VSD Framework</w:t>
      </w:r>
      <w:r/>
    </w:p>
    <w:p>
      <w:pPr>
        <w:pStyle w:val="964"/>
        <w:numPr>
          <w:ilvl w:val="1"/>
          <w:numId w:val="11"/>
        </w:numPr>
        <w:pBdr/>
        <w:spacing/>
        <w:ind/>
        <w:rPr/>
      </w:pPr>
      <w:r>
        <w:t xml:space="preserve">3.1 Research Design and Approach</w:t>
      </w:r>
      <w:r/>
    </w:p>
    <w:p>
      <w:pPr>
        <w:pStyle w:val="964"/>
        <w:numPr>
          <w:ilvl w:val="1"/>
          <w:numId w:val="11"/>
        </w:numPr>
        <w:pBdr/>
        <w:spacing/>
        <w:ind/>
        <w:rPr/>
      </w:pPr>
      <w:r>
        <w:t xml:space="preserve">3.2 Synthesizing VSD with Islamic Ethics</w:t>
      </w:r>
      <w:r/>
    </w:p>
    <w:p>
      <w:pPr>
        <w:pStyle w:val="964"/>
        <w:numPr>
          <w:ilvl w:val="2"/>
          <w:numId w:val="12"/>
        </w:numPr>
        <w:pBdr/>
        <w:spacing/>
        <w:ind/>
        <w:rPr/>
      </w:pPr>
      <w:r>
        <w:t xml:space="preserve">3.2.1 Framework Development Process</w:t>
      </w:r>
      <w:r/>
    </w:p>
    <w:p>
      <w:pPr>
        <w:pStyle w:val="964"/>
        <w:numPr>
          <w:ilvl w:val="2"/>
          <w:numId w:val="12"/>
        </w:numPr>
        <w:pBdr/>
        <w:spacing/>
        <w:ind/>
        <w:rPr/>
      </w:pPr>
      <w:r>
        <w:t xml:space="preserve">3.2.2 The I-VSD Framework Structure</w:t>
      </w:r>
      <w:r/>
    </w:p>
    <w:p>
      <w:pPr>
        <w:pStyle w:val="964"/>
        <w:numPr>
          <w:ilvl w:val="2"/>
          <w:numId w:val="12"/>
        </w:numPr>
        <w:pBdr/>
        <w:spacing/>
        <w:ind/>
        <w:rPr/>
      </w:pPr>
      <w:r>
        <w:t xml:space="preserve">3.2.3 Data Governance Heuristics</w:t>
      </w:r>
      <w:r/>
    </w:p>
    <w:p>
      <w:pPr>
        <w:pStyle w:val="964"/>
        <w:numPr>
          <w:ilvl w:val="2"/>
          <w:numId w:val="12"/>
        </w:numPr>
        <w:pBdr/>
        <w:spacing/>
        <w:ind/>
        <w:rPr/>
      </w:pPr>
      <w:r>
        <w:t xml:space="preserve">3.2.4 Content Moderation Heuristics</w:t>
      </w:r>
      <w:r/>
    </w:p>
    <w:p>
      <w:pPr>
        <w:pStyle w:val="964"/>
        <w:numPr>
          <w:ilvl w:val="2"/>
          <w:numId w:val="12"/>
        </w:numPr>
        <w:pBdr/>
        <w:spacing/>
        <w:ind/>
        <w:rPr/>
      </w:pPr>
      <w:r>
        <w:t xml:space="preserve">3.2.5 AI and Algorithmic Heuristics</w:t>
      </w:r>
      <w:r/>
    </w:p>
    <w:p>
      <w:pPr>
        <w:pStyle w:val="964"/>
        <w:numPr>
          <w:ilvl w:val="2"/>
          <w:numId w:val="12"/>
        </w:numPr>
        <w:pBdr/>
        <w:spacing/>
        <w:ind/>
        <w:rPr/>
      </w:pPr>
      <w:r>
        <w:t xml:space="preserve">3.2.6 Marketing and Communication Heuristics</w:t>
      </w:r>
      <w:r/>
    </w:p>
    <w:p>
      <w:pPr>
        <w:pStyle w:val="964"/>
        <w:numPr>
          <w:ilvl w:val="2"/>
          <w:numId w:val="12"/>
        </w:numPr>
        <w:pBdr/>
        <w:spacing/>
        <w:ind/>
        <w:rPr/>
      </w:pPr>
      <w:r>
        <w:t xml:space="preserve">3.2.7 Business Model Heuristics</w:t>
      </w:r>
      <w:r/>
    </w:p>
    <w:p>
      <w:pPr>
        <w:pStyle w:val="964"/>
        <w:numPr>
          <w:ilvl w:val="1"/>
          <w:numId w:val="11"/>
        </w:numPr>
        <w:pBdr/>
        <w:spacing/>
        <w:ind/>
        <w:rPr/>
      </w:pPr>
      <w:r>
        <w:t xml:space="preserve">3.3 Translating Principles into Practice: From Ethics to Design Heuristics</w:t>
      </w:r>
      <w:r/>
    </w:p>
    <w:p>
      <w:pPr>
        <w:pStyle w:val="964"/>
        <w:numPr>
          <w:ilvl w:val="1"/>
          <w:numId w:val="11"/>
        </w:numPr>
        <w:pBdr/>
        <w:spacing/>
        <w:ind/>
        <w:rPr/>
      </w:pPr>
      <w:r>
        <w:t xml:space="preserve">3.4 Framework Application Process</w:t>
      </w:r>
      <w:r/>
    </w:p>
    <w:p>
      <w:pPr>
        <w:numPr>
          <w:ilvl w:val="0"/>
          <w:numId w:val="5"/>
        </w:numPr>
        <w:pBdr/>
        <w:spacing/>
        <w:ind/>
        <w:rPr/>
      </w:pPr>
      <w:r>
        <w:t xml:space="preserve">Case Study: ISLAMU Event as an Illustrative Application</w:t>
      </w:r>
      <w:r/>
    </w:p>
    <w:p>
      <w:pPr>
        <w:pStyle w:val="964"/>
        <w:numPr>
          <w:ilvl w:val="1"/>
          <w:numId w:val="13"/>
        </w:numPr>
        <w:pBdr/>
        <w:spacing/>
        <w:ind/>
        <w:rPr/>
      </w:pPr>
      <w:r>
        <w:t xml:space="preserve">4.1 Context: The ISLAMU Non-Profit Organization</w:t>
      </w:r>
      <w:r/>
    </w:p>
    <w:p>
      <w:pPr>
        <w:pStyle w:val="964"/>
        <w:numPr>
          <w:ilvl w:val="1"/>
          <w:numId w:val="13"/>
        </w:numPr>
        <w:pBdr/>
        <w:spacing/>
        <w:ind/>
        <w:rPr/>
      </w:pPr>
      <w:r>
        <w:t xml:space="preserve">4.2 Applying I-VSD to ISLAMU Event</w:t>
      </w:r>
      <w:r/>
    </w:p>
    <w:p>
      <w:pPr>
        <w:pStyle w:val="964"/>
        <w:numPr>
          <w:ilvl w:val="1"/>
          <w:numId w:val="13"/>
        </w:numPr>
        <w:pBdr/>
        <w:spacing/>
        <w:ind/>
        <w:rPr/>
      </w:pPr>
      <w:r>
        <w:t xml:space="preserve">4.3 Strategic and Business Decisions</w:t>
      </w:r>
      <w:r/>
    </w:p>
    <w:p>
      <w:pPr>
        <w:pStyle w:val="964"/>
        <w:numPr>
          <w:ilvl w:val="1"/>
          <w:numId w:val="13"/>
        </w:numPr>
        <w:pBdr/>
        <w:spacing/>
        <w:ind/>
        <w:rPr/>
      </w:pPr>
      <w:r>
        <w:t xml:space="preserve">4.4 Technical and Architectural Choices</w:t>
      </w:r>
      <w:r/>
    </w:p>
    <w:p>
      <w:pPr>
        <w:numPr>
          <w:ilvl w:val="0"/>
          <w:numId w:val="5"/>
        </w:numPr>
        <w:pBdr/>
        <w:spacing/>
        <w:ind/>
        <w:rPr/>
      </w:pPr>
      <w:r>
        <w:t xml:space="preserve">Discussion and Analysis</w:t>
      </w:r>
      <w:r/>
    </w:p>
    <w:p>
      <w:pPr>
        <w:pStyle w:val="964"/>
        <w:numPr>
          <w:ilvl w:val="1"/>
          <w:numId w:val="14"/>
        </w:numPr>
        <w:pBdr/>
        <w:spacing/>
        <w:ind/>
        <w:rPr/>
      </w:pPr>
      <w:r>
        <w:t xml:space="preserve">5.1 Interpreting Framework Contribution and Case Evidence</w:t>
      </w:r>
      <w:r/>
    </w:p>
    <w:p>
      <w:pPr>
        <w:pStyle w:val="964"/>
        <w:numPr>
          <w:ilvl w:val="1"/>
          <w:numId w:val="14"/>
        </w:numPr>
        <w:pBdr/>
        <w:spacing/>
        <w:ind/>
        <w:rPr/>
      </w:pPr>
      <w:r>
        <w:t xml:space="preserve">5.2 Challenges and Limitations</w:t>
      </w:r>
      <w:r/>
    </w:p>
    <w:p>
      <w:pPr>
        <w:pStyle w:val="964"/>
        <w:numPr>
          <w:ilvl w:val="1"/>
          <w:numId w:val="14"/>
        </w:numPr>
        <w:pBdr/>
        <w:spacing/>
        <w:ind/>
        <w:rPr/>
      </w:pPr>
      <w:r>
        <w:t xml:space="preserve">5.3 Islamic Success Criteria and Non-Financial Evaluation</w:t>
      </w:r>
      <w:r/>
    </w:p>
    <w:p>
      <w:pPr>
        <w:pStyle w:val="964"/>
        <w:numPr>
          <w:ilvl w:val="1"/>
          <w:numId w:val="14"/>
        </w:numPr>
        <w:pBdr/>
        <w:spacing/>
        <w:ind/>
        <w:rPr/>
      </w:pPr>
      <w:r>
        <w:t xml:space="preserve">5.4 Additional Considerations and Practical Constraints</w:t>
      </w:r>
      <w:r/>
    </w:p>
    <w:p>
      <w:pPr>
        <w:pStyle w:val="964"/>
        <w:numPr>
          <w:ilvl w:val="1"/>
          <w:numId w:val="14"/>
        </w:numPr>
        <w:pBdr/>
        <w:spacing/>
        <w:ind/>
        <w:rPr/>
      </w:pPr>
      <w:r>
        <w:t xml:space="preserve">5.5 Anticipated Objections and Responses</w:t>
      </w:r>
      <w:r/>
    </w:p>
    <w:p>
      <w:pPr>
        <w:numPr>
          <w:ilvl w:val="0"/>
          <w:numId w:val="5"/>
        </w:numPr>
        <w:pBdr/>
        <w:spacing/>
        <w:ind/>
        <w:rPr/>
      </w:pPr>
      <w:r>
        <w:t xml:space="preserve">Conclusion</w:t>
      </w:r>
      <w:r/>
    </w:p>
    <w:p>
      <w:pPr>
        <w:pStyle w:val="964"/>
        <w:numPr>
          <w:ilvl w:val="1"/>
          <w:numId w:val="15"/>
        </w:numPr>
        <w:pBdr/>
        <w:spacing/>
        <w:ind/>
        <w:rPr/>
      </w:pPr>
      <w:r>
        <w:t xml:space="preserve">6.1 Answering the Main Research Question</w:t>
      </w:r>
      <w:r/>
    </w:p>
    <w:p>
      <w:pPr>
        <w:pStyle w:val="964"/>
        <w:numPr>
          <w:ilvl w:val="1"/>
          <w:numId w:val="15"/>
        </w:numPr>
        <w:pBdr/>
        <w:spacing/>
        <w:ind/>
        <w:rPr/>
      </w:pPr>
      <w:r>
        <w:t xml:space="preserve">6.2 Recommendations and Future Work</w:t>
      </w:r>
      <w:r/>
    </w:p>
    <w:p>
      <w:pPr>
        <w:numPr>
          <w:ilvl w:val="0"/>
          <w:numId w:val="5"/>
        </w:numPr>
        <w:pBdr/>
        <w:spacing/>
        <w:ind/>
        <w:rPr/>
      </w:pPr>
      <w:r>
        <w:t xml:space="preserve">References</w:t>
      </w:r>
      <w:r/>
    </w:p>
    <w:p>
      <w:pPr>
        <w:numPr>
          <w:ilvl w:val="0"/>
          <w:numId w:val="5"/>
        </w:numPr>
        <w:pBdr/>
        <w:spacing/>
        <w:ind/>
        <w:rPr/>
      </w:pPr>
      <w:r>
        <w:t xml:space="preserve">Appendices</w:t>
      </w:r>
      <w:r/>
    </w:p>
    <w:p>
      <w:pPr>
        <w:pStyle w:val="964"/>
        <w:numPr>
          <w:ilvl w:val="1"/>
          <w:numId w:val="16"/>
        </w:numPr>
        <w:pBdr/>
        <w:spacing/>
        <w:ind/>
        <w:rPr/>
      </w:pPr>
      <w:r>
        <w:t xml:space="preserve">Appendix A: The I-VSD Framework Reference Tables</w:t>
      </w:r>
      <w:r/>
    </w:p>
    <w:p>
      <w:pPr>
        <w:pStyle w:val="964"/>
        <w:numPr>
          <w:ilvl w:val="1"/>
          <w:numId w:val="16"/>
        </w:numPr>
        <w:pBdr/>
        <w:spacing/>
        <w:ind/>
        <w:rPr/>
      </w:pPr>
      <w:r>
        <w:t xml:space="preserve">Appendix B: ISLAMU Organization Context</w:t>
      </w:r>
      <w:r/>
    </w:p>
    <w:p>
      <w:pPr>
        <w:pStyle w:val="964"/>
        <w:numPr>
          <w:ilvl w:val="1"/>
          <w:numId w:val="16"/>
        </w:numPr>
        <w:pBdr/>
        <w:spacing/>
        <w:ind/>
        <w:rPr/>
      </w:pPr>
      <w:r>
        <w:t xml:space="preserve">Appendix C: Glossary of Islamic Terms</w:t>
      </w:r>
      <w:r/>
    </w:p>
    <w:p>
      <w:pPr>
        <w:pStyle w:val="964"/>
        <w:numPr>
          <w:ilvl w:val="1"/>
          <w:numId w:val="16"/>
        </w:numPr>
        <w:pBdr/>
        <w:spacing/>
        <w:ind/>
        <w:rPr/>
      </w:pPr>
      <w:r>
        <w:t xml:space="preserve">Appendix D: Extended Evidence Catalogue</w:t>
      </w:r>
      <w:r/>
    </w:p>
    <w:p>
      <w:pPr>
        <w:pStyle w:val="964"/>
        <w:numPr>
          <w:ilvl w:val="1"/>
          <w:numId w:val="16"/>
        </w:numPr>
        <w:pBdr/>
        <w:spacing/>
        <w:ind/>
        <w:rPr/>
      </w:pPr>
      <w:r>
        <w:t xml:space="preserve">Appendix E: Technical Stack Evaluation Matrix</w:t>
      </w:r>
      <w:r/>
    </w:p>
    <w:p>
      <w:pPr>
        <w:pBdr/>
        <w:spacing/>
        <w:ind/>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FFFFFF" strokecolor="#000000"/>
            </w:pict>
          </mc:Fallback>
        </mc:AlternateContent>
      </w:r>
      <w:bookmarkEnd w:id="16"/>
      <w:r/>
    </w:p>
    <w:p>
      <w:pPr>
        <w:pStyle w:val="975"/>
        <w:pBdr/>
        <w:spacing/>
        <w:ind/>
        <w:rPr/>
      </w:pPr>
      <w:r/>
      <w:bookmarkStart w:id="22" w:name="introduction"/>
      <w:r>
        <w:t xml:space="preserve">1. Introduction</w:t>
      </w:r>
      <w:r/>
    </w:p>
    <w:p>
      <w:pPr>
        <w:pBdr/>
        <w:spacing/>
        <w:ind/>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17" w:name="Xdeb82fbd09239503a81ed37da48366115021215"/>
      <w:r>
        <w:t xml:space="preserve">1.1 Problem Statement: Moral Implications of Provider-Mediated Software</w:t>
      </w:r>
      <w:r/>
    </w:p>
    <w:p>
      <w:pPr>
        <w:pStyle w:val="963"/>
        <w:pBdr/>
        <w:spacing/>
        <w:ind/>
        <w:rPr/>
      </w:pPr>
      <w:r>
        <w:t xml:space="preserve">The contemporary software industry faces significant ethical challenges that impact millions of users worldwide. While technology promises innovation and progress, misaligned incent</w:t>
      </w:r>
      <w:r>
        <w:t xml:space="preserve">ives throughout the development, deployment, and diffusion of software often lead to harmful outcomes (Center for Humane Technology, n.d.). These range from privacy violations and data breaches to manipulative design patterns and unfair business practices.</w:t>
      </w:r>
      <w:r/>
    </w:p>
    <w:p>
      <w:pPr>
        <w:pStyle w:val="962"/>
        <w:pBdr/>
        <w:spacing/>
        <w:ind/>
        <w:rPr/>
      </w:pPr>
      <w:r>
        <w:t xml:space="preserve">The importance of maintaining moral and ethical standards in software b</w:t>
      </w:r>
      <w:r>
        <w:t xml:space="preserve">usiness extends beyond mere compliance. Ethical business practices earn and maintain trust, improve retention rates, generate positive word-of-mouth recommendations, create authentic and sustainable marketing value, and build long-term business resilience.</w:t>
      </w:r>
      <w:r/>
    </w:p>
    <w:p>
      <w:pPr>
        <w:pStyle w:val="962"/>
        <w:pBdr/>
        <w:spacing/>
        <w:ind/>
        <w:rPr/>
      </w:pPr>
      <w:r>
        <w:t xml:space="preserve">Despite these clear benefits, the industry continues to exhibit patte</w:t>
      </w:r>
      <w:r>
        <w:t xml:space="preserve">rns of behavior that prioritize short-term profits over welfare and moral responsibility. This thesis addresses this gap by proposing an Islamic Value-Sensitive Design framework that integrates moral considerations into every stage of software development.</w:t>
      </w:r>
      <w:r/>
    </w:p>
    <w:p>
      <w:pPr>
        <w:pStyle w:val="962"/>
        <w:pBdr/>
        <w:spacing/>
        <w:ind/>
        <w:rPr/>
      </w:pPr>
      <w:r>
        <w:rPr>
          <w:b/>
          <w:bCs/>
        </w:rPr>
        <w:t xml:space="preserve">Trust as a Practical User Constraint</w:t>
      </w:r>
      <w:r/>
    </w:p>
    <w:p>
      <w:pPr>
        <w:pStyle w:val="962"/>
        <w:pBdr/>
        <w:spacing/>
        <w:ind/>
        <w:rPr/>
      </w:pPr>
      <w:r>
        <w:t xml:space="preserve">The moral implications of software services are not limited to ab</w:t>
      </w:r>
      <w:r>
        <w:t xml:space="preserve">stract rules or technical best practices. Users often experience ethical tension when the most capable tool is produced by an organization they do not trust. In such cases, performance, convenience, decentralization, export options, or open-source status m</w:t>
      </w:r>
      <w:r>
        <w:t xml:space="preserve">ay matter less than the user’s judgment about the organization behind the tool. A user may accept substantial friction to avoid a provider they distrust, while remaining loyal to a less technically ideal provider whose motives and conduct feel trustworthy.</w:t>
      </w:r>
      <w:r/>
    </w:p>
    <w:p>
      <w:pPr>
        <w:pStyle w:val="962"/>
        <w:pBdr/>
        <w:spacing/>
        <w:ind/>
        <w:rPr/>
      </w:pPr>
      <w:r>
        <w:t xml:space="preserve">This shows why the thesis tr</w:t>
      </w:r>
      <w:r>
        <w:t xml:space="preserve">eats trust as a core software-design concern. Ethical failures in the industry do not merely create isolated scandals; they reshape how users evaluate software, how much verification burden they assume, and how much freedom they need before they feel safe.</w:t>
      </w:r>
      <w:r/>
    </w:p>
    <w:p>
      <w:pPr>
        <w:pBdr/>
        <w:spacing/>
        <w:ind/>
        <w:rPr/>
      </w:pPr>
      <w:r>
        <mc:AlternateContent>
          <mc:Choice Requires="wpg">
            <w:drawing>
              <wp:inline xmlns:wp="http://schemas.openxmlformats.org/drawingml/2006/wordprocessingDrawing" distT="0" distB="0" distL="0" distR="0">
                <wp:extent cx="0" cy="19050"/>
                <wp:effectExtent l="0" t="0" r="0" b="0"/>
                <wp:docPr id="1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FFFFFF" strokecolor="#000000"/>
            </w:pict>
          </mc:Fallback>
        </mc:AlternateContent>
      </w:r>
      <w:bookmarkEnd w:id="17"/>
      <w:r/>
    </w:p>
    <w:p>
      <w:pPr>
        <w:pStyle w:val="976"/>
        <w:pBdr/>
        <w:spacing/>
        <w:ind/>
        <w:rPr/>
      </w:pPr>
      <w:r/>
      <w:bookmarkStart w:id="18" w:name="main-research-question"/>
      <w:r>
        <w:t xml:space="preserve">1.2 Main Research Question</w:t>
      </w:r>
      <w:r/>
    </w:p>
    <w:p>
      <w:pPr>
        <w:pStyle w:val="963"/>
        <w:pBdr/>
        <w:spacing/>
        <w:ind/>
        <w:rPr/>
      </w:pPr>
      <w:r>
        <w:rPr>
          <w:b/>
          <w:bCs/>
        </w:rPr>
        <w:t xml:space="preserve">How can selected Islamic ethical principles be translated into a reusable Value-Sensitive Design framework for provider-mediated software solutions, and how can this framework structure ethical design decisions in the case of ISLAMU Event?</w:t>
      </w:r>
      <w:r/>
    </w:p>
    <w:p>
      <w:pPr>
        <w:pStyle w:val="962"/>
        <w:pBdr/>
        <w:spacing/>
        <w:ind/>
        <w:rPr/>
      </w:pPr>
      <w:r>
        <w:t xml:space="preserve">This </w:t>
      </w:r>
      <w:r>
        <w:t xml:space="preserve">question keeps the thesis centered on framework development rather than on a single product or organization. ISLAMU Event functions as an illustrative worked application of the framework, not as the full scope of I-VSD and not as full empirical validation.</w:t>
      </w:r>
      <w:r/>
    </w:p>
    <w:p>
      <w:pPr>
        <w:pStyle w:val="962"/>
        <w:pBdr/>
        <w:spacing/>
        <w:ind/>
        <w:rPr/>
      </w:pPr>
      <w:r>
        <w:t xml:space="preserve">The following subquestions guide the research:</w:t>
      </w:r>
      <w:r/>
    </w:p>
    <w:p>
      <w:pPr>
        <w:pStyle w:val="964"/>
        <w:numPr>
          <w:ilvl w:val="0"/>
          <w:numId w:val="17"/>
        </w:numPr>
        <w:pBdr/>
        <w:spacing/>
        <w:ind/>
        <w:rPr/>
      </w:pPr>
      <w:r>
        <w:t xml:space="preserve">Which Islamic ethical principles are selected, and why are they relevant to software design?</w:t>
      </w:r>
      <w:r/>
    </w:p>
    <w:p>
      <w:pPr>
        <w:pStyle w:val="964"/>
        <w:numPr>
          <w:ilvl w:val="0"/>
          <w:numId w:val="17"/>
        </w:numPr>
        <w:pBdr/>
        <w:spacing/>
        <w:ind/>
        <w:rPr/>
      </w:pPr>
      <w:r>
        <w:t xml:space="preserve">How can these principles be mapped into design, technical, strategic, operational, governance, and evaluation heuristics?</w:t>
      </w:r>
      <w:r/>
    </w:p>
    <w:p>
      <w:pPr>
        <w:pStyle w:val="964"/>
        <w:numPr>
          <w:ilvl w:val="0"/>
          <w:numId w:val="17"/>
        </w:numPr>
        <w:pBdr/>
        <w:spacing/>
        <w:ind/>
        <w:rPr/>
      </w:pPr>
      <w:r>
        <w:t xml:space="preserve">How does the framework guide design decisions in ISLAMU Event?</w:t>
      </w:r>
      <w:r/>
    </w:p>
    <w:p>
      <w:pPr>
        <w:pStyle w:val="964"/>
        <w:numPr>
          <w:ilvl w:val="0"/>
          <w:numId w:val="17"/>
        </w:numPr>
        <w:pBdr/>
        <w:spacing/>
        <w:ind/>
        <w:rPr/>
      </w:pPr>
      <w:r>
        <w:t xml:space="preserve">What are the limits of this framework’s current validation and transferability?</w:t>
      </w:r>
      <w:r/>
    </w:p>
    <w:p>
      <w:pPr>
        <w:pBdr/>
        <w:spacing/>
        <w:ind/>
        <w:rPr/>
      </w:pPr>
      <w:r>
        <mc:AlternateContent>
          <mc:Choice Requires="wpg">
            <w:drawing>
              <wp:inline xmlns:wp="http://schemas.openxmlformats.org/drawingml/2006/wordprocessingDrawing" distT="0" distB="0" distL="0" distR="0">
                <wp:extent cx="0" cy="19050"/>
                <wp:effectExtent l="0" t="0" r="0" b="0"/>
                <wp:docPr id="1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FFFFFF" strokecolor="#000000"/>
            </w:pict>
          </mc:Fallback>
        </mc:AlternateContent>
      </w:r>
      <w:bookmarkEnd w:id="18"/>
      <w:r/>
    </w:p>
    <w:p>
      <w:pPr>
        <w:pStyle w:val="976"/>
        <w:pBdr/>
        <w:spacing/>
        <w:ind/>
        <w:rPr/>
      </w:pPr>
      <w:r/>
      <w:bookmarkStart w:id="19" w:name="goal-and-scope"/>
      <w:r>
        <w:t xml:space="preserve">1.3 Goal and Scope</w:t>
      </w:r>
      <w:r/>
    </w:p>
    <w:p>
      <w:pPr>
        <w:pStyle w:val="963"/>
        <w:pBdr/>
        <w:spacing/>
        <w:ind/>
        <w:rPr/>
      </w:pPr>
      <w:r>
        <w:t xml:space="preserve">The primary goals of this research are to:</w:t>
      </w:r>
      <w:r/>
    </w:p>
    <w:p>
      <w:pPr>
        <w:pStyle w:val="964"/>
        <w:numPr>
          <w:ilvl w:val="0"/>
          <w:numId w:val="18"/>
        </w:numPr>
        <w:pBdr/>
        <w:spacing/>
        <w:ind/>
        <w:rPr/>
      </w:pPr>
      <w:r>
        <w:t xml:space="preserve">Identify representative ethical harms in contemporary software practice that show why moral design guidance is needed.</w:t>
      </w:r>
      <w:r/>
    </w:p>
    <w:p>
      <w:pPr>
        <w:pStyle w:val="964"/>
        <w:numPr>
          <w:ilvl w:val="0"/>
          <w:numId w:val="18"/>
        </w:numPr>
        <w:pBdr/>
        <w:spacing/>
        <w:ind/>
        <w:rPr/>
      </w:pPr>
      <w:r>
        <w:t xml:space="preserve">Synthesize Value-Sensitive Design (VSD) methodology with selected Sunni Islamic ethical principles.</w:t>
      </w:r>
      <w:r/>
    </w:p>
    <w:p>
      <w:pPr>
        <w:pStyle w:val="964"/>
        <w:numPr>
          <w:ilvl w:val="0"/>
          <w:numId w:val="18"/>
        </w:numPr>
        <w:pBdr/>
        <w:spacing/>
        <w:ind/>
        <w:rPr/>
      </w:pPr>
      <w:r>
        <w:t xml:space="preserve">Develop a reusable I-VSD framework for provider-mediated software solutions.</w:t>
      </w:r>
      <w:r/>
    </w:p>
    <w:p>
      <w:pPr>
        <w:pStyle w:val="964"/>
        <w:numPr>
          <w:ilvl w:val="0"/>
          <w:numId w:val="18"/>
        </w:numPr>
        <w:pBdr/>
        <w:spacing/>
        <w:ind/>
        <w:rPr/>
      </w:pPr>
      <w:r>
        <w:t xml:space="preserve">Translate Islamic ethical principles into concrete design heuristics across strategic, design, technical, operational, governance, and evaluation domains.</w:t>
      </w:r>
      <w:r/>
    </w:p>
    <w:p>
      <w:pPr>
        <w:pStyle w:val="964"/>
        <w:numPr>
          <w:ilvl w:val="0"/>
          <w:numId w:val="18"/>
        </w:numPr>
        <w:pBdr/>
        <w:spacing/>
        <w:ind/>
        <w:rPr/>
      </w:pPr>
      <w:r>
        <w:t xml:space="preserve">Illustrate the framework through the ISLAMU Event case study while clearly distinguishing illustration from full empirical validation.</w:t>
      </w:r>
      <w:r/>
    </w:p>
    <w:p>
      <w:pPr>
        <w:pStyle w:val="963"/>
        <w:pBdr/>
        <w:spacing/>
        <w:ind/>
        <w:rPr/>
      </w:pPr>
      <w:r>
        <w:t xml:space="preserve">The primary scope is provider-mediated software solutions: web platforms, SaaS products, self-hostable platforms, APIs, and similar systems where a provider has ongoing responsibility for design choices, data handling, availability, gove</w:t>
      </w:r>
      <w:r>
        <w:t xml:space="preserve">rnance, or stakeholder effects. A secondary scope includes tools that create continuing stakeholder, data, knowledge, religious, or ethical consequences, such as mobile applications, cross-platform applications, plugins, CLI/MCP tools, and AI-native tools.</w:t>
      </w:r>
      <w:r/>
    </w:p>
    <w:p>
      <w:pPr>
        <w:pStyle w:val="962"/>
        <w:pBdr/>
        <w:spacing/>
        <w:ind/>
        <w:rPr/>
      </w:pPr>
      <w:r>
        <w:t xml:space="preserve">The thesis does not attempt to cover all Islamic business ethics, all </w:t>
      </w:r>
      <w:r>
        <w:t xml:space="preserve">software industry misconduct, full human-resources policy, broad organizational management, internship reflection, or complete fiqh adjudication. These topics may appear only when they directly clarify provider responsibility for software design decisions.</w:t>
      </w:r>
      <w:r/>
    </w:p>
    <w:p>
      <w:pPr>
        <w:pStyle w:val="962"/>
        <w:pBdr/>
        <w:spacing/>
        <w:ind/>
        <w:rPr/>
      </w:pPr>
      <w:r>
        <w:t xml:space="preserve">ISLAMU Event is used as one practical case-based application. Other ISLAMU projects may help explain future transferability, but they are not additional case studies in this thesis.</w:t>
      </w:r>
      <w:r/>
    </w:p>
    <w:p>
      <w:pPr>
        <w:pBdr/>
        <w:spacing/>
        <w:ind/>
        <w:rPr/>
      </w:pPr>
      <w:r>
        <mc:AlternateContent>
          <mc:Choice Requires="wpg">
            <w:drawing>
              <wp:inline xmlns:wp="http://schemas.openxmlformats.org/drawingml/2006/wordprocessingDrawing" distT="0" distB="0" distL="0" distR="0">
                <wp:extent cx="0" cy="19050"/>
                <wp:effectExtent l="0" t="0" r="0" b="0"/>
                <wp:docPr id="1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FFFFFF" strokecolor="#000000"/>
            </w:pict>
          </mc:Fallback>
        </mc:AlternateContent>
      </w:r>
      <w:bookmarkEnd w:id="19"/>
      <w:r/>
    </w:p>
    <w:p>
      <w:pPr>
        <w:pStyle w:val="976"/>
        <w:pBdr/>
        <w:spacing/>
        <w:ind/>
        <w:rPr/>
      </w:pPr>
      <w:r/>
      <w:bookmarkStart w:id="20" w:name="key-definitions"/>
      <w:r>
        <w:t xml:space="preserve">1.4 Key Definitions</w:t>
      </w:r>
      <w:r/>
    </w:p>
    <w:p>
      <w:pPr>
        <w:pStyle w:val="963"/>
        <w:pBdr/>
        <w:spacing/>
        <w:ind/>
        <w:rPr/>
      </w:pPr>
      <w:r>
        <w:t xml:space="preserve">To ensure clarity and precision throughout this thesis, the following key terms are defined:</w:t>
      </w:r>
      <w:r/>
    </w:p>
    <w:p>
      <w:pPr>
        <w:pStyle w:val="962"/>
        <w:pBdr/>
        <w:spacing/>
        <w:ind/>
        <w:rPr/>
      </w:pPr>
      <w:r>
        <w:rPr>
          <w:b/>
          <w:bCs/>
        </w:rPr>
        <w:t xml:space="preserve">Provider-Mediated Software Solution:</w:t>
      </w:r>
      <w:r>
        <w:t xml:space="preserve"> A software syste</w:t>
      </w:r>
      <w:r>
        <w:t xml:space="preserve">m in which a provider retains ongoing responsibility for design choices, data handling, availability, governance, or stakeholder effects. This includes web platforms, Software-as-a-Service (SaaS) products, self-hostable platforms, APIs, mobile or cross-pla</w:t>
      </w:r>
      <w:r>
        <w:t xml:space="preserve">tform applications with server dependencies, plugins, CLI/MCP tools, and AI-native tools when they create continuing ethical consequences. The defining feature is not only technical delivery over a network, but an ongoing provider-stakeholder relationship.</w:t>
      </w:r>
      <w:r/>
    </w:p>
    <w:p>
      <w:pPr>
        <w:pStyle w:val="962"/>
        <w:pBdr/>
        <w:spacing/>
        <w:ind/>
        <w:rPr/>
      </w:pPr>
      <w:r>
        <w:rPr>
          <w:b/>
          <w:bCs/>
        </w:rPr>
        <w:t xml:space="preserve">Software Service:</w:t>
      </w:r>
      <w:r>
        <w:t xml:space="preserve"> A narrower category of provider-mediated software solution delivered over a network where the provider maintains operational responsibility such as hosting, data processing, identity, moderation, integrations, or availability.</w:t>
      </w:r>
      <w:r/>
    </w:p>
    <w:p>
      <w:pPr>
        <w:pStyle w:val="962"/>
        <w:pBdr/>
        <w:spacing/>
        <w:ind/>
        <w:rPr/>
      </w:pPr>
      <w:r>
        <w:rPr>
          <w:b/>
          <w:bCs/>
        </w:rPr>
        <w:t xml:space="preserve">Value-Sensitive Design (VSD):</w:t>
      </w:r>
      <w:r>
        <w:t xml:space="preserve"> A theoretically grounded methodology developed within Human-Computer Interaction research that systematically incorporates human values into technology design through three types of investigation: conceptual (examinin</w:t>
      </w:r>
      <w:r>
        <w:t xml:space="preserve">g values philosophically), empirical (studying stakeholder values), and technical (analyzing how technology properties support or undermine values). VSD was pioneered by Batya Friedman and colleagues at the University of Washington (Friedman et al., 2013).</w:t>
      </w:r>
      <w:r/>
    </w:p>
    <w:p>
      <w:pPr>
        <w:pStyle w:val="962"/>
        <w:pBdr/>
        <w:spacing/>
        <w:ind/>
        <w:rPr/>
      </w:pPr>
      <w:r>
        <w:rPr>
          <w:b/>
          <w:bCs/>
        </w:rPr>
        <w:t xml:space="preserve">Islamic Value-Sensitive Design (I-VSD):</w:t>
      </w:r>
      <w:r>
        <w:t xml:space="preserve"> The framework developed in this thesis that integrates selected Sunni Islamic ethical p</w:t>
      </w:r>
      <w:r>
        <w:t xml:space="preserve">rinciples with VSD methodology to provide systematic guidance for ethical software design. I-VSD adapts VSD’s conceptual, empirical, and technical concerns while grounding value selection in Islamic ethical sources rather than stakeholder preference alone.</w:t>
      </w:r>
      <w:r/>
    </w:p>
    <w:p>
      <w:pPr>
        <w:pStyle w:val="962"/>
        <w:pBdr/>
        <w:spacing/>
        <w:ind/>
        <w:rPr/>
      </w:pPr>
      <w:r>
        <w:rPr>
          <w:b/>
          <w:bCs/>
        </w:rPr>
        <w:t xml:space="preserve">Ethical Harm:</w:t>
      </w:r>
      <w:r>
        <w:t xml:space="preserve"> A design, technical, operational, or governance pattern that foreseeably undermines</w:t>
      </w:r>
      <w:r>
        <w:t xml:space="preserve"> stakeholder welfare or conflicts with the Islamic ethical principles selected for this framework. The thesis focuses on harms that can be addressed through software design heuristics rather than attempting to classify every issue as a formal legal ruling.</w:t>
      </w:r>
      <w:r/>
    </w:p>
    <w:p>
      <w:pPr>
        <w:pStyle w:val="962"/>
        <w:pBdr/>
        <w:spacing/>
        <w:ind/>
        <w:rPr/>
      </w:pPr>
      <w:r>
        <w:rPr>
          <w:b/>
          <w:bCs/>
        </w:rPr>
        <w:t xml:space="preserve">Stakeholder:</w:t>
      </w:r>
      <w:r>
        <w:t xml:space="preserve"> Any individual or group affected by a provider-mediated software solution, </w:t>
      </w:r>
      <w:r>
        <w:t xml:space="preserve">including direct users, indirect users, developers, maintainers, administrators, funders, business customers, affected communities, and society at large. I-VSD gives particular weight to those who bear risk without having equal power over design decisions.</w:t>
      </w:r>
      <w:r/>
    </w:p>
    <w:p>
      <w:pPr>
        <w:pStyle w:val="962"/>
        <w:pBdr/>
        <w:spacing/>
        <w:ind/>
        <w:rPr/>
      </w:pPr>
      <w:r>
        <w:rPr>
          <w:b/>
          <w:bCs/>
        </w:rPr>
        <w:t xml:space="preserve">Design Heuristic:</w:t>
      </w:r>
      <w:r>
        <w:t xml:space="preserve"> A practical guideline derived from </w:t>
      </w:r>
      <w:r>
        <w:t xml:space="preserve">underlying principles that enables consistent decision-making without requiring full analysis of each situation. I-VSD heuristics translate abstract Islamic principles into specific, actionable guidance applicable across the software development lifecycle.</w:t>
      </w:r>
      <w:r/>
    </w:p>
    <w:p>
      <w:pPr>
        <w:pStyle w:val="962"/>
        <w:pBdr/>
        <w:spacing/>
        <w:ind/>
        <w:rPr/>
      </w:pPr>
      <w:r>
        <w:rPr>
          <w:b/>
          <w:bCs/>
        </w:rPr>
        <w:t xml:space="preserve">Illustrative Case Study:</w:t>
      </w:r>
      <w:r>
        <w:t xml:space="preserve"> A bounded application of a framework used to show how it can structure reasoning in one concrete context. In this thesis, ISLAMU Event illustrates I-VSD application but does not by itself empirically validate the framework across all software categories.</w:t>
      </w:r>
      <w:r/>
    </w:p>
    <w:p>
      <w:pPr>
        <w:pStyle w:val="962"/>
        <w:pBdr/>
        <w:spacing/>
        <w:ind/>
        <w:rPr/>
      </w:pPr>
      <w:r>
        <w:rPr>
          <w:b/>
          <w:bCs/>
        </w:rPr>
        <w:t xml:space="preserve">Enshittification:</w:t>
      </w:r>
      <w:r>
        <w:t xml:space="preserve"> A term coined by Cory Doctorow desc</w:t>
      </w:r>
      <w:r>
        <w:t xml:space="preserve">ribing the systematic decay pattern of digital platforms: initial user value attraction, followed by business customer extraction, culminating in user exploitation once lock-in is achieved. This pattern represents a core ethical concern addressed by I-VSD.</w:t>
      </w:r>
      <w:r/>
    </w:p>
    <w:p>
      <w:pPr>
        <w:pStyle w:val="962"/>
        <w:pBdr/>
        <w:spacing/>
        <w:ind/>
        <w:rPr/>
      </w:pPr>
      <w:r>
        <w:rPr>
          <w:b/>
          <w:bCs/>
        </w:rPr>
        <w:t xml:space="preserve">Dark Pattern:</w:t>
      </w:r>
      <w:r>
        <w:t xml:space="preserve"> A user i</w:t>
      </w:r>
      <w:r>
        <w:t xml:space="preserve">nterface design choice that manipulates users into actions they might not otherwise take, typically serving company interests at user expense. Examples include asymmetric subscribe/cancel processes, false urgency messaging, and pre-selected upsell options.</w:t>
      </w:r>
      <w:r/>
    </w:p>
    <w:p>
      <w:pPr>
        <w:pBdr/>
        <w:spacing/>
        <w:ind/>
        <w:rPr/>
      </w:pPr>
      <w:r>
        <mc:AlternateContent>
          <mc:Choice Requires="wpg">
            <w:drawing>
              <wp:inline xmlns:wp="http://schemas.openxmlformats.org/drawingml/2006/wordprocessingDrawing" distT="0" distB="0" distL="0" distR="0">
                <wp:extent cx="0" cy="19050"/>
                <wp:effectExtent l="0" t="0" r="0" b="0"/>
                <wp:docPr id="1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FFFFFF" strokecolor="#000000"/>
            </w:pict>
          </mc:Fallback>
        </mc:AlternateContent>
      </w:r>
      <w:bookmarkEnd w:id="20"/>
      <w:r/>
    </w:p>
    <w:p>
      <w:pPr>
        <w:pStyle w:val="976"/>
        <w:pBdr/>
        <w:spacing/>
        <w:ind/>
        <w:rPr/>
      </w:pPr>
      <w:r/>
      <w:bookmarkStart w:id="21" w:name="thesis-structure"/>
      <w:r>
        <w:t xml:space="preserve">1.5 Thesis Structure</w:t>
      </w:r>
      <w:r/>
    </w:p>
    <w:p>
      <w:pPr>
        <w:pStyle w:val="963"/>
        <w:pBdr/>
        <w:spacing/>
        <w:ind/>
        <w:rPr/>
      </w:pPr>
      <w:r>
        <w:t xml:space="preserve">This thesis is organized into six main chapters after the introduction:</w:t>
      </w:r>
      <w:r/>
    </w:p>
    <w:p>
      <w:pPr>
        <w:pStyle w:val="962"/>
        <w:pBdr/>
        <w:spacing/>
        <w:ind/>
        <w:rPr/>
      </w:pPr>
      <w:r>
        <w:rPr>
          <w:b/>
          <w:bCs/>
        </w:rPr>
        <w:t xml:space="preserve">Chapter 2</w:t>
      </w:r>
      <w:r>
        <w:t xml:space="preserve"> establishes the theoretical foundation by explaining provider-mediated software solutions as value-laden systems, reviewing Value-Sensitive Design, and organizing representative software harms into a design-relevant typology.</w:t>
      </w:r>
      <w:r/>
    </w:p>
    <w:p>
      <w:pPr>
        <w:pStyle w:val="962"/>
        <w:pBdr/>
        <w:spacing/>
        <w:ind/>
        <w:rPr/>
      </w:pPr>
      <w:r>
        <w:rPr>
          <w:b/>
          <w:bCs/>
        </w:rPr>
        <w:t xml:space="preserve">Chapter 3</w:t>
      </w:r>
      <w:r>
        <w:t xml:space="preserve"> presents the Islamic ethical grounding and methodology for developing I-VSD, including source boundaries, selected principles, and the translation of those principles into practical design heuristics.</w:t>
      </w:r>
      <w:r/>
    </w:p>
    <w:p>
      <w:pPr>
        <w:pStyle w:val="962"/>
        <w:pBdr/>
        <w:spacing/>
        <w:ind/>
        <w:rPr/>
      </w:pPr>
      <w:r>
        <w:rPr>
          <w:b/>
          <w:bCs/>
        </w:rPr>
        <w:t xml:space="preserve">Chapter 4</w:t>
      </w:r>
      <w:r>
        <w:t xml:space="preserve"> develops the I-VSD framework as the central thesis artifact, organizing its heuristics across strategic, design, technical, operational, governance, and evaluation domains.</w:t>
      </w:r>
      <w:r/>
    </w:p>
    <w:p>
      <w:pPr>
        <w:pStyle w:val="962"/>
        <w:pBdr/>
        <w:spacing/>
        <w:ind/>
        <w:rPr/>
      </w:pPr>
      <w:r>
        <w:rPr>
          <w:b/>
          <w:bCs/>
        </w:rPr>
        <w:t xml:space="preserve">Chapter 5</w:t>
      </w:r>
      <w:r>
        <w:t xml:space="preserve"> applies the framework to ISLAMU Event as an illustrative case study. The chapter presents Event as a worked application of I-VSD, not as evidence that the framework applies across all software categories.</w:t>
      </w:r>
      <w:r/>
    </w:p>
    <w:p>
      <w:pPr>
        <w:pStyle w:val="962"/>
        <w:pBdr/>
        <w:spacing/>
        <w:ind/>
        <w:rPr/>
      </w:pPr>
      <w:r>
        <w:rPr>
          <w:b/>
          <w:bCs/>
        </w:rPr>
        <w:t xml:space="preserve">Chapter 6</w:t>
      </w:r>
      <w:r>
        <w:t xml:space="preserve"> discusses transferability, limitations, future validation, and the answer to the main research question.</w:t>
      </w:r>
      <w:r/>
    </w:p>
    <w:p>
      <w:pPr>
        <w:pBdr/>
        <w:spacing/>
        <w:ind/>
        <w:rPr/>
      </w:pPr>
      <w:r>
        <mc:AlternateContent>
          <mc:Choice Requires="wpg">
            <w:drawing>
              <wp:inline xmlns:wp="http://schemas.openxmlformats.org/drawingml/2006/wordprocessingDrawing" distT="0" distB="0" distL="0" distR="0">
                <wp:extent cx="0" cy="19050"/>
                <wp:effectExtent l="0" t="0" r="0" b="0"/>
                <wp:docPr id="1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FFFFFF" strokecolor="#000000"/>
            </w:pict>
          </mc:Fallback>
        </mc:AlternateContent>
      </w:r>
      <w:bookmarkEnd w:id="21"/>
      <w:bookmarkEnd w:id="22"/>
      <w:r/>
    </w:p>
    <w:p>
      <w:pPr>
        <w:pStyle w:val="975"/>
        <w:pBdr/>
        <w:spacing/>
        <w:ind/>
        <w:rPr/>
      </w:pPr>
      <w:r/>
      <w:bookmarkStart w:id="38" w:name="theoretical-framework"/>
      <w:r>
        <w:t xml:space="preserve">2. Theoretical Framework</w:t>
      </w:r>
      <w:r/>
    </w:p>
    <w:p>
      <w:pPr>
        <w:pStyle w:val="963"/>
        <w:pBdr/>
        <w:spacing/>
        <w:ind/>
        <w:rPr/>
      </w:pPr>
      <w:r>
        <w:t xml:space="preserve">This chapter establishes the theoretical foundation for developing the Islamic Value-Sensitive Design framework. It first motivates the framework through represen</w:t>
      </w:r>
      <w:r>
        <w:t xml:space="preserve">tative design-relevant harms in provider-mediated software solutions, then reviews Value-Sensitive Design as the methodological reference point, and finally translates selected Sunni Islamic ethical principles into framework-facing design responsibilities.</w:t>
      </w:r>
      <w:r/>
    </w:p>
    <w:p>
      <w:pPr>
        <w:pStyle w:val="962"/>
        <w:pBdr/>
        <w:spacing/>
        <w:ind/>
        <w:rPr/>
      </w:pPr>
      <w:r>
        <w:t xml:space="preserve">The purpose </w:t>
      </w:r>
      <w:r>
        <w:t xml:space="preserve">of this chapter is not to produce an exhaustive state-of-the-industry report or a complete manual of Islamic law. Its purpose is to define the problem space, the methodological gap, and the ethical source base that Chapter 3 turns into the I-VSD framework.</w:t>
      </w:r>
      <w:r/>
    </w:p>
    <w:p>
      <w:pPr>
        <w:pBdr/>
        <w:spacing/>
        <w:ind/>
        <w:rPr/>
      </w:pPr>
      <w:r>
        <mc:AlternateContent>
          <mc:Choice Requires="wpg">
            <w:drawing>
              <wp:inline xmlns:wp="http://schemas.openxmlformats.org/drawingml/2006/wordprocessingDrawing" distT="0" distB="0" distL="0" distR="0">
                <wp:extent cx="0" cy="19050"/>
                <wp:effectExtent l="0" t="0" r="0" b="0"/>
                <wp:docPr id="1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37" w:name="Xcddc1840b2ea8ecc751cc47559641172fce5a32"/>
      <w:r>
        <w:t xml:space="preserve">2.1 Representative Software Harms and Ethical Shortcomings</w:t>
      </w:r>
      <w:r/>
    </w:p>
    <w:p>
      <w:pPr>
        <w:pStyle w:val="963"/>
        <w:pBdr/>
        <w:spacing/>
        <w:ind/>
        <w:rPr/>
      </w:pPr>
      <w:r>
        <w:t xml:space="preserve">This section motivates the need for I-VSD through representative ethical harms in con</w:t>
      </w:r>
      <w:r>
        <w:t xml:space="preserve">temporary provider-mediated software solutions. The examples are not presented as a complete empirical survey of the software industry. They are used to identify recurring value tensions that a framework for Islamic software design must be able to address.</w:t>
      </w:r>
      <w:r/>
    </w:p>
    <w:p>
      <w:pPr>
        <w:pStyle w:val="962"/>
        <w:pBdr/>
        <w:spacing/>
        <w:ind/>
        <w:rPr/>
      </w:pPr>
      <w:r>
        <w:t xml:space="preserve">The revised structure treats the harm catalogue as a typology: deception and manipulation, privacy and surveillance, lock-in and portability failure, exploitative mo</w:t>
      </w:r>
      <w:r>
        <w:t xml:space="preserve">netization, algorithmic opacity, security negligence, content and moderation harm, and source or provenance failure. These categories explain why the later I-VSD framework needs strategic, design, technical, operational, governance, and evaluation domains.</w:t>
      </w:r>
      <w:r/>
    </w:p>
    <w:p>
      <w:pPr>
        <w:pBdr/>
        <w:spacing/>
        <w:ind/>
        <w:rPr/>
      </w:pPr>
      <w:r>
        <mc:AlternateContent>
          <mc:Choice Requires="wpg">
            <w:drawing>
              <wp:inline xmlns:wp="http://schemas.openxmlformats.org/drawingml/2006/wordprocessingDrawing" distT="0" distB="0" distL="0" distR="0">
                <wp:extent cx="0" cy="19050"/>
                <wp:effectExtent l="0" t="0" r="0" b="0"/>
                <wp:docPr id="1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 o:spid="_x0000_s15"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25" w:name="X61e1d586db679557588b15b8188f0ad65719b97"/>
      <w:r>
        <w:t xml:space="preserve">2.1.1 Islamic Business Principles and Prohibitions</w:t>
      </w:r>
      <w:r/>
    </w:p>
    <w:p>
      <w:pPr>
        <w:pStyle w:val="963"/>
        <w:pBdr/>
        <w:spacing/>
        <w:ind/>
        <w:rPr/>
      </w:pPr>
      <w:r>
        <w:t xml:space="preserve">Islamic business ethics, as articulated by classical scholars such as Imam al-Ghazali, provides clear guidelines for commercial activities. Six fundamental principles that can render a business haram (prohibited) include:</w:t>
      </w:r>
      <w:r/>
    </w:p>
    <w:p>
      <w:pPr>
        <w:pStyle w:val="962"/>
        <w:pBdr/>
        <w:spacing/>
        <w:ind/>
        <w:rPr/>
      </w:pPr>
      <w:r>
        <w:rPr>
          <w:b/>
          <w:bCs/>
        </w:rPr>
        <w:t xml:space="preserve">Principle 1: Prohibition of Haram Products or Services</w:t>
      </w:r>
      <w:r>
        <w:br/>
      </w:r>
      <w:r>
        <w:t xml:space="preserve">If the product or service itself is prohibited in Islam, the entire business becomes haram, regardless of other factors. This includes:</w:t>
      </w:r>
      <w:r/>
    </w:p>
    <w:p>
      <w:pPr>
        <w:pStyle w:val="964"/>
        <w:numPr>
          <w:ilvl w:val="0"/>
          <w:numId w:val="19"/>
        </w:numPr>
        <w:pBdr/>
        <w:spacing/>
        <w:ind/>
        <w:rPr/>
      </w:pPr>
      <w:r>
        <w:t xml:space="preserve">Gambling services (games of chance)</w:t>
      </w:r>
      <w:r/>
    </w:p>
    <w:p>
      <w:pPr>
        <w:pStyle w:val="964"/>
        <w:numPr>
          <w:ilvl w:val="0"/>
          <w:numId w:val="19"/>
        </w:numPr>
        <w:pBdr/>
        <w:spacing/>
        <w:ind/>
        <w:rPr/>
      </w:pPr>
      <w:r>
        <w:t xml:space="preserve">Dating applications that facilitate prohibited relationships</w:t>
      </w:r>
      <w:r/>
    </w:p>
    <w:p>
      <w:pPr>
        <w:pStyle w:val="964"/>
        <w:numPr>
          <w:ilvl w:val="0"/>
          <w:numId w:val="19"/>
        </w:numPr>
        <w:pBdr/>
        <w:spacing/>
        <w:ind/>
        <w:rPr/>
      </w:pPr>
      <w:r>
        <w:t xml:space="preserve">Content containing nudity or other prohibited material</w:t>
      </w:r>
      <w:r/>
    </w:p>
    <w:p>
      <w:pPr>
        <w:pStyle w:val="964"/>
        <w:numPr>
          <w:ilvl w:val="0"/>
          <w:numId w:val="19"/>
        </w:numPr>
        <w:pBdr/>
        <w:spacing/>
        <w:ind/>
        <w:rPr/>
      </w:pPr>
      <w:r>
        <w:t xml:space="preserve">Services promoting non-Islamic practices contrary to Islamic teachings</w:t>
      </w:r>
      <w:r/>
    </w:p>
    <w:p>
      <w:pPr>
        <w:pStyle w:val="963"/>
        <w:pBdr/>
        <w:spacing/>
        <w:ind/>
        <w:rPr/>
      </w:pPr>
      <w:r>
        <w:rPr>
          <w:b/>
          <w:bCs/>
        </w:rPr>
        <w:t xml:space="preserve">Principle 2: Prohibition of Uncertainty (Gharar)</w:t>
      </w:r>
      <w:r>
        <w:br/>
      </w:r>
      <w:r>
        <w:t xml:space="preserve">Selling something with significant uncertainty or that one </w:t>
      </w:r>
      <w:r>
        <w:t xml:space="preserve">does not possess violates Islamic principles. Classical examples include selling fish before catching them. Modern parallels include certain dropshipping practices where sellers have no control over inventory or quality, creating uncertainty for consumers.</w:t>
      </w:r>
      <w:r/>
    </w:p>
    <w:p>
      <w:pPr>
        <w:pStyle w:val="962"/>
        <w:pBdr/>
        <w:spacing/>
        <w:ind/>
        <w:rPr/>
      </w:pPr>
      <w:r>
        <w:rPr>
          <w:b/>
          <w:bCs/>
        </w:rPr>
        <w:t xml:space="preserve">Principle 3: Prohibition of Hidden Terms</w:t>
      </w:r>
      <w:r>
        <w:br/>
      </w:r>
      <w:r>
        <w:t xml:space="preserve">Business transactions must be transparent, with all terms clearly disclosed. Hidden clauses or surprise conditions violate the principle of informed consent and constitute deception.</w:t>
      </w:r>
      <w:r/>
    </w:p>
    <w:p>
      <w:pPr>
        <w:pStyle w:val="962"/>
        <w:pBdr/>
        <w:spacing/>
        <w:ind/>
        <w:rPr/>
      </w:pPr>
      <w:r>
        <w:rPr>
          <w:b/>
          <w:bCs/>
        </w:rPr>
        <w:t xml:space="preserve">Principle 4: Prohibition of False Advertisement</w:t>
      </w:r>
      <w:r>
        <w:br/>
      </w:r>
      <w:r>
        <w:t xml:space="preserve">Representing a product or service as superior to its actual quality constitutes deception and is strictly forbidden. This includes misleading marketing claims, fabricated reviews, and misrepresentation of capabilities.</w:t>
      </w:r>
      <w:r/>
    </w:p>
    <w:p>
      <w:pPr>
        <w:pStyle w:val="962"/>
        <w:pBdr/>
        <w:spacing/>
        <w:ind/>
        <w:rPr/>
      </w:pPr>
      <w:r>
        <w:rPr>
          <w:b/>
          <w:bCs/>
        </w:rPr>
        <w:t xml:space="preserve">Principle 5: Ethical Responsibility for Business Partnerships</w:t>
      </w:r>
      <w:r>
        <w:br/>
      </w:r>
      <w:r>
        <w:t xml:space="preserve">The parties one conducts business with can affect the permissibility of one’s own business:</w:t>
      </w:r>
      <w:r/>
    </w:p>
    <w:p>
      <w:pPr>
        <w:pStyle w:val="964"/>
        <w:numPr>
          <w:ilvl w:val="0"/>
          <w:numId w:val="20"/>
        </w:numPr>
        <w:pBdr/>
        <w:spacing/>
        <w:ind/>
        <w:rPr/>
      </w:pPr>
      <w:r>
        <w:t xml:space="preserve">Allying with criminals or unethical entities (e.g., selling weapons to an oppressive army)</w:t>
      </w:r>
      <w:r/>
    </w:p>
    <w:p>
      <w:pPr>
        <w:pStyle w:val="964"/>
        <w:numPr>
          <w:ilvl w:val="0"/>
          <w:numId w:val="20"/>
        </w:numPr>
        <w:pBdr/>
        <w:spacing/>
        <w:ind/>
        <w:rPr/>
      </w:pPr>
      <w:r>
        <w:t xml:space="preserve">Enabling sinful activities (e.g., knowingly providing services that will be used for prohibited purposes)</w:t>
      </w:r>
      <w:r/>
    </w:p>
    <w:p>
      <w:pPr>
        <w:pStyle w:val="963"/>
        <w:pBdr/>
        <w:spacing/>
        <w:ind/>
        <w:rPr/>
      </w:pPr>
      <w:r>
        <w:t xml:space="preserve">A contemporary example is Microsoft’</w:t>
      </w:r>
      <w:r>
        <w:t xml:space="preserve">s provision of technologies and services to Israel, which directly supports actions that violate Islamic rules of war, including the killing of non-combatants, children, women, elderly persons, religious leaders, and the destruction of religious buildings.</w:t>
      </w:r>
      <w:r/>
    </w:p>
    <w:p>
      <w:pPr>
        <w:pStyle w:val="962"/>
        <w:pBdr/>
        <w:spacing/>
        <w:ind/>
        <w:rPr/>
      </w:pPr>
      <w:r>
        <w:rPr>
          <w:b/>
          <w:bCs/>
        </w:rPr>
        <w:t xml:space="preserve">Principle 6: Prohibition of Riba (Interest-Based) Funding</w:t>
      </w:r>
      <w:r>
        <w:br/>
      </w:r>
      <w:r>
        <w:t xml:space="preserve">Even if a business is inherently halal, building it with interest-based capital can render it impermissible. This has significant implications for startup funding and venture capital arrangements.</w:t>
      </w:r>
      <w:r/>
    </w:p>
    <w:p>
      <w:pPr>
        <w:pStyle w:val="962"/>
        <w:pBdr/>
        <w:spacing/>
        <w:ind/>
        <w:rPr/>
      </w:pPr>
      <w:r>
        <w:rPr>
          <w:b/>
          <w:bCs/>
        </w:rPr>
        <w:t xml:space="preserve">Sources:</w:t>
      </w:r>
      <w:r/>
    </w:p>
    <w:p>
      <w:pPr>
        <w:pStyle w:val="964"/>
        <w:numPr>
          <w:ilvl w:val="0"/>
          <w:numId w:val="21"/>
        </w:numPr>
        <w:pBdr/>
        <w:spacing/>
        <w:ind/>
        <w:rPr/>
      </w:pPr>
      <w:r>
        <w:t xml:space="preserve">Imam al-Ghazali’s Principles of Selling (Video lecture): </w:t>
      </w:r>
      <w:hyperlink r:id="rId9" w:tooltip="https://www.youtube.com/watch?v=VZLkFCzJw4c&amp;t=53s" w:history="1">
        <w:r>
          <w:rPr>
            <w:rStyle w:val="1008"/>
          </w:rPr>
          <w:t xml:space="preserve">https://www.youtube.com/watch?v=VZLkFCzJw4c&amp;t=53s</w:t>
        </w:r>
      </w:hyperlink>
      <w:r/>
      <w:r/>
    </w:p>
    <w:p>
      <w:pPr>
        <w:pStyle w:val="964"/>
        <w:numPr>
          <w:ilvl w:val="0"/>
          <w:numId w:val="21"/>
        </w:numPr>
        <w:pBdr/>
        <w:spacing/>
        <w:ind/>
        <w:rPr/>
      </w:pPr>
      <w:r>
        <w:t xml:space="preserve">6 Things That Can Make Your Business Haram: </w:t>
      </w:r>
      <w:hyperlink r:id="rId10" w:tooltip="https://youtu.be/7V_01TVNkCA?si=FeKrOGpy7MwygSxe" w:history="1">
        <w:r>
          <w:rPr>
            <w:rStyle w:val="1008"/>
          </w:rPr>
          <w:t xml:space="preserve">https://youtu.be/7V_01TVNkCA?si=FeKrOGpy7MwygSxe</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 o:spid="_x0000_s16" o:spt="1" type="#_x0000_t1" style="width:0.00pt;height:1.50pt;mso-wrap-distance-left:0.00pt;mso-wrap-distance-top:0.00pt;mso-wrap-distance-right:0.00pt;mso-wrap-distance-bottom:0.00pt;visibility:visible;" fillcolor="#FFFFFF" strokecolor="#000000"/>
            </w:pict>
          </mc:Fallback>
        </mc:AlternateContent>
      </w:r>
      <w:bookmarkEnd w:id="25"/>
      <w:r/>
    </w:p>
    <w:p>
      <w:pPr>
        <w:pStyle w:val="977"/>
        <w:pBdr/>
        <w:spacing/>
        <w:ind/>
        <w:rPr/>
      </w:pPr>
      <w:r/>
      <w:bookmarkStart w:id="36" w:name="Xbdc28339c3b7c403349000a357fdc35dc30118a"/>
      <w:r>
        <w:t xml:space="preserve">2.1.2 The Principle of Dual-Use Services and Assisting in Sin</w:t>
      </w:r>
      <w:r/>
    </w:p>
    <w:p>
      <w:pPr>
        <w:pStyle w:val="963"/>
        <w:pBdr/>
        <w:spacing/>
        <w:ind/>
        <w:rPr/>
      </w:pPr>
      <w:r>
        <w:rPr>
          <w:b/>
          <w:bCs/>
        </w:rPr>
        <w:t xml:space="preserve">The Core Principle: Assisting in Sin (</w:t>
      </w:r>
      <w:r>
        <w:rPr>
          <w:b/>
          <w:bCs/>
          <w:i/>
          <w:iCs/>
        </w:rPr>
        <w:t xml:space="preserve">Al-I’anah ’ala al-Ma’siyah</w:t>
      </w:r>
      <w:r>
        <w:rPr>
          <w:b/>
          <w:bCs/>
        </w:rPr>
        <w:t xml:space="preserve">)</w:t>
      </w:r>
      <w:r/>
    </w:p>
    <w:p>
      <w:pPr>
        <w:pStyle w:val="962"/>
        <w:pBdr/>
        <w:spacing/>
        <w:ind/>
        <w:rPr/>
      </w:pPr>
      <w:r>
        <w:t xml:space="preserve">A critical consideration in Islamic ethics is the prohibition against contributing to evil or assisting in sinful activities. The foundational Quranic evidence states:</w:t>
      </w:r>
      <w:r/>
    </w:p>
    <w:p>
      <w:pPr>
        <w:pStyle w:val="992"/>
        <w:pBdr/>
        <w:spacing/>
        <w:ind/>
        <w:rPr/>
      </w:pPr>
      <w:r>
        <w:t xml:space="preserve">“…And cooperate in righteousness and piety, but do not cooperate in sin and aggression…”</w:t>
      </w:r>
      <w:r>
        <w:t xml:space="preserve"> </w:t>
      </w:r>
      <w:r>
        <w:rPr>
          <w:b/>
          <w:bCs/>
        </w:rPr>
        <w:t xml:space="preserve">Quran 5:2</w:t>
      </w:r>
      <w:r/>
    </w:p>
    <w:p>
      <w:pPr>
        <w:pStyle w:val="963"/>
        <w:pBdr/>
        <w:spacing/>
        <w:ind/>
        <w:rPr/>
      </w:pPr>
      <w:r>
        <w:t xml:space="preserve">However, Islamic scholars distinguish between </w:t>
      </w:r>
      <w:r>
        <w:rPr>
          <w:b/>
          <w:bCs/>
        </w:rPr>
        <w:t xml:space="preserve">direct/intentional</w:t>
      </w:r>
      <w:r>
        <w:t xml:space="preserve"> assistance and </w:t>
      </w:r>
      <w:r>
        <w:rPr>
          <w:b/>
          <w:bCs/>
        </w:rPr>
        <w:t xml:space="preserve">indirect/unintentional</w:t>
      </w:r>
      <w:r>
        <w:t xml:space="preserve"> assistance. This distinction is critical for evaluating modern software services that may have both legitimate and illegitimate uses.</w:t>
      </w:r>
      <w:r/>
    </w:p>
    <w:p>
      <w:pPr>
        <w:pStyle w:val="962"/>
        <w:pBdr/>
        <w:spacing/>
        <w:ind/>
        <w:rPr/>
      </w:pPr>
      <w:r>
        <w:rPr>
          <w:b/>
          <w:bCs/>
        </w:rPr>
        <w:t xml:space="preserve">The Principle of Dual-Use Items (</w:t>
      </w:r>
      <w:r>
        <w:rPr>
          <w:b/>
          <w:bCs/>
          <w:i/>
          <w:iCs/>
        </w:rPr>
        <w:t xml:space="preserve">Al-Wasail</w:t>
      </w:r>
      <w:r>
        <w:rPr>
          <w:b/>
          <w:bCs/>
        </w:rPr>
        <w:t xml:space="preserve">)</w:t>
      </w:r>
      <w:r/>
    </w:p>
    <w:p>
      <w:pPr>
        <w:pStyle w:val="962"/>
        <w:pBdr/>
        <w:spacing/>
        <w:ind/>
        <w:rPr/>
      </w:pPr>
      <w:r>
        <w:t xml:space="preserve">In Fiqh (Islamic jurisprudence), items or services that can be used for both good (halal) and bad (haram) purposes are often judged by the </w:t>
      </w:r>
      <w:r>
        <w:rPr>
          <w:b/>
          <w:bCs/>
        </w:rPr>
        <w:t xml:space="preserve">intent</w:t>
      </w:r>
      <w:r>
        <w:t xml:space="preserve"> of the provider and the </w:t>
      </w:r>
      <w:r>
        <w:rPr>
          <w:b/>
          <w:bCs/>
        </w:rPr>
        <w:t xml:space="preserve">predominant use</w:t>
      </w:r>
      <w:r>
        <w:t xml:space="preserve">.</w:t>
      </w:r>
      <w:r/>
    </w:p>
    <w:p>
      <w:pPr>
        <w:pStyle w:val="962"/>
        <w:pBdr/>
        <w:spacing/>
        <w:ind/>
        <w:rPr/>
      </w:pPr>
      <w:r>
        <w:rPr>
          <w:b/>
          <w:bCs/>
        </w:rPr>
        <w:t xml:space="preserve">The Classical Analogy: Selling Grapes</w:t>
      </w:r>
      <w:r/>
    </w:p>
    <w:p>
      <w:pPr>
        <w:pStyle w:val="962"/>
        <w:pBdr/>
        <w:spacing/>
        <w:ind/>
        <w:rPr/>
      </w:pPr>
      <w:r>
        <w:t xml:space="preserve">Scholars have long debated the ruling on selling grapes or juice to someone who might make wine:</w:t>
      </w:r>
      <w:r/>
    </w:p>
    <w:p>
      <w:pPr>
        <w:pStyle w:val="964"/>
        <w:numPr>
          <w:ilvl w:val="0"/>
          <w:numId w:val="22"/>
        </w:numPr>
        <w:pBdr/>
        <w:spacing/>
        <w:ind/>
        <w:rPr/>
      </w:pPr>
      <w:r>
        <w:rPr>
          <w:b/>
          <w:bCs/>
        </w:rPr>
        <w:t xml:space="preserve">The Ruling:</w:t>
      </w:r>
      <w:r>
        <w:t xml:space="preserve"> It is generally permissible to sell grapes, even if you suspect some buyers might make wine, because grapes are a</w:t>
      </w:r>
      <w:r>
        <w:t xml:space="preserve"> </w:t>
      </w:r>
      <w:r>
        <w:t xml:space="preserve">“dual-use”</w:t>
      </w:r>
      <w:r>
        <w:t xml:space="preserve"> </w:t>
      </w:r>
      <w:r>
        <w:t xml:space="preserve">good (food vs. alcohol).</w:t>
      </w:r>
      <w:r/>
    </w:p>
    <w:p>
      <w:pPr>
        <w:pStyle w:val="964"/>
        <w:numPr>
          <w:ilvl w:val="0"/>
          <w:numId w:val="22"/>
        </w:numPr>
        <w:pBdr/>
        <w:spacing/>
        <w:ind/>
        <w:rPr/>
      </w:pPr>
      <w:r>
        <w:rPr>
          <w:b/>
          <w:bCs/>
        </w:rPr>
        <w:t xml:space="preserve">The Exception:</w:t>
      </w:r>
      <w:r>
        <w:t xml:space="preserve"> It becomes sinful only if you are </w:t>
      </w:r>
      <w:r>
        <w:rPr>
          <w:b/>
          <w:bCs/>
        </w:rPr>
        <w:t xml:space="preserve">certain</w:t>
      </w:r>
      <w:r>
        <w:t xml:space="preserve"> (or have overwhelming reason to believe) that this specific buyer will use it for wine.</w:t>
      </w:r>
      <w:r/>
    </w:p>
    <w:p>
      <w:pPr>
        <w:pStyle w:val="963"/>
        <w:pBdr/>
        <w:spacing/>
        <w:ind/>
        <w:rPr/>
      </w:pPr>
      <w:r>
        <w:rPr>
          <w:b/>
          <w:bCs/>
        </w:rPr>
        <w:t xml:space="preserve">Source Verification:</w:t>
      </w:r>
      <w:r/>
    </w:p>
    <w:p>
      <w:pPr>
        <w:pStyle w:val="964"/>
        <w:numPr>
          <w:ilvl w:val="0"/>
          <w:numId w:val="23"/>
        </w:numPr>
        <w:pBdr/>
        <w:spacing/>
        <w:ind/>
        <w:rPr/>
      </w:pPr>
      <w:r>
        <w:rPr>
          <w:b/>
          <w:bCs/>
        </w:rPr>
        <w:t xml:space="preserve">Hanafi School:</w:t>
      </w:r>
      <w:r>
        <w:t xml:space="preserve"> Imam Abu Hanifa ruled that selling the juice is permissible even if the seller knows the buyer might make wine, because the juice itself is halal and the sin is committed by the buyer’s subsequent action (Source: </w:t>
      </w:r>
      <w:r>
        <w:rPr>
          <w:i/>
          <w:iCs/>
        </w:rPr>
        <w:t xml:space="preserve">Al-Hidayah</w:t>
      </w:r>
      <w:r>
        <w:t xml:space="preserve">).</w:t>
      </w:r>
      <w:r/>
    </w:p>
    <w:p>
      <w:pPr>
        <w:pStyle w:val="964"/>
        <w:numPr>
          <w:ilvl w:val="0"/>
          <w:numId w:val="23"/>
        </w:numPr>
        <w:pBdr/>
        <w:spacing/>
        <w:ind/>
        <w:rPr/>
      </w:pPr>
      <w:r>
        <w:rPr>
          <w:b/>
          <w:bCs/>
        </w:rPr>
        <w:t xml:space="preserve">Majority View:</w:t>
      </w:r>
      <w:r>
        <w:t xml:space="preserve"> Other schools (and some later Hanafis) argue it is disliked or forbidden if there is a strong suspicion, but permissible if there is doubt.</w:t>
      </w:r>
      <w:r/>
    </w:p>
    <w:p>
      <w:pPr>
        <w:pStyle w:val="963"/>
        <w:pBdr/>
        <w:spacing/>
        <w:ind/>
        <w:rPr/>
      </w:pPr>
      <w:r>
        <w:rPr>
          <w:b/>
          <w:bCs/>
        </w:rPr>
        <w:t xml:space="preserve">Modern Application: Probability and Certainty</w:t>
      </w:r>
      <w:r/>
    </w:p>
    <w:p>
      <w:pPr>
        <w:pStyle w:val="962"/>
        <w:pBdr/>
        <w:spacing/>
        <w:ind/>
        <w:rPr/>
      </w:pPr>
      <w:r>
        <w:t xml:space="preserve">Islamic law deals with probabilities using specific legal maxims:</w:t>
      </w:r>
      <w:r/>
    </w:p>
    <w:p>
      <w:pPr>
        <w:pStyle w:val="964"/>
        <w:numPr>
          <w:ilvl w:val="0"/>
          <w:numId w:val="24"/>
        </w:numPr>
        <w:pBdr/>
        <w:spacing/>
        <w:ind/>
        <w:rPr/>
      </w:pPr>
      <w:r>
        <w:rPr>
          <w:b/>
          <w:bCs/>
        </w:rPr>
        <w:t xml:space="preserve">Certainty (</w:t>
      </w:r>
      <w:r>
        <w:rPr>
          <w:b/>
          <w:bCs/>
          <w:i/>
          <w:iCs/>
        </w:rPr>
        <w:t xml:space="preserve">Yaqin</w:t>
      </w:r>
      <w:r>
        <w:rPr>
          <w:b/>
          <w:bCs/>
        </w:rPr>
        <w:t xml:space="preserve">):</w:t>
      </w:r>
      <w:r>
        <w:t xml:space="preserve"> If you are 100% certain your service is aiding a crime, it is </w:t>
      </w:r>
      <w:r>
        <w:rPr>
          <w:b/>
          <w:bCs/>
        </w:rPr>
        <w:t xml:space="preserve">Haram</w:t>
      </w:r>
      <w:r>
        <w:t xml:space="preserve"> (Forbidden).</w:t>
      </w:r>
      <w:r/>
    </w:p>
    <w:p>
      <w:pPr>
        <w:pStyle w:val="964"/>
        <w:numPr>
          <w:ilvl w:val="0"/>
          <w:numId w:val="24"/>
        </w:numPr>
        <w:pBdr/>
        <w:spacing/>
        <w:ind/>
        <w:rPr/>
      </w:pPr>
      <w:r>
        <w:rPr>
          <w:b/>
          <w:bCs/>
        </w:rPr>
        <w:t xml:space="preserve">Overwhelming Likelihood (</w:t>
      </w:r>
      <w:r>
        <w:rPr>
          <w:b/>
          <w:bCs/>
          <w:i/>
          <w:iCs/>
        </w:rPr>
        <w:t xml:space="preserve">Ghalib al-Zann</w:t>
      </w:r>
      <w:r>
        <w:rPr>
          <w:b/>
          <w:bCs/>
        </w:rPr>
        <w:t xml:space="preserve">):</w:t>
      </w:r>
      <w:r>
        <w:t xml:space="preserve"> If you believe it is</w:t>
      </w:r>
      <w:r>
        <w:t xml:space="preserve"> </w:t>
      </w:r>
      <w:r>
        <w:t xml:space="preserve">“most likely”</w:t>
      </w:r>
      <w:r>
        <w:t xml:space="preserve"> </w:t>
      </w:r>
      <w:r>
        <w:t xml:space="preserve">(&gt;50-80%) that it will be used for evil, many scholars advise avoiding it (Makruh or Haram depending on severity).</w:t>
      </w:r>
      <w:r/>
    </w:p>
    <w:p>
      <w:pPr>
        <w:pStyle w:val="964"/>
        <w:numPr>
          <w:ilvl w:val="0"/>
          <w:numId w:val="24"/>
        </w:numPr>
        <w:pBdr/>
        <w:spacing/>
        <w:ind/>
        <w:rPr/>
      </w:pPr>
      <w:r>
        <w:rPr>
          <w:b/>
          <w:bCs/>
        </w:rPr>
        <w:t xml:space="preserve">Doubt/Possibility (</w:t>
      </w:r>
      <w:r>
        <w:rPr>
          <w:b/>
          <w:bCs/>
          <w:i/>
          <w:iCs/>
        </w:rPr>
        <w:t xml:space="preserve">Shakk/Wahm</w:t>
      </w:r>
      <w:r>
        <w:rPr>
          <w:b/>
          <w:bCs/>
        </w:rPr>
        <w:t xml:space="preserve">):</w:t>
      </w:r>
      <w:r>
        <w:t xml:space="preserve"> If there is a mere possibility (e.g., 30%) or if the usage is mixed (good and bad), the default ruling remains </w:t>
      </w:r>
      <w:r>
        <w:rPr>
          <w:b/>
          <w:bCs/>
        </w:rPr>
        <w:t xml:space="preserve">Halal</w:t>
      </w:r>
      <w:r>
        <w:t xml:space="preserve"> (Permissible).</w:t>
      </w:r>
      <w:r/>
    </w:p>
    <w:p>
      <w:pPr>
        <w:pStyle w:val="963"/>
        <w:pBdr/>
        <w:spacing/>
        <w:ind/>
        <w:rPr/>
      </w:pPr>
      <w:r>
        <w:rPr>
          <w:b/>
          <w:bCs/>
        </w:rPr>
        <w:t xml:space="preserve">Case Example: Internet Services</w:t>
      </w:r>
      <w:r/>
    </w:p>
    <w:p>
      <w:pPr>
        <w:pStyle w:val="962"/>
        <w:pBdr/>
        <w:spacing/>
        <w:ind/>
        <w:rPr/>
      </w:pPr>
      <w:r>
        <w:t xml:space="preserve">A Fatwa from Darul Ifta regarding installing internet services confirms this logic:</w:t>
      </w:r>
      <w:r/>
    </w:p>
    <w:p>
      <w:pPr>
        <w:pStyle w:val="992"/>
        <w:pBdr/>
        <w:spacing/>
        <w:ind/>
        <w:rPr/>
      </w:pPr>
      <w:r>
        <w:t xml:space="preserve">“It is permissible to setup an internet connection… If afterwards, someone uses the internet for the wrong purposes, he will be sinful for it, not the questioner.”</w:t>
      </w:r>
      <w:r/>
    </w:p>
    <w:p>
      <w:pPr>
        <w:pStyle w:val="992"/>
        <w:pBdr/>
        <w:spacing/>
        <w:ind/>
        <w:rPr/>
      </w:pPr>
      <w:r>
        <w:t xml:space="preserve">Source: </w:t>
      </w:r>
      <w:hyperlink r:id="rId11" w:tooltip="https://www.onlinefatawa.com/view_fatwa_english/28198" w:history="1">
        <w:r>
          <w:rPr>
            <w:rStyle w:val="1008"/>
          </w:rPr>
          <w:t xml:space="preserve">Darul Ifta Binoria</w:t>
        </w:r>
      </w:hyperlink>
      <w:r/>
      <w:r/>
    </w:p>
    <w:p>
      <w:pPr>
        <w:pStyle w:val="963"/>
        <w:pBdr/>
        <w:spacing/>
        <w:ind/>
        <w:rPr/>
      </w:pPr>
      <w:r>
        <w:rPr>
          <w:b/>
          <w:bCs/>
        </w:rPr>
        <w:t xml:space="preserve">Case Example: Privacy Tools (Tor Snowflake Bridges)</w:t>
      </w:r>
      <w:r/>
    </w:p>
    <w:p>
      <w:pPr>
        <w:pStyle w:val="962"/>
        <w:pBdr/>
        <w:spacing/>
        <w:ind/>
        <w:rPr/>
      </w:pPr>
      <w:r>
        <w:t xml:space="preserve">A Snowflake bridge provides bandwidth and access for the Tor network. This is a neutral tool designed for privacy (a legitimate need for journalists, activists, etc.). The provider falls into the category of </w:t>
      </w:r>
      <w:r>
        <w:rPr>
          <w:b/>
          <w:bCs/>
        </w:rPr>
        <w:t xml:space="preserve">Indirect/Unintentional Assistance</w:t>
      </w:r>
      <w:r>
        <w:t xml:space="preserve"> because:</w:t>
      </w:r>
      <w:r/>
    </w:p>
    <w:p>
      <w:pPr>
        <w:pStyle w:val="964"/>
        <w:numPr>
          <w:ilvl w:val="0"/>
          <w:numId w:val="25"/>
        </w:numPr>
        <w:pBdr/>
        <w:spacing/>
        <w:ind/>
        <w:rPr/>
      </w:pPr>
      <w:r>
        <w:t xml:space="preserve">The action is fundamentally providing a neutral service (routing traffic)</w:t>
      </w:r>
      <w:r/>
    </w:p>
    <w:p>
      <w:pPr>
        <w:pStyle w:val="964"/>
        <w:numPr>
          <w:ilvl w:val="0"/>
          <w:numId w:val="25"/>
        </w:numPr>
        <w:pBdr/>
        <w:spacing/>
        <w:ind/>
        <w:rPr/>
      </w:pPr>
      <w:r>
        <w:t xml:space="preserve">The intent is to help people bypass censorship (Halal), not to help criminals (Haram)</w:t>
      </w:r>
      <w:r/>
    </w:p>
    <w:p>
      <w:pPr>
        <w:pStyle w:val="964"/>
        <w:numPr>
          <w:ilvl w:val="0"/>
          <w:numId w:val="25"/>
        </w:numPr>
        <w:pBdr/>
        <w:spacing/>
        <w:ind/>
        <w:rPr/>
      </w:pPr>
      <w:r>
        <w:t xml:space="preserve">The provider cannot know who is using it, and the tool has significant legitimate uses</w:t>
      </w:r>
      <w:r/>
    </w:p>
    <w:p>
      <w:pPr>
        <w:pStyle w:val="963"/>
        <w:pBdr/>
        <w:spacing/>
        <w:ind/>
        <w:rPr/>
      </w:pPr>
      <w:r>
        <w:rPr>
          <w:b/>
          <w:bCs/>
        </w:rPr>
        <w:t xml:space="preserve">Cautionary Note:</w:t>
      </w:r>
      <w:r>
        <w:t xml:space="preserve"> Running a Tor Exit Node (where traffic leaves the network) carries higher risk of direct assistance because you are the final step in the connection. A Snowflake Bridge, being just an entry point, is generally viewed as more permissible.</w:t>
      </w:r>
      <w:r/>
    </w:p>
    <w:p>
      <w:pPr>
        <w:pStyle w:val="962"/>
        <w:pBdr/>
        <w:spacing/>
        <w:ind/>
        <w:rPr/>
      </w:pPr>
      <w:r>
        <w:rPr>
          <w:b/>
          <w:bCs/>
        </w:rPr>
        <w:t xml:space="preserve">Source:</w:t>
      </w:r>
      <w:r>
        <w:t xml:space="preserve"> IslamQA - </w:t>
      </w:r>
      <w:hyperlink r:id="rId12" w:tooltip="https://islamqa.info/en/answers/247586/is-assisting-in-sin-a-sin" w:history="1">
        <w:r>
          <w:rPr>
            <w:rStyle w:val="1008"/>
          </w:rPr>
          <w:t xml:space="preserve">Ruling on selling items that may be used for halal or haram</w:t>
        </w:r>
      </w:hyperlink>
      <w:r/>
      <w:r/>
    </w:p>
    <w:p>
      <w:pPr>
        <w:pStyle w:val="962"/>
        <w:pBdr/>
        <w:spacing/>
        <w:ind/>
        <w:rPr/>
      </w:pPr>
      <w:r>
        <w:rPr>
          <w:b/>
          <w:bCs/>
        </w:rPr>
        <w:t xml:space="preserve">Key Quote:</w:t>
      </w:r>
      <w:r>
        <w:t xml:space="preserve"> </w:t>
      </w:r>
      <w:r>
        <w:t xml:space="preserve">“Indirect and unintentional help, such as someone who sells things that may be used for lawful or unlawful purposes… is not prohibited.”</w:t>
      </w:r>
      <w:r/>
    </w:p>
    <w:p>
      <w:pPr>
        <w:pBdr/>
        <w:spacing/>
        <w:ind/>
        <w:rPr/>
      </w:pPr>
      <w:r>
        <mc:AlternateContent>
          <mc:Choice Requires="wpg">
            <w:drawing>
              <wp:inline xmlns:wp="http://schemas.openxmlformats.org/drawingml/2006/wordprocessingDrawing" distT="0" distB="0" distL="0" distR="0">
                <wp:extent cx="0" cy="19050"/>
                <wp:effectExtent l="0" t="0" r="0" b="0"/>
                <wp:docPr id="1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 o:spid="_x0000_s17" o:spt="1" type="#_x0000_t1" style="width:0.00pt;height:1.50pt;mso-wrap-distance-left:0.00pt;mso-wrap-distance-top:0.00pt;mso-wrap-distance-right:0.00pt;mso-wrap-distance-bottom:0.00pt;visibility:visible;" fillcolor="#FFFFFF" strokecolor="#000000"/>
            </w:pict>
          </mc:Fallback>
        </mc:AlternateContent>
      </w:r>
      <w:r/>
    </w:p>
    <w:p>
      <w:pPr>
        <w:pStyle w:val="978"/>
        <w:pBdr/>
        <w:spacing/>
        <w:ind/>
        <w:rPr/>
      </w:pPr>
      <w:r/>
      <w:bookmarkStart w:id="28" w:name="a-labor-contribution-and-trust-pressure"/>
      <w:r>
        <w:t xml:space="preserve">2.1.3.A Labor, Contribution, and Trust Pressure</w:t>
      </w:r>
      <w:r/>
    </w:p>
    <w:p>
      <w:pPr>
        <w:pStyle w:val="963"/>
        <w:pBdr/>
        <w:spacing/>
        <w:ind/>
        <w:rPr/>
      </w:pPr>
      <w:r>
        <w:t xml:space="preserve">This subsection keeps only the parts of labor and contribution ethics that affect provider-mediated software design.</w:t>
      </w:r>
      <w:r>
        <w:t xml:space="preserve"> It does not turn the thesis into a general employment-law or workplace-wellbeing study. The relevant question is narrower: how can pressure on workers, contributors, or maintainers create software decisions that betray users, communities, or dependencies?</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relevance</w:t>
            </w:r>
            <w:r/>
          </w:p>
        </w:tc>
        <w:tc>
          <w:tcPr>
            <w:tcBorders/>
          </w:tcPr>
          <w:p>
            <w:pPr>
              <w:pStyle w:val="964"/>
              <w:pBdr/>
              <w:spacing/>
              <w:ind/>
              <w:rPr/>
            </w:pPr>
            <w:r>
              <w:t xml:space="preserve">I-VSD response</w:t>
            </w:r>
            <w:r/>
          </w:p>
        </w:tc>
      </w:tr>
      <w:tr>
        <w:trPr/>
        <w:tc>
          <w:tcPr>
            <w:tcBorders/>
          </w:tcPr>
          <w:p>
            <w:pPr>
              <w:pStyle w:val="964"/>
              <w:pBdr/>
              <w:spacing/>
              <w:ind/>
              <w:rPr/>
            </w:pPr>
            <w:r>
              <w:t xml:space="preserve">Unpaid contribution promises, unclear partnership signals, or failure to credit reused work.</w:t>
            </w:r>
            <w:r/>
          </w:p>
        </w:tc>
        <w:tc>
          <w:tcPr>
            <w:tcBorders/>
          </w:tcPr>
          <w:p>
            <w:pPr>
              <w:pStyle w:val="964"/>
              <w:pBdr/>
              <w:spacing/>
              <w:ind/>
              <w:rPr/>
            </w:pPr>
            <w:r>
              <w:t xml:space="preserve">Software ecosystems depend on trust between providers, contributors, and communities. Misleading collaboration damages that trust and can discourage future maintenance.</w:t>
            </w:r>
            <w:r/>
          </w:p>
        </w:tc>
        <w:tc>
          <w:tcPr>
            <w:tcBorders/>
          </w:tcPr>
          <w:p>
            <w:pPr>
              <w:pStyle w:val="964"/>
              <w:pBdr/>
              <w:spacing/>
              <w:ind/>
              <w:rPr/>
            </w:pPr>
            <w:r>
              <w:t xml:space="preserve">Treat contribution rules, attribution, license compliance, and partnership promises as governance responsibilities, not only legal details.</w:t>
            </w:r>
            <w:r/>
          </w:p>
        </w:tc>
      </w:tr>
      <w:tr>
        <w:trPr/>
        <w:tc>
          <w:tcPr>
            <w:tcBorders/>
          </w:tcPr>
          <w:p>
            <w:pPr>
              <w:pStyle w:val="964"/>
              <w:pBdr/>
              <w:spacing/>
              <w:ind/>
              <w:rPr/>
            </w:pPr>
            <w:r>
              <w:t xml:space="preserve">Open-source appropriation without clear credit or reciprocity.</w:t>
            </w:r>
            <w:r/>
          </w:p>
        </w:tc>
        <w:tc>
          <w:tcPr>
            <w:tcBorders/>
          </w:tcPr>
          <w:p>
            <w:pPr>
              <w:pStyle w:val="964"/>
              <w:pBdr/>
              <w:spacing/>
              <w:ind/>
              <w:rPr/>
            </w:pPr>
            <w:r>
              <w:t xml:space="preserve">Provider benefit can come from community labor while the community receives little recognition, support, or control.</w:t>
            </w:r>
            <w:r/>
          </w:p>
        </w:tc>
        <w:tc>
          <w:tcPr>
            <w:tcBorders/>
          </w:tcPr>
          <w:p>
            <w:pPr>
              <w:pStyle w:val="964"/>
              <w:pBdr/>
              <w:spacing/>
              <w:ind/>
              <w:rPr/>
            </w:pPr>
            <w:r>
              <w:t xml:space="preserve">Make dependency use, attribution, upstream support, and community obligations visible in technical and governance decisions.</w:t>
            </w:r>
            <w:r/>
          </w:p>
        </w:tc>
      </w:tr>
      <w:tr>
        <w:trPr/>
        <w:tc>
          <w:tcPr>
            <w:tcBorders/>
          </w:tcPr>
          <w:p>
            <w:pPr>
              <w:pStyle w:val="964"/>
              <w:pBdr/>
              <w:spacing/>
              <w:ind/>
              <w:rPr/>
            </w:pPr>
            <w:r>
              <w:t xml:space="preserve">Pressure to ship harmful features, ignore security defects, or hide known limitations.</w:t>
            </w:r>
            <w:r/>
          </w:p>
        </w:tc>
        <w:tc>
          <w:tcPr>
            <w:tcBorders/>
          </w:tcPr>
          <w:p>
            <w:pPr>
              <w:pStyle w:val="964"/>
              <w:pBdr/>
              <w:spacing/>
              <w:ind/>
              <w:rPr/>
            </w:pPr>
            <w:r>
              <w:t xml:space="preserve">Labor pressure becomes a software-design issue when it leads teams to release deceptive, insecure, or manipulative systems.</w:t>
            </w:r>
            <w:r/>
          </w:p>
        </w:tc>
        <w:tc>
          <w:tcPr>
            <w:tcBorders/>
          </w:tcPr>
          <w:p>
            <w:pPr>
              <w:pStyle w:val="964"/>
              <w:pBdr/>
              <w:spacing/>
              <w:ind/>
              <w:rPr/>
            </w:pPr>
            <w:r>
              <w:t xml:space="preserve">Use governance mechanisms that allow ethical escalation, security prioritization, and refusal of harmful design requests.</w:t>
            </w:r>
            <w:r/>
          </w:p>
        </w:tc>
      </w:tr>
      <w:tr>
        <w:trPr/>
        <w:tc>
          <w:tcPr>
            <w:tcBorders/>
          </w:tcPr>
          <w:p>
            <w:pPr>
              <w:pStyle w:val="964"/>
              <w:pBdr/>
              <w:spacing/>
              <w:ind/>
              <w:rPr/>
            </w:pPr>
            <w:r>
              <w:t xml:space="preserve">Fear-based malware-like products that claim to protect users while extracting payment through false alarms.</w:t>
            </w:r>
            <w:r/>
          </w:p>
        </w:tc>
        <w:tc>
          <w:tcPr>
            <w:tcBorders/>
          </w:tcPr>
          <w:p>
            <w:pPr>
              <w:pStyle w:val="964"/>
              <w:pBdr/>
              <w:spacing/>
              <w:ind/>
              <w:rPr/>
            </w:pPr>
            <w:r>
              <w:t xml:space="preserve">The interface turns user fear into revenue and makes security language a tool of manipulation.</w:t>
            </w:r>
            <w:r/>
          </w:p>
        </w:tc>
        <w:tc>
          <w:tcPr>
            <w:tcBorders/>
          </w:tcPr>
          <w:p>
            <w:pPr>
              <w:pStyle w:val="964"/>
              <w:pBdr/>
              <w:spacing/>
              <w:ind/>
              <w:rPr/>
            </w:pPr>
            <w:r>
              <w:t xml:space="preserve">Require truthful warnings, clear evidence for detected threats, safe uninstall paths, and independent review for high-risk security claims.</w:t>
            </w:r>
            <w:r/>
          </w:p>
        </w:tc>
      </w:tr>
    </w:tbl>
    <w:p>
      <w:pPr>
        <w:pStyle w:val="962"/>
        <w:pBdr/>
        <w:spacing/>
        <w:ind/>
        <w:rPr/>
      </w:pPr>
      <w:r>
        <w:t xml:space="preserve">These patterns primarily co</w:t>
      </w:r>
      <w:r>
        <w:t xml:space="preserve">nnect to Amanah, Sidq, Adl, Wafa, and Huquq al-’Ibad. They also show why I-VSD includes governance and evaluation domains: ethical software cannot be reduced to the final user interface if the production process rewards deception, exploitation, or neglect.</w:t>
      </w:r>
      <w:r/>
    </w:p>
    <w:p>
      <w:pPr>
        <w:pStyle w:val="962"/>
        <w:pBdr/>
        <w:spacing/>
        <w:ind/>
        <w:rPr/>
      </w:pPr>
      <w:r>
        <w:t xml:space="preserve">The thesis should use these examples selectively</w:t>
      </w:r>
      <w:r>
        <w:t xml:space="preserve">. Internship disputes, broad workplace stress, and general employment injustice are important ethical topics, but they belong in the main argument only when they shape software accountability, security, portability, moderation, monetization, or user trust.</w:t>
      </w:r>
      <w:r/>
    </w:p>
    <w:p>
      <w:pPr>
        <w:pStyle w:val="962"/>
        <w:pBdr/>
        <w:spacing/>
        <w:ind/>
        <w:rPr/>
      </w:pPr>
      <w:r>
        <w:rPr>
          <w:b/>
          <w:bCs/>
        </w:rPr>
        <w:t xml:space="preserve">Representative source anchors:</w:t>
      </w:r>
      <w:r>
        <w:t xml:space="preserve"> YouTube analysis of contributor and marketplace disputes; New York Times coverage of internship-offer controversies; security and malware user reports used only as illustrative examples requiring careful source checking before final submission.</w:t>
      </w:r>
      <w:r/>
    </w:p>
    <w:p>
      <w:pPr>
        <w:pBdr/>
        <w:spacing/>
        <w:ind/>
        <w:rPr/>
      </w:pPr>
      <w:r>
        <mc:AlternateContent>
          <mc:Choice Requires="wpg">
            <w:drawing>
              <wp:inline xmlns:wp="http://schemas.openxmlformats.org/drawingml/2006/wordprocessingDrawing" distT="0" distB="0" distL="0" distR="0">
                <wp:extent cx="0" cy="19050"/>
                <wp:effectExtent l="0" t="0" r="0" b="0"/>
                <wp:docPr id="1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 o:spid="_x0000_s18" o:spt="1" type="#_x0000_t1" style="width:0.00pt;height:1.50pt;mso-wrap-distance-left:0.00pt;mso-wrap-distance-top:0.00pt;mso-wrap-distance-right:0.00pt;mso-wrap-distance-bottom:0.00pt;visibility:visible;" fillcolor="#FFFFFF" strokecolor="#000000"/>
            </w:pict>
          </mc:Fallback>
        </mc:AlternateContent>
      </w:r>
      <w:bookmarkEnd w:id="28"/>
      <w:r/>
    </w:p>
    <w:p>
      <w:pPr>
        <w:pStyle w:val="978"/>
        <w:pBdr/>
        <w:spacing/>
        <w:ind/>
        <w:rPr/>
      </w:pPr>
      <w:r/>
      <w:bookmarkStart w:id="29" w:name="b-deception-manipulation-and-fraud"/>
      <w:r>
        <w:t xml:space="preserve">2.1.3.B Deception, Manipulation, and Fraud</w:t>
      </w:r>
      <w:r/>
    </w:p>
    <w:p>
      <w:pPr>
        <w:pStyle w:val="963"/>
        <w:pBdr/>
        <w:spacing/>
        <w:ind/>
        <w:rPr/>
      </w:pPr>
      <w:r>
        <w:t xml:space="preserve">This subsection supports the harm typology by collecting representative examples o</w:t>
      </w:r>
      <w:r>
        <w:t xml:space="preserve">f deception, manipulation, pricing ambiguity, and trust-signal abuse in provider-mediated software solutions. It should be read as selective evidence for design reasoning, not as an exhaustive catalogue of every deceptive practice in the software industry.</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False privacy or security claims in VPN, anti-malware, or privacy tools.</w:t>
            </w:r>
            <w:r/>
          </w:p>
        </w:tc>
        <w:tc>
          <w:tcPr>
            <w:tcBorders/>
          </w:tcPr>
          <w:p>
            <w:pPr>
              <w:pStyle w:val="964"/>
              <w:pBdr/>
              <w:spacing/>
              <w:ind/>
              <w:rPr/>
            </w:pPr>
            <w:r>
              <w:t xml:space="preserve">Users rely on provider claims when they cannot independently inspect logs, traffic correlation, fingerprints, or hidden collection.</w:t>
            </w:r>
            <w:r/>
          </w:p>
        </w:tc>
        <w:tc>
          <w:tcPr>
            <w:tcBorders/>
          </w:tcPr>
          <w:p>
            <w:pPr>
              <w:pStyle w:val="964"/>
              <w:pBdr/>
              <w:spacing/>
              <w:ind/>
              <w:rPr/>
            </w:pPr>
            <w:r>
              <w:t xml:space="preserve">State limitations honestly, avoid absolute privacy promises, and provide evidence for security claims.</w:t>
            </w:r>
            <w:r/>
          </w:p>
        </w:tc>
      </w:tr>
      <w:tr>
        <w:trPr/>
        <w:tc>
          <w:tcPr>
            <w:tcBorders/>
          </w:tcPr>
          <w:p>
            <w:pPr>
              <w:pStyle w:val="964"/>
              <w:pBdr/>
              <w:spacing/>
              <w:ind/>
              <w:rPr/>
            </w:pPr>
            <w:r>
              <w:t xml:space="preserve">Hidden agendas, undisclosed surveillance incentives, or politically selective moderation.</w:t>
            </w:r>
            <w:r/>
          </w:p>
        </w:tc>
        <w:tc>
          <w:tcPr>
            <w:tcBorders/>
          </w:tcPr>
          <w:p>
            <w:pPr>
              <w:pStyle w:val="964"/>
              <w:pBdr/>
              <w:spacing/>
              <w:ind/>
              <w:rPr/>
            </w:pPr>
            <w:r>
              <w:t xml:space="preserve">The provider receives trust while acting according to motives users cannot evaluate.</w:t>
            </w:r>
            <w:r/>
          </w:p>
        </w:tc>
        <w:tc>
          <w:tcPr>
            <w:tcBorders/>
          </w:tcPr>
          <w:p>
            <w:pPr>
              <w:pStyle w:val="964"/>
              <w:pBdr/>
              <w:spacing/>
              <w:ind/>
              <w:rPr/>
            </w:pPr>
            <w:r>
              <w:t xml:space="preserve">Require disclosure, consistent policy enforcement, appeal paths, and governance review.</w:t>
            </w:r>
            <w:r/>
          </w:p>
        </w:tc>
      </w:tr>
      <w:tr>
        <w:trPr/>
        <w:tc>
          <w:tcPr>
            <w:tcBorders/>
          </w:tcPr>
          <w:p>
            <w:pPr>
              <w:pStyle w:val="964"/>
              <w:pBdr/>
              <w:spacing/>
              <w:ind/>
              <w:rPr/>
            </w:pPr>
            <w:r>
              <w:t xml:space="preserve">AI hallucinations, biased outputs, or unsafe advice presented with unwarranted confidence.</w:t>
            </w:r>
            <w:r/>
          </w:p>
        </w:tc>
        <w:tc>
          <w:tcPr>
            <w:tcBorders/>
          </w:tcPr>
          <w:p>
            <w:pPr>
              <w:pStyle w:val="964"/>
              <w:pBdr/>
              <w:spacing/>
              <w:ind/>
              <w:rPr/>
            </w:pPr>
            <w:r>
              <w:t xml:space="preserve">The interface can turn uncertain model output into apparent authority.</w:t>
            </w:r>
            <w:r/>
          </w:p>
        </w:tc>
        <w:tc>
          <w:tcPr>
            <w:tcBorders/>
          </w:tcPr>
          <w:p>
            <w:pPr>
              <w:pStyle w:val="964"/>
              <w:pBdr/>
              <w:spacing/>
              <w:ind/>
              <w:rPr/>
            </w:pPr>
            <w:r>
              <w:t xml:space="preserve">Preserve source integrity, disclose AI limitations, show uncertainty, and restrict high-risk use cases.</w:t>
            </w:r>
            <w:r/>
          </w:p>
        </w:tc>
      </w:tr>
      <w:tr>
        <w:trPr/>
        <w:tc>
          <w:tcPr>
            <w:tcBorders/>
          </w:tcPr>
          <w:p>
            <w:pPr>
              <w:pStyle w:val="964"/>
              <w:pBdr/>
              <w:spacing/>
              <w:ind/>
              <w:rPr/>
            </w:pPr>
            <w:r>
              <w:t xml:space="preserve">Manipulative advertising, false urgency, guilt-based pricing screens, or difficult cancellation flows.</w:t>
            </w:r>
            <w:r/>
          </w:p>
        </w:tc>
        <w:tc>
          <w:tcPr>
            <w:tcBorders/>
          </w:tcPr>
          <w:p>
            <w:pPr>
              <w:pStyle w:val="964"/>
              <w:pBdr/>
              <w:spacing/>
              <w:ind/>
              <w:rPr/>
            </w:pPr>
            <w:r>
              <w:t xml:space="preserve">Interface design pressures users into decisions that they might not freely choose with clear information.</w:t>
            </w:r>
            <w:r/>
          </w:p>
        </w:tc>
        <w:tc>
          <w:tcPr>
            <w:tcBorders/>
          </w:tcPr>
          <w:p>
            <w:pPr>
              <w:pStyle w:val="964"/>
              <w:pBdr/>
              <w:spacing/>
              <w:ind/>
              <w:rPr/>
            </w:pPr>
            <w:r>
              <w:t xml:space="preserve">Remove dark patterns, make rejection and cancellation symmetric, and keep pricing and limits clear.</w:t>
            </w:r>
            <w:r/>
          </w:p>
        </w:tc>
      </w:tr>
      <w:tr>
        <w:trPr/>
        <w:tc>
          <w:tcPr>
            <w:tcBorders/>
          </w:tcPr>
          <w:p>
            <w:pPr>
              <w:pStyle w:val="964"/>
              <w:pBdr/>
              <w:spacing/>
              <w:ind/>
              <w:rPr/>
            </w:pPr>
            <w:r>
              <w:t xml:space="preserve">Pricing experiments, fake reviews, fabricated badges, bots, and broken lifetime promises.</w:t>
            </w:r>
            <w:r/>
          </w:p>
        </w:tc>
        <w:tc>
          <w:tcPr>
            <w:tcBorders/>
          </w:tcPr>
          <w:p>
            <w:pPr>
              <w:pStyle w:val="964"/>
              <w:pBdr/>
              <w:spacing/>
              <w:ind/>
              <w:rPr/>
            </w:pPr>
            <w:r>
              <w:t xml:space="preserve">Trust signals and contractual terms become optimization variables rather than commitments.</w:t>
            </w:r>
            <w:r/>
          </w:p>
        </w:tc>
        <w:tc>
          <w:tcPr>
            <w:tcBorders/>
          </w:tcPr>
          <w:p>
            <w:pPr>
              <w:pStyle w:val="964"/>
              <w:pBdr/>
              <w:spacing/>
              <w:ind/>
              <w:rPr/>
            </w:pPr>
            <w:r>
              <w:t xml:space="preserve">Treat claims, reviews, experiments, and promises as matters of Sidq, Amanah, Wafa, and Ghish prevention.</w:t>
            </w:r>
            <w:r/>
          </w:p>
        </w:tc>
      </w:tr>
    </w:tbl>
    <w:p>
      <w:pPr>
        <w:pStyle w:val="962"/>
        <w:pBdr/>
        <w:spacing/>
        <w:ind/>
        <w:rPr/>
      </w:pPr>
      <w:r>
        <w:t xml:space="preserve">Dark patterns are especially important because they show how moral failure can be embedded directly into interface structure. The issue is not</w:t>
      </w:r>
      <w:r>
        <w:t xml:space="preserve"> merely that a provider writes a false sentence. The provider can also arrange buttons, labels, defaults, urgency messages, review displays, and cancellation paths so that users are nudged toward outcomes that serve the provider while reducing user agency.</w:t>
      </w:r>
      <w:r/>
    </w:p>
    <w:p>
      <w:pPr>
        <w:pStyle w:val="962"/>
        <w:pBdr/>
        <w:spacing/>
        <w:ind/>
        <w:rPr/>
      </w:pPr>
      <w:r>
        <w:t xml:space="preserve">A 2024 global sweep by th</w:t>
      </w:r>
      <w:r>
        <w:t xml:space="preserve">e International Consumer Protection and Enforcement Network examined 642 traders that offered subscription services and reported that 75.70% used at least one dark pattern, while 66.82% used two or more. This does not establish that every trader acted ille</w:t>
      </w:r>
      <w:r>
        <w:t xml:space="preserve">gally, but it shows that manipulative subscription design is not an isolated edge case. It is a recurring market pattern in which interface choices can pressure users into subscriptions, make cancellation harder, or obscure the real terms of a transaction.</w:t>
      </w:r>
      <w:r/>
    </w:p>
    <w:p w14:paraId="41C914B8">
      <w:pPr>
        <w:pStyle w:val="962"/>
        <w:pBdr/>
        <w:spacing/>
        <w:ind/>
        <w:rPr/>
      </w:pPr>
      <w:r>
        <w:rPr>
          <w:i/>
          <w:iCs/>
          <w:highlight w:val="none"/>
        </w:rPr>
      </w:r>
      <w:r>
        <w:rPr>
          <w:i/>
          <w:iCs/>
          <w:highlight w:val="none"/>
        </w:rPr>
      </w:r>
      <w:r>
        <w:rPr>
          <w:i/>
          <w:iCs/>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00704" behindDoc="0" locked="0" layoutInCell="1" allowOverlap="1">
                <wp:simplePos x="0" y="0"/>
                <wp:positionH relativeFrom="column">
                  <wp:posOffset>0</wp:posOffset>
                </wp:positionH>
                <wp:positionV relativeFrom="paragraph">
                  <wp:posOffset>0</wp:posOffset>
                </wp:positionV>
                <wp:extent cx="3216750" cy="2259742"/>
                <wp:effectExtent l="0" t="0" r="0" b="0"/>
                <wp:wrapTight wrapText="bothSides">
                  <wp:wrapPolygon edited="1">
                    <wp:start x="0" y="0"/>
                    <wp:lineTo x="21600" y="0"/>
                    <wp:lineTo x="21600" y="21600"/>
                    <wp:lineTo x="0" y="21600"/>
                  </wp:wrapPolygon>
                </wp:wrapTight>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24577" name=""/>
                        <pic:cNvPicPr>
                          <a:picLocks noChangeAspect="1"/>
                        </pic:cNvPicPr>
                        <pic:nvPr/>
                      </pic:nvPicPr>
                      <pic:blipFill rotWithShape="1">
                        <a:blip r:embed="rId13"/>
                        <a:stretch/>
                      </pic:blipFill>
                      <pic:spPr bwMode="auto">
                        <a:xfrm flipH="0" flipV="0">
                          <a:off x="0" y="0"/>
                          <a:ext cx="3216749" cy="22597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00704;o:allowoverlap:true;o:allowincell:true;mso-position-horizontal-relative:text;margin-left:0.00pt;mso-position-horizontal:absolute;mso-position-vertical-relative:text;margin-top:0.00pt;mso-position-vertical:absolute;width:253.29pt;height:177.93pt;mso-wrap-distance-left:9.07pt;mso-wrap-distance-top:0.00pt;mso-wrap-distance-right:9.07pt;mso-wrap-distance-bottom:0.00pt;z-index:1;" wrapcoords="0 0 100000 0 100000 100000 0 100000" stroked="false">
                <w10:wrap type="tight"/>
                <v:imagedata r:id="rId13" o:title=""/>
                <o:lock v:ext="edit" rotation="t"/>
              </v:shape>
            </w:pict>
          </mc:Fallback>
        </mc:AlternateContent>
      </w:r>
      <w:r>
        <w:rPr>
          <w:i/>
          <w:iCs/>
          <w:highlight w:val="none"/>
        </w:rPr>
      </w:r>
      <w:r>
        <w:rPr>
          <w:i/>
          <w:iCs/>
          <w:highlight w:val="none"/>
        </w:rPr>
      </w:r>
    </w:p>
    <w:p>
      <w:pPr>
        <w:pStyle w:val="962"/>
        <w:pBdr/>
        <w:spacing/>
        <w:ind/>
        <w:rPr>
          <w:bCs/>
          <w:i/>
          <w:highlight w:val="none"/>
        </w:rPr>
      </w:pPr>
      <w:r>
        <w:rPr>
          <w:i/>
          <w:iCs/>
        </w:rPr>
        <w:t xml:space="preserve">Figure: Distribution of traders in the 2024 ICPEN subscription-</w:t>
      </w:r>
      <w:r>
        <w:rPr>
          <w:i/>
          <w:iCs/>
        </w:rPr>
        <w:t xml:space="preserve">service sweep by number of dark patterns found (n = 642). Source: ICPEN, “ICPEN Dark Patterns Sweep Public Report,” July 2, 2024. The 8.88% one-dark-pattern share is derived from the difference between ICPEN’s reported “at least one” and “multiple” shares.</w:t>
      </w:r>
      <w:r/>
    </w:p>
    <w:p>
      <w:pPr>
        <w:pStyle w:val="962"/>
        <w:pBdr/>
        <w:spacing/>
        <w:ind/>
        <w:rPr/>
      </w:pPr>
      <w:r>
        <w:rPr>
          <w:b/>
          <w:bCs/>
        </w:rPr>
        <w:t xml:space="preserve">Source:</w:t>
      </w:r>
      <w:r>
        <w:t xml:space="preserve"> International Consumer Protection and Enforcement Network (ICPEN), “ICPEN Dark Patterns Sweep Public Report,” July 2, 2024; ICPEN news release, July 9, 2024.</w:t>
      </w:r>
      <w:r/>
    </w:p>
    <w:p>
      <w:pPr>
        <w:pStyle w:val="962"/>
        <w:pBdr/>
        <w:spacing/>
        <w:ind/>
        <w:rPr/>
      </w:pPr>
      <w:r>
        <w:t xml:space="preserve">For I-VSD, this category primarily activates Sidq, Amanah, Ghish, Gharar, Wafa, Adl, and La Darar. The</w:t>
      </w:r>
      <w:r>
        <w:t xml:space="preserve"> framework response is not only “do not lie.” It is to design claims, defaults, subscription flows, review systems, AI outputs, and pricing experiments so that users can understand what is being offered and can refuse without being punished or manipulated.</w:t>
      </w:r>
      <w:r/>
    </w:p>
    <w:p>
      <w:pPr>
        <w:pBdr/>
        <w:spacing/>
        <w:ind/>
        <w:rPr/>
      </w:pPr>
      <w:r>
        <mc:AlternateContent>
          <mc:Choice Requires="wpg">
            <w:drawing>
              <wp:inline xmlns:wp="http://schemas.openxmlformats.org/drawingml/2006/wordprocessingDrawing" distT="0" distB="0" distL="0" distR="0">
                <wp:extent cx="0" cy="19050"/>
                <wp:effectExtent l="0" t="0" r="0" b="0"/>
                <wp:docPr id="2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0" o:spid="_x0000_s20" o:spt="1" type="#_x0000_t1" style="width:0.00pt;height:1.50pt;mso-wrap-distance-left:0.00pt;mso-wrap-distance-top:0.00pt;mso-wrap-distance-right:0.00pt;mso-wrap-distance-bottom:0.00pt;visibility:visible;" fillcolor="#FFFFFF" strokecolor="#000000"/>
            </w:pict>
          </mc:Fallback>
        </mc:AlternateContent>
      </w:r>
      <w:bookmarkEnd w:id="29"/>
      <w:r/>
    </w:p>
    <w:p>
      <w:pPr>
        <w:pStyle w:val="978"/>
        <w:pBdr/>
        <w:spacing/>
        <w:ind/>
        <w:rPr/>
      </w:pPr>
      <w:r/>
      <w:bookmarkStart w:id="30" w:name="X17c9e29bdecde7b0cd5c2747ff9db926001531e"/>
      <w:r>
        <w:t xml:space="preserve">2.1.3.C Data, Privacy, Security, and Stewardship Failures</w:t>
      </w:r>
      <w:r/>
    </w:p>
    <w:p>
      <w:pPr>
        <w:pStyle w:val="963"/>
        <w:pBdr/>
        <w:spacing/>
        <w:ind/>
        <w:rPr/>
      </w:pPr>
      <w:r>
        <w:t xml:space="preserve">This subsection focuses on harms that arise when providers receive user data, credentials, devices, infr</w:t>
      </w:r>
      <w:r>
        <w:t xml:space="preserve">astructure trust, or self-hosting expectations and then fail to steward them responsibly. It connects most directly to the typology categories of privacy and surveillance, security negligence, lock-in and portability failure, and source/provenance failure.</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Overcollection, undisclosed analytics, tracking cookies, or IoT surveillance.</w:t>
            </w:r>
            <w:r/>
          </w:p>
        </w:tc>
        <w:tc>
          <w:tcPr>
            <w:tcBorders/>
          </w:tcPr>
          <w:p>
            <w:pPr>
              <w:pStyle w:val="964"/>
              <w:pBdr/>
              <w:spacing/>
              <w:ind/>
              <w:rPr/>
            </w:pPr>
            <w:r>
              <w:t xml:space="preserve">Users cannot meaningfully consent if collection is hidden, excessive, or unrelated to the stated purpose.</w:t>
            </w:r>
            <w:r/>
          </w:p>
        </w:tc>
        <w:tc>
          <w:tcPr>
            <w:tcBorders/>
          </w:tcPr>
          <w:p>
            <w:pPr>
              <w:pStyle w:val="964"/>
              <w:pBdr/>
              <w:spacing/>
              <w:ind/>
              <w:rPr/>
            </w:pPr>
            <w:r>
              <w:t xml:space="preserve">Minimize collection, separate optional analytics, disclose purpose, and review intrusive signals before release.</w:t>
            </w:r>
            <w:r/>
          </w:p>
        </w:tc>
      </w:tr>
      <w:tr>
        <w:trPr/>
        <w:tc>
          <w:tcPr>
            <w:tcBorders/>
          </w:tcPr>
          <w:p>
            <w:pPr>
              <w:pStyle w:val="964"/>
              <w:pBdr/>
              <w:spacing/>
              <w:ind/>
              <w:rPr/>
            </w:pPr>
            <w:r>
              <w:t xml:space="preserve">Weak security, delayed patching, weak credential storage, or inadequate incident response.</w:t>
            </w:r>
            <w:r/>
          </w:p>
        </w:tc>
        <w:tc>
          <w:tcPr>
            <w:tcBorders/>
          </w:tcPr>
          <w:p>
            <w:pPr>
              <w:pStyle w:val="964"/>
              <w:pBdr/>
              <w:spacing/>
              <w:ind/>
              <w:rPr/>
            </w:pPr>
            <w:r>
              <w:t xml:space="preserve">Security becomes a breach of Amanah when known risks are left unresolved or users are not warned.</w:t>
            </w:r>
            <w:r/>
          </w:p>
        </w:tc>
        <w:tc>
          <w:tcPr>
            <w:tcBorders/>
          </w:tcPr>
          <w:p>
            <w:pPr>
              <w:pStyle w:val="964"/>
              <w:pBdr/>
              <w:spacing/>
              <w:ind/>
              <w:rPr/>
            </w:pPr>
            <w:r>
              <w:t xml:space="preserve">Treat security work, patching, backup, and disclosure as moral obligations in technical and operational domains.</w:t>
            </w:r>
            <w:r/>
          </w:p>
        </w:tc>
      </w:tr>
      <w:tr>
        <w:trPr/>
        <w:tc>
          <w:tcPr>
            <w:tcBorders/>
          </w:tcPr>
          <w:p>
            <w:pPr>
              <w:pStyle w:val="964"/>
              <w:pBdr/>
              <w:spacing/>
              <w:ind/>
              <w:rPr/>
            </w:pPr>
            <w:r>
              <w:t xml:space="preserve">Redundancy and backup failures that cause irreversible data loss.</w:t>
            </w:r>
            <w:r/>
          </w:p>
        </w:tc>
        <w:tc>
          <w:tcPr>
            <w:tcBorders/>
          </w:tcPr>
          <w:p>
            <w:pPr>
              <w:pStyle w:val="964"/>
              <w:pBdr/>
              <w:spacing/>
              <w:ind/>
              <w:rPr/>
            </w:pPr>
            <w:r>
              <w:t xml:space="preserve">Users entrust important records to providers who may control the only usable copy.</w:t>
            </w:r>
            <w:r/>
          </w:p>
        </w:tc>
        <w:tc>
          <w:tcPr>
            <w:tcBorders/>
          </w:tcPr>
          <w:p>
            <w:pPr>
              <w:pStyle w:val="964"/>
              <w:pBdr/>
              <w:spacing/>
              <w:ind/>
              <w:rPr/>
            </w:pPr>
            <w:r>
              <w:t xml:space="preserve">Require backup strategy, recovery testing, clear ownership, export paths, and incident accountability.</w:t>
            </w:r>
            <w:r/>
          </w:p>
        </w:tc>
      </w:tr>
      <w:tr>
        <w:trPr/>
        <w:tc>
          <w:tcPr>
            <w:tcBorders/>
          </w:tcPr>
          <w:p>
            <w:pPr>
              <w:pStyle w:val="964"/>
              <w:pBdr/>
              <w:spacing/>
              <w:ind/>
              <w:rPr/>
            </w:pPr>
            <w:r>
              <w:t xml:space="preserve">Misleading self-hosting, open-source, or open-core claims.</w:t>
            </w:r>
            <w:r/>
          </w:p>
        </w:tc>
        <w:tc>
          <w:tcPr>
            <w:tcBorders/>
          </w:tcPr>
          <w:p>
            <w:pPr>
              <w:pStyle w:val="964"/>
              <w:pBdr/>
              <w:spacing/>
              <w:ind/>
              <w:rPr/>
            </w:pPr>
            <w:r>
              <w:t xml:space="preserve">Users choose tools based on freedom, data custody, portability, and community promises that may not match reality.</w:t>
            </w:r>
            <w:r/>
          </w:p>
        </w:tc>
        <w:tc>
          <w:tcPr>
            <w:tcBorders/>
          </w:tcPr>
          <w:p>
            <w:pPr>
              <w:pStyle w:val="964"/>
              <w:pBdr/>
              <w:spacing/>
              <w:ind/>
              <w:rPr/>
            </w:pPr>
            <w:r>
              <w:t xml:space="preserve">Define what is actually open, what is restricted, what can be self-hosted, and what data remains portable.</w:t>
            </w:r>
            <w:r/>
          </w:p>
        </w:tc>
      </w:tr>
      <w:tr>
        <w:trPr/>
        <w:tc>
          <w:tcPr>
            <w:tcBorders/>
          </w:tcPr>
          <w:p>
            <w:pPr>
              <w:pStyle w:val="964"/>
              <w:pBdr/>
              <w:spacing/>
              <w:ind/>
              <w:rPr/>
            </w:pPr>
            <w:r>
              <w:t xml:space="preserve">Ownership transfer without user-data stewardship review.</w:t>
            </w:r>
            <w:r/>
          </w:p>
        </w:tc>
        <w:tc>
          <w:tcPr>
            <w:tcBorders/>
          </w:tcPr>
          <w:p>
            <w:pPr>
              <w:pStyle w:val="964"/>
              <w:pBdr/>
              <w:spacing/>
              <w:ind/>
              <w:rPr/>
            </w:pPr>
            <w:r>
              <w:t xml:space="preserve">A sale or acquisition can move user data to a new actor whose incentives and practices differ from the original provider.</w:t>
            </w:r>
            <w:r/>
          </w:p>
        </w:tc>
        <w:tc>
          <w:tcPr>
            <w:tcBorders/>
          </w:tcPr>
          <w:p>
            <w:pPr>
              <w:pStyle w:val="964"/>
              <w:pBdr/>
              <w:spacing/>
              <w:ind/>
              <w:rPr/>
            </w:pPr>
            <w:r>
              <w:t xml:space="preserve">Treat ownership change as a governance event requiring notice, due diligence, user choice, and export options.</w:t>
            </w:r>
            <w:r/>
          </w:p>
        </w:tc>
      </w:tr>
    </w:tbl>
    <w:p>
      <w:pPr>
        <w:pStyle w:val="962"/>
        <w:pBdr/>
        <w:spacing/>
        <w:ind/>
        <w:rPr/>
      </w:pPr>
      <w:r>
        <w:t xml:space="preserve">The open-source label is an example of how data stew</w:t>
      </w:r>
      <w:r>
        <w:t xml:space="preserve">ardship, portability, and transparency can overlap. The Open Source Initiative defines open source through criteria such as free redistribution, source-code availability, derived works, non-discrimination, and license neutrality. When a provider markets a </w:t>
      </w:r>
      <w:r>
        <w:t xml:space="preserve">product as open source while withholding essential functionality, making self-hosting impractical, or pushing serious users into managed SaaS, the ethical issue is not only branding. It affects user autonomy, data custody, exit rights, and dependency risk.</w:t>
      </w:r>
      <w:r/>
    </w:p>
    <w:p>
      <w:pPr>
        <w:pStyle w:val="962"/>
        <w:pBdr/>
        <w:spacing/>
        <w:ind/>
        <w:rPr/>
      </w:pPr>
      <w:r>
        <w:t xml:space="preserve">Security and privacy examples should be used carefully. A vulnerability report, smart-device surveillance case, or cloud data-loss incident can motivate the framework, but the thesis should no</w:t>
      </w:r>
      <w:r>
        <w:t xml:space="preserve">t claim a complete empirical survey of all providers. The design lesson is that I-VSD must ask whether the provider can justify data collection, protect what it stores, explain what it does, and give users realistic routes to export, recovery, and refusal.</w:t>
      </w:r>
      <w:r/>
    </w:p>
    <w:p>
      <w:pPr>
        <w:pStyle w:val="962"/>
        <w:pBdr/>
        <w:spacing/>
        <w:ind/>
        <w:rPr/>
      </w:pPr>
      <w:r>
        <w:rPr>
          <w:b/>
          <w:bCs/>
        </w:rPr>
        <w:t xml:space="preserve">Representative source anchors:</w:t>
      </w:r>
      <w:r>
        <w:t xml:space="preserve"> Open Source Initiative definition; Ars Technica report on Google Cloud account deletion; smart-vacuum surveillance reporting; security-vulnerability and patching examples requiring final source verification before submission.</w:t>
      </w:r>
      <w:r/>
    </w:p>
    <w:p>
      <w:pPr>
        <w:pBdr/>
        <w:spacing/>
        <w:ind/>
        <w:rPr/>
      </w:pPr>
      <w:r>
        <mc:AlternateContent>
          <mc:Choice Requires="wpg">
            <w:drawing>
              <wp:inline xmlns:wp="http://schemas.openxmlformats.org/drawingml/2006/wordprocessingDrawing" distT="0" distB="0" distL="0" distR="0">
                <wp:extent cx="0" cy="19050"/>
                <wp:effectExtent l="0" t="0" r="0" b="0"/>
                <wp:docPr id="2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1" o:spid="_x0000_s21" o:spt="1" type="#_x0000_t1" style="width:0.00pt;height:1.50pt;mso-wrap-distance-left:0.00pt;mso-wrap-distance-top:0.00pt;mso-wrap-distance-right:0.00pt;mso-wrap-distance-bottom:0.00pt;visibility:visible;" fillcolor="#FFFFFF" strokecolor="#000000"/>
            </w:pict>
          </mc:Fallback>
        </mc:AlternateContent>
      </w:r>
      <w:bookmarkEnd w:id="30"/>
      <w:r/>
    </w:p>
    <w:p>
      <w:pPr>
        <w:pStyle w:val="978"/>
        <w:pBdr/>
        <w:spacing/>
        <w:ind/>
        <w:rPr/>
      </w:pPr>
      <w:r/>
      <w:bookmarkStart w:id="31" w:name="X543e8ce7a8036e3dc54845eb08749494e5df115"/>
      <w:r>
        <w:t xml:space="preserve">2.1.3.D Transparency, Ownership, and Business-Practice Violations</w:t>
      </w:r>
      <w:r/>
    </w:p>
    <w:p>
      <w:pPr>
        <w:pStyle w:val="963"/>
        <w:pBdr/>
        <w:spacing/>
        <w:ind/>
        <w:rPr/>
      </w:pPr>
      <w:r>
        <w:t xml:space="preserve">This subsection narrows transparency and business-practice examples to cases where provider c</w:t>
      </w:r>
      <w:r>
        <w:t xml:space="preserve">ommunication, pricing, ownership claims, comparison design, or trust signals affect user choice. The point is not to catalogue every questionable business practice, but to identify recurring design responsibilities for provider-mediated software solutions.</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Affiliate hijacking, hidden sponsorship, or undisclosed commercial relationships.</w:t>
            </w:r>
            <w:r/>
          </w:p>
        </w:tc>
        <w:tc>
          <w:tcPr>
            <w:tcBorders/>
          </w:tcPr>
          <w:p>
            <w:pPr>
              <w:pStyle w:val="964"/>
              <w:pBdr/>
              <w:spacing/>
              <w:ind/>
              <w:rPr/>
            </w:pPr>
            <w:r>
              <w:t xml:space="preserve">Users and creators may believe a recommendation or link serves one party while value is diverted to another.</w:t>
            </w:r>
            <w:r/>
          </w:p>
        </w:tc>
        <w:tc>
          <w:tcPr>
            <w:tcBorders/>
          </w:tcPr>
          <w:p>
            <w:pPr>
              <w:pStyle w:val="964"/>
              <w:pBdr/>
              <w:spacing/>
              <w:ind/>
              <w:rPr/>
            </w:pPr>
            <w:r>
              <w:t xml:space="preserve">Require disclosure of material relationships, affiliate behavior, and commission flows.</w:t>
            </w:r>
            <w:r/>
          </w:p>
        </w:tc>
      </w:tr>
      <w:tr>
        <w:trPr/>
        <w:tc>
          <w:tcPr>
            <w:tcBorders/>
          </w:tcPr>
          <w:p>
            <w:pPr>
              <w:pStyle w:val="964"/>
              <w:pBdr/>
              <w:spacing/>
              <w:ind/>
              <w:rPr/>
            </w:pPr>
            <w:r>
              <w:t xml:space="preserve">Trademark abuse, directory manipulation, or false ownership claims.</w:t>
            </w:r>
            <w:r/>
          </w:p>
        </w:tc>
        <w:tc>
          <w:tcPr>
            <w:tcBorders/>
          </w:tcPr>
          <w:p>
            <w:pPr>
              <w:pStyle w:val="964"/>
              <w:pBdr/>
              <w:spacing/>
              <w:ind/>
              <w:rPr/>
            </w:pPr>
            <w:r>
              <w:t xml:space="preserve">Platforms can become tools for damaging competitors or confusing customers when verification is weak.</w:t>
            </w:r>
            <w:r/>
          </w:p>
        </w:tc>
        <w:tc>
          <w:tcPr>
            <w:tcBorders/>
          </w:tcPr>
          <w:p>
            <w:pPr>
              <w:pStyle w:val="964"/>
              <w:pBdr/>
              <w:spacing/>
              <w:ind/>
              <w:rPr/>
            </w:pPr>
            <w:r>
              <w:t xml:space="preserve">Build verification, appeal, audit, and correction paths into platform governance.</w:t>
            </w:r>
            <w:r/>
          </w:p>
        </w:tc>
      </w:tr>
      <w:tr>
        <w:trPr/>
        <w:tc>
          <w:tcPr>
            <w:tcBorders/>
          </w:tcPr>
          <w:p>
            <w:pPr>
              <w:pStyle w:val="964"/>
              <w:pBdr/>
              <w:spacing/>
              <w:ind/>
              <w:rPr/>
            </w:pPr>
            <w:r>
              <w:t xml:space="preserve">Right-to-repair restrictions, artificial feature gates, or revocable “ownership.”</w:t>
            </w:r>
            <w:r/>
          </w:p>
        </w:tc>
        <w:tc>
          <w:tcPr>
            <w:tcBorders/>
          </w:tcPr>
          <w:p>
            <w:pPr>
              <w:pStyle w:val="964"/>
              <w:pBdr/>
              <w:spacing/>
              <w:ind/>
              <w:rPr/>
            </w:pPr>
            <w:r>
              <w:t xml:space="preserve">Users may pay for hardware, media, credits, or digital goods while receiving less control than the interface suggests.</w:t>
            </w:r>
            <w:r/>
          </w:p>
        </w:tc>
        <w:tc>
          <w:tcPr>
            <w:tcBorders/>
          </w:tcPr>
          <w:p>
            <w:pPr>
              <w:pStyle w:val="964"/>
              <w:pBdr/>
              <w:spacing/>
              <w:ind/>
              <w:rPr/>
            </w:pPr>
            <w:r>
              <w:t xml:space="preserve">State the actual ownership model, preserve reasonable use, and avoid artificial scarcity where no service cost exists.</w:t>
            </w:r>
            <w:r/>
          </w:p>
        </w:tc>
      </w:tr>
      <w:tr>
        <w:trPr/>
        <w:tc>
          <w:tcPr>
            <w:tcBorders/>
          </w:tcPr>
          <w:p>
            <w:pPr>
              <w:pStyle w:val="964"/>
              <w:pBdr/>
              <w:spacing/>
              <w:ind/>
              <w:rPr/>
            </w:pPr>
            <w:r>
              <w:t xml:space="preserve">Opaque pricing, hidden fees, confusing plans, or ambiguous freemium claims.</w:t>
            </w:r>
            <w:r/>
          </w:p>
        </w:tc>
        <w:tc>
          <w:tcPr>
            <w:tcBorders/>
          </w:tcPr>
          <w:p>
            <w:pPr>
              <w:pStyle w:val="964"/>
              <w:pBdr/>
              <w:spacing/>
              <w:ind/>
              <w:rPr/>
            </w:pPr>
            <w:r>
              <w:t xml:space="preserve">Users cannot make informed decisions when the economic reality is buried or strategically complex.</w:t>
            </w:r>
            <w:r/>
          </w:p>
        </w:tc>
        <w:tc>
          <w:tcPr>
            <w:tcBorders/>
          </w:tcPr>
          <w:p>
            <w:pPr>
              <w:pStyle w:val="964"/>
              <w:pBdr/>
              <w:spacing/>
              <w:ind/>
              <w:rPr/>
            </w:pPr>
            <w:r>
              <w:t xml:space="preserve">Make costs, limits, renewal terms, cancellation, and plan differences understandable before commitment.</w:t>
            </w:r>
            <w:r/>
          </w:p>
        </w:tc>
      </w:tr>
      <w:tr>
        <w:trPr/>
        <w:tc>
          <w:tcPr>
            <w:tcBorders/>
          </w:tcPr>
          <w:p>
            <w:pPr>
              <w:pStyle w:val="964"/>
              <w:pBdr/>
              <w:spacing/>
              <w:ind/>
              <w:rPr/>
            </w:pPr>
            <w:r>
              <w:t xml:space="preserve">Fake reviews, repeated testimonials, metric gaming, or biased comparison tables.</w:t>
            </w:r>
            <w:r/>
          </w:p>
        </w:tc>
        <w:tc>
          <w:tcPr>
            <w:tcBorders/>
          </w:tcPr>
          <w:p>
            <w:pPr>
              <w:pStyle w:val="964"/>
              <w:pBdr/>
              <w:spacing/>
              <w:ind/>
              <w:rPr/>
            </w:pPr>
            <w:r>
              <w:t xml:space="preserve">Trust signals can be manufactured, inflated, or framed to create a false impression of adoption or superiority.</w:t>
            </w:r>
            <w:r/>
          </w:p>
        </w:tc>
        <w:tc>
          <w:tcPr>
            <w:tcBorders/>
          </w:tcPr>
          <w:p>
            <w:pPr>
              <w:pStyle w:val="964"/>
              <w:pBdr/>
              <w:spacing/>
              <w:ind/>
              <w:rPr/>
            </w:pPr>
            <w:r>
              <w:t xml:space="preserve">Cite sources, date claims, disclose criteria, show competitor strengths, and avoid UI patterns that simulate broader evidence.</w:t>
            </w:r>
            <w:r/>
          </w:p>
        </w:tc>
      </w:tr>
    </w:tbl>
    <w:p>
      <w:pPr>
        <w:pStyle w:val="962"/>
        <w:pBdr/>
        <w:spacing/>
        <w:ind/>
        <w:rPr/>
      </w:pPr>
      <w:r>
        <w:t xml:space="preserve">Transparency is not only a matter of legal fine print. In software, the user often depends on the provider’s interface to understa</w:t>
      </w:r>
      <w:r>
        <w:t xml:space="preserve">nd what is owned, rented, licensed, tracked, included, excluded, comparable, or revocable. I-VSD therefore treats product pages, pricing tables, review displays, comparison matrices, terms summaries, and in-app notices as morally relevant design artifacts.</w:t>
      </w:r>
      <w:r/>
    </w:p>
    <w:p>
      <w:pPr>
        <w:pStyle w:val="962"/>
        <w:pBdr/>
        <w:spacing/>
        <w:ind/>
        <w:rPr/>
      </w:pPr>
      <w:r>
        <w:t xml:space="preserve">Regulatory and industry exa</w:t>
      </w:r>
      <w:r>
        <w:t xml:space="preserve">mples support this design concern. FTC guidance on influencer disclosures and fake-review rules show that social-trust signals and endorsements can mislead when relationships are hidden. Public licensing disputes such as ONLYOFFICE / Euro-Office show that </w:t>
      </w:r>
      <w:r>
        <w:t xml:space="preserve">unclear open-source and trademark claims can damage user trust even when legal interpretation is contested. Research on fake GitHub stars shows that popularity metrics should not be treated as direct evidence of quality, adoption, or moral trustworthiness.</w:t>
      </w:r>
      <w:r/>
    </w:p>
    <w:p>
      <w:pPr>
        <w:pStyle w:val="962"/>
        <w:pBdr/>
        <w:spacing/>
        <w:ind/>
        <w:rPr/>
      </w:pPr>
      <w:r>
        <w:t xml:space="preserve">The Islamic principles most directly involved</w:t>
      </w:r>
      <w:r>
        <w:t xml:space="preserve"> are Sidq, Amanah, Adl, Wafa, Gharar, Ghish, and Huquq al-’Ibad. A transparent provider does not merely avoid explicit lies; it helps users understand the transaction, the evidence behind claims, the limits of ownership, and the consequences of dependence.</w:t>
      </w:r>
      <w:r/>
    </w:p>
    <w:p>
      <w:pPr>
        <w:pStyle w:val="962"/>
        <w:pBdr/>
        <w:spacing/>
        <w:ind/>
        <w:rPr/>
      </w:pPr>
      <w:r>
        <w:rPr>
          <w:b/>
          <w:bCs/>
        </w:rPr>
        <w:t xml:space="preserve">Representative source anchors:</w:t>
      </w:r>
      <w:r>
        <w:t xml:space="preserve"> FTC influencer-disclosure guidance; FTC fake-review rule; FSF discussion of AGPL and software freedom disputes; Carnegie Mellon reporting on fake GitHub stars; right-to-repair and ownership-lock examples requiring final source review.</w:t>
      </w:r>
      <w:r/>
    </w:p>
    <w:p>
      <w:pPr>
        <w:pBdr/>
        <w:spacing/>
        <w:ind/>
        <w:rPr/>
      </w:pPr>
      <w:r>
        <mc:AlternateContent>
          <mc:Choice Requires="wpg">
            <w:drawing>
              <wp:inline xmlns:wp="http://schemas.openxmlformats.org/drawingml/2006/wordprocessingDrawing" distT="0" distB="0" distL="0" distR="0">
                <wp:extent cx="0" cy="19050"/>
                <wp:effectExtent l="0" t="0" r="0" b="0"/>
                <wp:docPr id="2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2" o:spid="_x0000_s22" o:spt="1" type="#_x0000_t1" style="width:0.00pt;height:1.50pt;mso-wrap-distance-left:0.00pt;mso-wrap-distance-top:0.00pt;mso-wrap-distance-right:0.00pt;mso-wrap-distance-bottom:0.00pt;visibility:visible;" fillcolor="#FFFFFF" strokecolor="#000000"/>
            </w:pict>
          </mc:Fallback>
        </mc:AlternateContent>
      </w:r>
      <w:bookmarkEnd w:id="31"/>
      <w:r/>
    </w:p>
    <w:p>
      <w:pPr>
        <w:pStyle w:val="978"/>
        <w:pBdr/>
        <w:spacing/>
        <w:ind/>
        <w:rPr/>
      </w:pPr>
      <w:r/>
      <w:bookmarkStart w:id="32" w:name="Xe62757935c0ade1e018d30cd82aa8db1a3b3072"/>
      <w:r>
        <w:t xml:space="preserve">2.1.3.E Platform Abuse, Dependency, and User Exploitation</w:t>
      </w:r>
      <w:r/>
    </w:p>
    <w:p>
      <w:pPr>
        <w:pStyle w:val="963"/>
        <w:pBdr/>
        <w:spacing/>
        <w:ind/>
        <w:rPr/>
      </w:pPr>
      <w:r>
        <w:t xml:space="preserve">This subsection focuses on platform-level harms: situations where a provider controls </w:t>
      </w:r>
      <w:r>
        <w:t xml:space="preserve">access, attention, identity, payments, data, distribution, or community legitimacy and can use that control against users. These examples support the harm categories of lock-in, exploitative monetization, content and community harm, and governance failure.</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Exploitative personalization, sexualized marketing, loneliness-based companion products, or emotionally manipulative interfaces.</w:t>
            </w:r>
            <w:r/>
          </w:p>
        </w:tc>
        <w:tc>
          <w:tcPr>
            <w:tcBorders/>
          </w:tcPr>
          <w:p>
            <w:pPr>
              <w:pStyle w:val="964"/>
              <w:pBdr/>
              <w:spacing/>
              <w:ind/>
              <w:rPr/>
            </w:pPr>
            <w:r>
              <w:t xml:space="preserve">The provider turns human vulnerability into a revenue mechanism.</w:t>
            </w:r>
            <w:r/>
          </w:p>
        </w:tc>
        <w:tc>
          <w:tcPr>
            <w:tcBorders/>
          </w:tcPr>
          <w:p>
            <w:pPr>
              <w:pStyle w:val="964"/>
              <w:pBdr/>
              <w:spacing/>
              <w:ind/>
              <w:rPr/>
            </w:pPr>
            <w:r>
              <w:t xml:space="preserve">Evaluate persuasive features for dignity, Haya, autonomy, and harm prevention before optimizing engagement.</w:t>
            </w:r>
            <w:r/>
          </w:p>
        </w:tc>
      </w:tr>
      <w:tr>
        <w:trPr/>
        <w:tc>
          <w:tcPr>
            <w:tcBorders/>
          </w:tcPr>
          <w:p>
            <w:pPr>
              <w:pStyle w:val="964"/>
              <w:pBdr/>
              <w:spacing/>
              <w:ind/>
              <w:rPr/>
            </w:pPr>
            <w:r>
              <w:t xml:space="preserve">Platform lock-in, monopoly control, account termination, or lack of meaningful appeal.</w:t>
            </w:r>
            <w:r/>
          </w:p>
        </w:tc>
        <w:tc>
          <w:tcPr>
            <w:tcBorders/>
          </w:tcPr>
          <w:p>
            <w:pPr>
              <w:pStyle w:val="964"/>
              <w:pBdr/>
              <w:spacing/>
              <w:ind/>
              <w:rPr/>
            </w:pPr>
            <w:r>
              <w:t xml:space="preserve">A single account or platform decision can affect communication, memories, purchases, payments, work, or community access.</w:t>
            </w:r>
            <w:r/>
          </w:p>
        </w:tc>
        <w:tc>
          <w:tcPr>
            <w:tcBorders/>
          </w:tcPr>
          <w:p>
            <w:pPr>
              <w:pStyle w:val="964"/>
              <w:pBdr/>
              <w:spacing/>
              <w:ind/>
              <w:rPr/>
            </w:pPr>
            <w:r>
              <w:t xml:space="preserve">Provide export, portability, proportional enforcement, appeal paths, and reduced dependency where feasible.</w:t>
            </w:r>
            <w:r/>
          </w:p>
        </w:tc>
      </w:tr>
      <w:tr>
        <w:trPr/>
        <w:tc>
          <w:tcPr>
            <w:tcBorders/>
          </w:tcPr>
          <w:p>
            <w:pPr>
              <w:pStyle w:val="964"/>
              <w:pBdr/>
              <w:spacing/>
              <w:ind/>
              <w:rPr/>
            </w:pPr>
            <w:r>
              <w:t xml:space="preserve">Technology used for severe harm, violence, or oppression.</w:t>
            </w:r>
            <w:r/>
          </w:p>
        </w:tc>
        <w:tc>
          <w:tcPr>
            <w:tcBorders/>
          </w:tcPr>
          <w:p>
            <w:pPr>
              <w:pStyle w:val="964"/>
              <w:pBdr/>
              <w:spacing/>
              <w:ind/>
              <w:rPr/>
            </w:pPr>
            <w:r>
              <w:t xml:space="preserve">Software infrastructure can become part of a wider harmful system when providers ignore downstream use.</w:t>
            </w:r>
            <w:r/>
          </w:p>
        </w:tc>
        <w:tc>
          <w:tcPr>
            <w:tcBorders/>
          </w:tcPr>
          <w:p>
            <w:pPr>
              <w:pStyle w:val="964"/>
              <w:pBdr/>
              <w:spacing/>
              <w:ind/>
              <w:rPr/>
            </w:pPr>
            <w:r>
              <w:t xml:space="preserve">Add high-risk use review, customer and partner screening, refusal criteria, and accountability for foreseeable misuse.</w:t>
            </w:r>
            <w:r/>
          </w:p>
        </w:tc>
      </w:tr>
      <w:tr>
        <w:trPr/>
        <w:tc>
          <w:tcPr>
            <w:tcBorders/>
          </w:tcPr>
          <w:p>
            <w:pPr>
              <w:pStyle w:val="964"/>
              <w:pBdr/>
              <w:spacing/>
              <w:ind/>
              <w:rPr/>
            </w:pPr>
            <w:r>
              <w:t xml:space="preserve">AI-washing, product-announcement pumping, or misleading “coming soon” claims.</w:t>
            </w:r>
            <w:r/>
          </w:p>
        </w:tc>
        <w:tc>
          <w:tcPr>
            <w:tcBorders/>
          </w:tcPr>
          <w:p>
            <w:pPr>
              <w:pStyle w:val="964"/>
              <w:pBdr/>
              <w:spacing/>
              <w:ind/>
              <w:rPr/>
            </w:pPr>
            <w:r>
              <w:t xml:space="preserve">Providers sell confidence in capabilities or futures that are not actually available.</w:t>
            </w:r>
            <w:r/>
          </w:p>
        </w:tc>
        <w:tc>
          <w:tcPr>
            <w:tcBorders/>
          </w:tcPr>
          <w:p>
            <w:pPr>
              <w:pStyle w:val="964"/>
              <w:pBdr/>
              <w:spacing/>
              <w:ind/>
              <w:rPr/>
            </w:pPr>
            <w:r>
              <w:t xml:space="preserve">Date claims, distinguish research from shipped features, and avoid marketing non-existent capabilities as present value.</w:t>
            </w:r>
            <w:r/>
          </w:p>
        </w:tc>
      </w:tr>
      <w:tr>
        <w:trPr/>
        <w:tc>
          <w:tcPr>
            <w:tcBorders/>
          </w:tcPr>
          <w:p>
            <w:pPr>
              <w:pStyle w:val="964"/>
              <w:pBdr/>
              <w:spacing/>
              <w:ind/>
              <w:rPr/>
            </w:pPr>
            <w:r>
              <w:t xml:space="preserve">Enshittification, open-source closure, hostile subscriptions, and cookie-consent manipulation.</w:t>
            </w:r>
            <w:r/>
          </w:p>
        </w:tc>
        <w:tc>
          <w:tcPr>
            <w:tcBorders/>
          </w:tcPr>
          <w:p>
            <w:pPr>
              <w:pStyle w:val="964"/>
              <w:pBdr/>
              <w:spacing/>
              <w:ind/>
              <w:rPr/>
            </w:pPr>
            <w:r>
              <w:t xml:space="preserve">A platform may attract users with one bargain and later degrade terms after dependence has formed.</w:t>
            </w:r>
            <w:r/>
          </w:p>
        </w:tc>
        <w:tc>
          <w:tcPr>
            <w:tcBorders/>
          </w:tcPr>
          <w:p>
            <w:pPr>
              <w:pStyle w:val="964"/>
              <w:pBdr/>
              <w:spacing/>
              <w:ind/>
              <w:rPr/>
            </w:pPr>
            <w:r>
              <w:t xml:space="preserve">Treat long-term commitments, exit rights, consent symmetry, and dependency risk as strategic and governance questions.</w:t>
            </w:r>
            <w:r/>
          </w:p>
        </w:tc>
      </w:tr>
    </w:tbl>
    <w:p>
      <w:pPr>
        <w:pStyle w:val="962"/>
        <w:pBdr/>
        <w:spacing/>
        <w:ind/>
        <w:rPr/>
      </w:pPr>
      <w:r>
        <w:t xml:space="preserve">The strongest thesis-relevant pattern is dependency. A platform becomes more ethically dangerous when users canno</w:t>
      </w:r>
      <w:r>
        <w:t xml:space="preserve">t leave without losing data, identity, purchases, workflow, community, or religious access. I-VSD therefore asks how the provider can reduce unjust dependence through interoperability, export, self-hosting options, transparent terms, and meaningful appeal.</w:t>
      </w:r>
      <w:r/>
    </w:p>
    <w:p>
      <w:pPr>
        <w:pStyle w:val="962"/>
        <w:pBdr/>
        <w:spacing/>
        <w:ind/>
        <w:rPr/>
      </w:pPr>
      <w:r>
        <w:t xml:space="preserve">Some examples in this category involve grave political, military, or social harms. These re</w:t>
      </w:r>
      <w:r>
        <w:t xml:space="preserve">quire especially careful sourcing and academic restraint. The thesis should use them only to motivate the general design question: when does a provider have enough knowledge, control, or foreseeability to refuse support, add safeguards, or redesign access?</w:t>
      </w:r>
      <w:r/>
    </w:p>
    <w:p>
      <w:pPr>
        <w:pStyle w:val="962"/>
        <w:pBdr/>
        <w:spacing/>
        <w:ind/>
        <w:rPr/>
      </w:pPr>
      <w:r>
        <w:t xml:space="preserve">For I-VSD, the key principles are Amanah,</w:t>
      </w:r>
      <w:r>
        <w:t xml:space="preserve"> Adl, La Darar, Wafa, Ghish prevention, Haya, and Huquq al-’Ibad. The framework response is to connect platform power to concrete design obligations: portability, proportional governance, honest product claims, humane defaults, and user-respecting consent.</w:t>
      </w:r>
      <w:r/>
    </w:p>
    <w:p>
      <w:pPr>
        <w:pBdr/>
        <w:spacing/>
        <w:ind/>
        <w:rPr/>
      </w:pPr>
      <w:r>
        <mc:AlternateContent>
          <mc:Choice Requires="wpg">
            <w:drawing>
              <wp:inline xmlns:wp="http://schemas.openxmlformats.org/drawingml/2006/wordprocessingDrawing" distT="0" distB="0" distL="0" distR="0">
                <wp:extent cx="0" cy="19050"/>
                <wp:effectExtent l="0" t="0" r="0" b="0"/>
                <wp:docPr id="2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3" o:spid="_x0000_s23" o:spt="1" type="#_x0000_t1" style="width:0.00pt;height:1.50pt;mso-wrap-distance-left:0.00pt;mso-wrap-distance-top:0.00pt;mso-wrap-distance-right:0.00pt;mso-wrap-distance-bottom:0.00pt;visibility:visible;" fillcolor="#FFFFFF" strokecolor="#000000"/>
            </w:pict>
          </mc:Fallback>
        </mc:AlternateContent>
      </w:r>
      <w:bookmarkEnd w:id="32"/>
      <w:r/>
    </w:p>
    <w:p>
      <w:pPr>
        <w:pStyle w:val="978"/>
        <w:pBdr/>
        <w:spacing/>
        <w:ind/>
        <w:rPr/>
      </w:pPr>
      <w:r/>
      <w:bookmarkStart w:id="33" w:name="Xcfad692ef0415e7cfe49e86c6c2f293cd1cf160"/>
      <w:r>
        <w:t xml:space="preserve">2.1.3.F Technical, AI, Billing, and Infrastructure Harms</w:t>
      </w:r>
      <w:r/>
    </w:p>
    <w:p>
      <w:pPr>
        <w:pStyle w:val="963"/>
        <w:pBdr/>
        <w:spacing/>
        <w:ind/>
        <w:rPr/>
      </w:pPr>
      <w:r>
        <w:t xml:space="preserve">This subsection treats technical implementation choices as moral design choices. Code, architecture, billing systems, recommendation systems, data pipelines, and device integrations can create harm even when marketing language sounds neutral.</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IoT surveillance, smart-device recording, automatic content recognition, or hidden telemetry.</w:t>
            </w:r>
            <w:r/>
          </w:p>
        </w:tc>
        <w:tc>
          <w:tcPr>
            <w:tcBorders/>
          </w:tcPr>
          <w:p>
            <w:pPr>
              <w:pStyle w:val="964"/>
              <w:pBdr/>
              <w:spacing/>
              <w:ind/>
              <w:rPr/>
            </w:pPr>
            <w:r>
              <w:t xml:space="preserve">Technical systems collect intimate information from homes, devices, and daily behavior without clear user control.</w:t>
            </w:r>
            <w:r/>
          </w:p>
        </w:tc>
        <w:tc>
          <w:tcPr>
            <w:tcBorders/>
          </w:tcPr>
          <w:p>
            <w:pPr>
              <w:pStyle w:val="964"/>
              <w:pBdr/>
              <w:spacing/>
              <w:ind/>
              <w:rPr/>
            </w:pPr>
            <w:r>
              <w:t xml:space="preserve">Apply data minimization, local processing where feasible, explicit consent, and periodic surveillance-risk review.</w:t>
            </w:r>
            <w:r/>
          </w:p>
        </w:tc>
      </w:tr>
      <w:tr>
        <w:trPr/>
        <w:tc>
          <w:tcPr>
            <w:tcBorders/>
          </w:tcPr>
          <w:p>
            <w:pPr>
              <w:pStyle w:val="964"/>
              <w:pBdr/>
              <w:spacing/>
              <w:ind/>
              <w:rPr/>
            </w:pPr>
            <w:r>
              <w:t xml:space="preserve">Hidden charges, automatic upgrades, usage-billing traps, or missing spending caps.</w:t>
            </w:r>
            <w:r/>
          </w:p>
        </w:tc>
        <w:tc>
          <w:tcPr>
            <w:tcBorders/>
          </w:tcPr>
          <w:p>
            <w:pPr>
              <w:pStyle w:val="964"/>
              <w:pBdr/>
              <w:spacing/>
              <w:ind/>
              <w:rPr/>
            </w:pPr>
            <w:r>
              <w:t xml:space="preserve">Billing architecture can extract wealth beyond what users expected or knowingly accepted.</w:t>
            </w:r>
            <w:r/>
          </w:p>
        </w:tc>
        <w:tc>
          <w:tcPr>
            <w:tcBorders/>
          </w:tcPr>
          <w:p>
            <w:pPr>
              <w:pStyle w:val="964"/>
              <w:pBdr/>
              <w:spacing/>
              <w:ind/>
              <w:rPr/>
            </w:pPr>
            <w:r>
              <w:t xml:space="preserve">Require cost warnings, hard limits, default spending caps, simple cancellation, and clear pro-rata rules.</w:t>
            </w:r>
            <w:r/>
          </w:p>
        </w:tc>
      </w:tr>
      <w:tr>
        <w:trPr/>
        <w:tc>
          <w:tcPr>
            <w:tcBorders/>
          </w:tcPr>
          <w:p>
            <w:pPr>
              <w:pStyle w:val="964"/>
              <w:pBdr/>
              <w:spacing/>
              <w:ind/>
              <w:rPr/>
            </w:pPr>
            <w:r>
              <w:t xml:space="preserve">Charity and donation-platform fee opacity.</w:t>
            </w:r>
            <w:r/>
          </w:p>
        </w:tc>
        <w:tc>
          <w:tcPr>
            <w:tcBorders/>
          </w:tcPr>
          <w:p>
            <w:pPr>
              <w:pStyle w:val="964"/>
              <w:pBdr/>
              <w:spacing/>
              <w:ind/>
              <w:rPr/>
            </w:pPr>
            <w:r>
              <w:t xml:space="preserve">Donors may intend money for recipients while the platform extracts fees, tips, or data through confusing defaults.</w:t>
            </w:r>
            <w:r/>
          </w:p>
        </w:tc>
        <w:tc>
          <w:tcPr>
            <w:tcBorders/>
          </w:tcPr>
          <w:p>
            <w:pPr>
              <w:pStyle w:val="964"/>
              <w:pBdr/>
              <w:spacing/>
              <w:ind/>
              <w:rPr/>
            </w:pPr>
            <w:r>
              <w:t xml:space="preserve">Disclose platform fees, separate optional support, avoid guilt-based defaults, and protect donor data.</w:t>
            </w:r>
            <w:r/>
          </w:p>
        </w:tc>
      </w:tr>
      <w:tr>
        <w:trPr/>
        <w:tc>
          <w:tcPr>
            <w:tcBorders/>
          </w:tcPr>
          <w:p>
            <w:pPr>
              <w:pStyle w:val="964"/>
              <w:pBdr/>
              <w:spacing/>
              <w:ind/>
              <w:rPr/>
            </w:pPr>
            <w:r>
              <w:t xml:space="preserve">Planned obsolescence, forced cloud dependency, or remote feature disabling.</w:t>
            </w:r>
            <w:r/>
          </w:p>
        </w:tc>
        <w:tc>
          <w:tcPr>
            <w:tcBorders/>
          </w:tcPr>
          <w:p>
            <w:pPr>
              <w:pStyle w:val="964"/>
              <w:pBdr/>
              <w:spacing/>
              <w:ind/>
              <w:rPr/>
            </w:pPr>
            <w:r>
              <w:t xml:space="preserve">Technical dependency can shorten product lifespan, create waste, or force ongoing payment for capabilities users reasonably thought they owned.</w:t>
            </w:r>
            <w:r/>
          </w:p>
        </w:tc>
        <w:tc>
          <w:tcPr>
            <w:tcBorders/>
          </w:tcPr>
          <w:p>
            <w:pPr>
              <w:pStyle w:val="964"/>
              <w:pBdr/>
              <w:spacing/>
              <w:ind/>
              <w:rPr/>
            </w:pPr>
            <w:r>
              <w:t xml:space="preserve">Evaluate offline functionality, open formats, compatibility, service-continuity plans, and exit paths.</w:t>
            </w:r>
            <w:r/>
          </w:p>
        </w:tc>
      </w:tr>
      <w:tr>
        <w:trPr/>
        <w:tc>
          <w:tcPr>
            <w:tcBorders/>
          </w:tcPr>
          <w:p>
            <w:pPr>
              <w:pStyle w:val="964"/>
              <w:pBdr/>
              <w:spacing/>
              <w:ind/>
              <w:rPr/>
            </w:pPr>
            <w:r>
              <w:t xml:space="preserve">Mixed products that combine genuine benefit with dark patterns, exploitative pricing, or privacy harms.</w:t>
            </w:r>
            <w:r/>
          </w:p>
        </w:tc>
        <w:tc>
          <w:tcPr>
            <w:tcBorders/>
          </w:tcPr>
          <w:p>
            <w:pPr>
              <w:pStyle w:val="964"/>
              <w:pBdr/>
              <w:spacing/>
              <w:ind/>
              <w:rPr/>
            </w:pPr>
            <w:r>
              <w:t xml:space="preserve">Users may struggle to judge a product that provides real value while embedding harmful practices.</w:t>
            </w:r>
            <w:r/>
          </w:p>
        </w:tc>
        <w:tc>
          <w:tcPr>
            <w:tcBorders/>
          </w:tcPr>
          <w:p>
            <w:pPr>
              <w:pStyle w:val="964"/>
              <w:pBdr/>
              <w:spacing/>
              <w:ind/>
              <w:rPr/>
            </w:pPr>
            <w:r>
              <w:t xml:space="preserve">Use a harm-benefit review that distinguishes incidental issues from systematic design incentives.</w:t>
            </w:r>
            <w:r/>
          </w:p>
        </w:tc>
      </w:tr>
    </w:tbl>
    <w:p>
      <w:pPr>
        <w:pStyle w:val="962"/>
        <w:pBdr/>
        <w:spacing/>
        <w:ind/>
        <w:rPr/>
      </w:pPr>
      <w:r>
        <w:t xml:space="preserve">AI and algorithmic systems fit within this wider technical category when </w:t>
      </w:r>
      <w:r>
        <w:t xml:space="preserve">they shape what users see, believe, buy, or trust. The relevant I-VSD question is not only whether a model is accurate, but whether the provider communicates uncertainty, preserves source integrity, prevents foreseeable misuse, and monitors disparate harm.</w:t>
      </w:r>
      <w:r/>
    </w:p>
    <w:p>
      <w:pPr>
        <w:pStyle w:val="962"/>
        <w:pBdr/>
        <w:spacing/>
        <w:ind/>
        <w:rPr/>
      </w:pPr>
      <w:r>
        <w:t xml:space="preserve">The most relevant principles are Amanah, La Darar, Sidq, Gharar avoidance,</w:t>
      </w:r>
      <w:r>
        <w:t xml:space="preserve"> Ghish avoidance, Huquq al-’Ibad, and Tajassus avoidance. Claims about actual safety, fairness, billing accuracy, or privacy protection require stronger evidence such as audits, incident history, usage analysis, stakeholder feedback, or independent review.</w:t>
      </w:r>
      <w:r/>
    </w:p>
    <w:p>
      <w:pPr>
        <w:pBdr/>
        <w:spacing/>
        <w:ind/>
        <w:rPr/>
      </w:pPr>
      <w:r>
        <mc:AlternateContent>
          <mc:Choice Requires="wpg">
            <w:drawing>
              <wp:inline xmlns:wp="http://schemas.openxmlformats.org/drawingml/2006/wordprocessingDrawing" distT="0" distB="0" distL="0" distR="0">
                <wp:extent cx="0" cy="19050"/>
                <wp:effectExtent l="0" t="0" r="0" b="0"/>
                <wp:docPr id="2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4" o:spid="_x0000_s24" o:spt="1" type="#_x0000_t1" style="width:0.00pt;height:1.50pt;mso-wrap-distance-left:0.00pt;mso-wrap-distance-top:0.00pt;mso-wrap-distance-right:0.00pt;mso-wrap-distance-bottom:0.00pt;visibility:visible;" fillcolor="#FFFFFF" strokecolor="#000000"/>
            </w:pict>
          </mc:Fallback>
        </mc:AlternateContent>
      </w:r>
      <w:bookmarkEnd w:id="33"/>
      <w:r/>
    </w:p>
    <w:p>
      <w:pPr>
        <w:pStyle w:val="978"/>
        <w:pBdr/>
        <w:spacing/>
        <w:ind/>
        <w:rPr/>
      </w:pPr>
      <w:r/>
      <w:bookmarkStart w:id="34" w:name="Xd068f66dad2ea03ff6679cda629a7c3167c6825"/>
      <w:r>
        <w:t xml:space="preserve">2.1.3.G Market Narratives, Governance Bias, and Value Drift</w:t>
      </w:r>
      <w:r/>
    </w:p>
    <w:p>
      <w:pPr>
        <w:pStyle w:val="963"/>
        <w:pBdr/>
        <w:spacing/>
        <w:ind/>
        <w:rPr/>
      </w:pPr>
      <w:r>
        <w:t xml:space="preserve">This subsection addresses market-level pressures only where they shape software design decisions. The thesis</w:t>
      </w:r>
      <w:r>
        <w:t xml:space="preserve"> is not a full critique of capitalism, venture capital, cloud computing, or platform economics. The relevant question is how market narratives and governance incentives push providers toward lock-in, opaque authority, surveillance, or revenue-first design.</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Representative pattern</w:t>
            </w:r>
            <w:r/>
          </w:p>
        </w:tc>
        <w:tc>
          <w:tcPr>
            <w:tcBorders/>
          </w:tcPr>
          <w:p>
            <w:pPr>
              <w:pStyle w:val="964"/>
              <w:pBdr/>
              <w:spacing/>
              <w:ind/>
              <w:rPr/>
            </w:pPr>
            <w:r>
              <w:t xml:space="preserve">Design problem</w:t>
            </w:r>
            <w:r/>
          </w:p>
        </w:tc>
        <w:tc>
          <w:tcPr>
            <w:tcBorders/>
          </w:tcPr>
          <w:p>
            <w:pPr>
              <w:pStyle w:val="964"/>
              <w:pBdr/>
              <w:spacing/>
              <w:ind/>
              <w:rPr/>
            </w:pPr>
            <w:r>
              <w:t xml:space="preserve">I-VSD response</w:t>
            </w:r>
            <w:r/>
          </w:p>
        </w:tc>
      </w:tr>
      <w:tr>
        <w:trPr/>
        <w:tc>
          <w:tcPr>
            <w:tcBorders/>
          </w:tcPr>
          <w:p>
            <w:pPr>
              <w:pStyle w:val="964"/>
              <w:pBdr/>
              <w:spacing/>
              <w:ind/>
              <w:rPr/>
            </w:pPr>
            <w:r>
              <w:t xml:space="preserve">Fear-based cloud narratives or biased comparisons against self-hosting.</w:t>
            </w:r>
            <w:r/>
          </w:p>
        </w:tc>
        <w:tc>
          <w:tcPr>
            <w:tcBorders/>
          </w:tcPr>
          <w:p>
            <w:pPr>
              <w:pStyle w:val="964"/>
              <w:pBdr/>
              <w:spacing/>
              <w:ind/>
              <w:rPr/>
            </w:pPr>
            <w:r>
              <w:t xml:space="preserve">Providers and consultants can frame dependency as the only safe option while hiding cost, lock-in, or portability tradeoffs.</w:t>
            </w:r>
            <w:r/>
          </w:p>
        </w:tc>
        <w:tc>
          <w:tcPr>
            <w:tcBorders/>
          </w:tcPr>
          <w:p>
            <w:pPr>
              <w:pStyle w:val="964"/>
              <w:pBdr/>
              <w:spacing/>
              <w:ind/>
              <w:rPr/>
            </w:pPr>
            <w:r>
              <w:t xml:space="preserve">Require balanced comparison criteria, total-cost visibility, and disclosure of dependency and exit implications.</w:t>
            </w:r>
            <w:r/>
          </w:p>
        </w:tc>
      </w:tr>
      <w:tr>
        <w:trPr/>
        <w:tc>
          <w:tcPr>
            <w:tcBorders/>
          </w:tcPr>
          <w:p>
            <w:pPr>
              <w:pStyle w:val="964"/>
              <w:pBdr/>
              <w:spacing/>
              <w:ind/>
              <w:rPr/>
            </w:pPr>
            <w:r>
              <w:t xml:space="preserve">Digital-life dependency through super-apps or bundled provider ecosystems.</w:t>
            </w:r>
            <w:r/>
          </w:p>
        </w:tc>
        <w:tc>
          <w:tcPr>
            <w:tcBorders/>
          </w:tcPr>
          <w:p>
            <w:pPr>
              <w:pStyle w:val="964"/>
              <w:pBdr/>
              <w:spacing/>
              <w:ind/>
              <w:rPr/>
            </w:pPr>
            <w:r>
              <w:t xml:space="preserve">A single account decision can affect communication, payments, photos, identity, purchases, work, and civic participation.</w:t>
            </w:r>
            <w:r/>
          </w:p>
        </w:tc>
        <w:tc>
          <w:tcPr>
            <w:tcBorders/>
          </w:tcPr>
          <w:p>
            <w:pPr>
              <w:pStyle w:val="964"/>
              <w:pBdr/>
              <w:spacing/>
              <w:ind/>
              <w:rPr/>
            </w:pPr>
            <w:r>
              <w:t xml:space="preserve">Design for account portability, proportional enforcement, appeal, separation of concerns, and recoverability.</w:t>
            </w:r>
            <w:r/>
          </w:p>
        </w:tc>
      </w:tr>
      <w:tr>
        <w:trPr/>
        <w:tc>
          <w:tcPr>
            <w:tcBorders/>
          </w:tcPr>
          <w:p>
            <w:pPr>
              <w:pStyle w:val="964"/>
              <w:pBdr/>
              <w:spacing/>
              <w:ind/>
              <w:rPr/>
            </w:pPr>
            <w:r>
              <w:t xml:space="preserve">Privacy dismissed through “nothing to hide” rhetoric.</w:t>
            </w:r>
            <w:r/>
          </w:p>
        </w:tc>
        <w:tc>
          <w:tcPr>
            <w:tcBorders/>
          </w:tcPr>
          <w:p>
            <w:pPr>
              <w:pStyle w:val="964"/>
              <w:pBdr/>
              <w:spacing/>
              <w:ind/>
              <w:rPr/>
            </w:pPr>
            <w:r>
              <w:t xml:space="preserve">Providers normalize excessive collection by ignoring future misuse, misinterpretation, breach, blackmail, and context change.</w:t>
            </w:r>
            <w:r/>
          </w:p>
        </w:tc>
        <w:tc>
          <w:tcPr>
            <w:tcBorders/>
          </w:tcPr>
          <w:p>
            <w:pPr>
              <w:pStyle w:val="964"/>
              <w:pBdr/>
              <w:spacing/>
              <w:ind/>
              <w:rPr/>
            </w:pPr>
            <w:r>
              <w:t xml:space="preserve">Treat privacy as security, dignity, honor protection, and harm prevention rather than mere secrecy.</w:t>
            </w:r>
            <w:r/>
          </w:p>
        </w:tc>
      </w:tr>
      <w:tr>
        <w:trPr/>
        <w:tc>
          <w:tcPr>
            <w:tcBorders/>
          </w:tcPr>
          <w:p>
            <w:pPr>
              <w:pStyle w:val="964"/>
              <w:pBdr/>
              <w:spacing/>
              <w:ind/>
              <w:rPr/>
            </w:pPr>
            <w:r>
              <w:t xml:space="preserve">Unfair governance, biased enforcement, or absent accountability.</w:t>
            </w:r>
            <w:r/>
          </w:p>
        </w:tc>
        <w:tc>
          <w:tcPr>
            <w:tcBorders/>
          </w:tcPr>
          <w:p>
            <w:pPr>
              <w:pStyle w:val="964"/>
              <w:pBdr/>
              <w:spacing/>
              <w:ind/>
              <w:rPr/>
            </w:pPr>
            <w:r>
              <w:t xml:space="preserve">Platform owners can enforce rules selectively or make high-impact decisions without meaningful review.</w:t>
            </w:r>
            <w:r/>
          </w:p>
        </w:tc>
        <w:tc>
          <w:tcPr>
            <w:tcBorders/>
          </w:tcPr>
          <w:p>
            <w:pPr>
              <w:pStyle w:val="964"/>
              <w:pBdr/>
              <w:spacing/>
              <w:ind/>
              <w:rPr/>
            </w:pPr>
            <w:r>
              <w:t xml:space="preserve">Define governance standards, appeal paths, audit logs, moderation transparency, and external accountability where appropriate.</w:t>
            </w:r>
            <w:r/>
          </w:p>
        </w:tc>
      </w:tr>
      <w:tr>
        <w:trPr/>
        <w:tc>
          <w:tcPr>
            <w:tcBorders/>
          </w:tcPr>
          <w:p>
            <w:pPr>
              <w:pStyle w:val="964"/>
              <w:pBdr/>
              <w:spacing/>
              <w:ind/>
              <w:rPr/>
            </w:pPr>
            <w:r>
              <w:t xml:space="preserve">Revenue-first decision making.</w:t>
            </w:r>
            <w:r/>
          </w:p>
        </w:tc>
        <w:tc>
          <w:tcPr>
            <w:tcBorders/>
          </w:tcPr>
          <w:p>
            <w:pPr>
              <w:pStyle w:val="964"/>
              <w:pBdr/>
              <w:spacing/>
              <w:ind/>
              <w:rPr/>
            </w:pPr>
            <w:r>
              <w:t xml:space="preserve">High-paying users, advertisers, investors, or growth metrics can pressure providers to harm less powerful stakeholders.</w:t>
            </w:r>
            <w:r/>
          </w:p>
        </w:tc>
        <w:tc>
          <w:tcPr>
            <w:tcBorders/>
          </w:tcPr>
          <w:p>
            <w:pPr>
              <w:pStyle w:val="964"/>
              <w:pBdr/>
              <w:spacing/>
              <w:ind/>
              <w:rPr/>
            </w:pPr>
            <w:r>
              <w:t xml:space="preserve">Evaluate success through Islamic and stakeholder-aware metrics, not only revenue, growth, or engagement.</w:t>
            </w:r>
            <w:r/>
          </w:p>
        </w:tc>
      </w:tr>
    </w:tbl>
    <w:p>
      <w:pPr>
        <w:pStyle w:val="962"/>
        <w:pBdr/>
        <w:spacing/>
        <w:ind/>
        <w:rPr/>
      </w:pPr>
      <w:r>
        <w:t xml:space="preserve">Market pressure matters because provider-mediated software solutions are rarely neutral tools. Their business model, governance struc</w:t>
      </w:r>
      <w:r>
        <w:t xml:space="preserve">ture, hosting model, dependency strategy, and success metrics influence the design options considered acceptable. A framework that ignores these pressures may produce ethical interface recommendations while leaving the deeper incentive structure unchanged.</w:t>
      </w:r>
      <w:r/>
    </w:p>
    <w:p>
      <w:pPr>
        <w:pStyle w:val="962"/>
        <w:pBdr/>
        <w:spacing/>
        <w:ind/>
        <w:rPr/>
      </w:pPr>
      <w:r>
        <w:t xml:space="preserve">For I-VSD, this category justifies the strategic, governance, and evaluation domains. Providers should as</w:t>
      </w:r>
      <w:r>
        <w:t xml:space="preserve">k not only “Can this feature work?” but also “What dependency does it create?”, “Who bears the risk?”, “Who can appeal?”, “What metric will optimize this behavior?”, and “What values are sacrificed when revenue or convenience becomes the dominant measure?”</w:t>
      </w:r>
      <w:r/>
    </w:p>
    <w:p>
      <w:pPr>
        <w:pBdr/>
        <w:spacing/>
        <w:ind/>
        <w:rPr/>
      </w:pPr>
      <w:r>
        <mc:AlternateContent>
          <mc:Choice Requires="wpg">
            <w:drawing>
              <wp:inline xmlns:wp="http://schemas.openxmlformats.org/drawingml/2006/wordprocessingDrawing" distT="0" distB="0" distL="0" distR="0">
                <wp:extent cx="0" cy="19050"/>
                <wp:effectExtent l="0" t="0" r="0" b="0"/>
                <wp:docPr id="2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5" o:spid="_x0000_s25" o:spt="1" type="#_x0000_t1" style="width:0.00pt;height:1.50pt;mso-wrap-distance-left:0.00pt;mso-wrap-distance-top:0.00pt;mso-wrap-distance-right:0.00pt;mso-wrap-distance-bottom:0.00pt;visibility:visible;" fillcolor="#FFFFFF" strokecolor="#000000"/>
            </w:pict>
          </mc:Fallback>
        </mc:AlternateContent>
      </w:r>
      <w:bookmarkEnd w:id="34"/>
      <w:r/>
    </w:p>
    <w:p>
      <w:pPr>
        <w:pStyle w:val="978"/>
        <w:pBdr/>
        <w:spacing/>
        <w:ind/>
        <w:rPr/>
      </w:pPr>
      <w:r/>
      <w:bookmarkStart w:id="35" w:name="Xdaead336b167b52df6ad992e21472f5baf439a7"/>
      <w:r>
        <w:t xml:space="preserve">2.1.3.H Governance, Ecosystem Integrity, and Scope-Limited Organizational Pressures</w:t>
      </w:r>
      <w:r/>
    </w:p>
    <w:p>
      <w:pPr>
        <w:pStyle w:val="963"/>
        <w:pBdr/>
        <w:spacing/>
        <w:ind/>
        <w:rPr/>
      </w:pPr>
      <w:r>
        <w:t xml:space="preserve">This subsection was previously a broad collection of employee-rights, work</w:t>
      </w:r>
      <w:r>
        <w:t xml:space="preserve">place, competitive-practice, AI, marketing, and social harms. In the revised thesis argument, that breadth is too large for the main chapter. The thesis is not a study of general HR policy, layoffs, workplace psychology, or all technology-sector injustice.</w:t>
      </w:r>
      <w:r/>
    </w:p>
    <w:p>
      <w:pPr>
        <w:pStyle w:val="962"/>
        <w:pBdr/>
        <w:spacing/>
        <w:ind/>
        <w:rPr/>
      </w:pPr>
      <w:r>
        <w:t xml:space="preserve">The material is retained only where it helps explain provider-mediated software respon</w:t>
      </w:r>
      <w:r>
        <w:t xml:space="preserve">sibility: how organizations design, fund, govern, monetize, enforce, secure, and communicate software systems. Employee or organizational examples belong in the main argument only when they show governance pressure that produces harmful software decisions.</w:t>
      </w:r>
      <w:bookmarkEnd w:id="35"/>
      <w:bookmarkEnd w:id="36"/>
      <w:bookmarkEnd w:id="37"/>
      <w:bookmarkEnd w:id="38"/>
      <w:r/>
    </w:p>
    <w:p>
      <w:pPr>
        <w:pStyle w:val="975"/>
        <w:pBdr/>
        <w:spacing/>
        <w:ind/>
        <w:rPr/>
      </w:pPr>
      <w:r/>
      <w:bookmarkStart w:id="39" w:name="scope-rule"/>
      <w:r>
        <w:t xml:space="preserve">Scope Rule</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Keep in Main Argument</w:t>
            </w:r>
            <w:r/>
          </w:p>
        </w:tc>
        <w:tc>
          <w:tcPr>
            <w:tcBorders/>
          </w:tcPr>
          <w:p>
            <w:pPr>
              <w:pStyle w:val="964"/>
              <w:pBdr/>
              <w:spacing/>
              <w:ind/>
              <w:rPr/>
            </w:pPr>
            <w:r>
              <w:t xml:space="preserve">Move to Appendix or Future Research</w:t>
            </w:r>
            <w:r/>
          </w:p>
        </w:tc>
      </w:tr>
      <w:tr>
        <w:trPr/>
        <w:tc>
          <w:tcPr>
            <w:tcBorders/>
          </w:tcPr>
          <w:p>
            <w:pPr>
              <w:pStyle w:val="964"/>
              <w:pBdr/>
              <w:spacing/>
              <w:ind/>
              <w:rPr/>
            </w:pPr>
            <w:r>
              <w:t xml:space="preserve">Provider decisions that shape software design, data handling, monetization, moderation, security, portability, or user trust.</w:t>
            </w:r>
            <w:r/>
          </w:p>
        </w:tc>
        <w:tc>
          <w:tcPr>
            <w:tcBorders/>
          </w:tcPr>
          <w:p>
            <w:pPr>
              <w:pStyle w:val="964"/>
              <w:pBdr/>
              <w:spacing/>
              <w:ind/>
              <w:rPr/>
            </w:pPr>
            <w:r>
              <w:t xml:space="preserve">Broad employee wellbeing analysis, layoff psychology, generic workplace ethics, internship reflection, and organizational-health material not tied to software design decisions.</w:t>
            </w:r>
            <w:r/>
          </w:p>
        </w:tc>
      </w:tr>
      <w:tr>
        <w:trPr/>
        <w:tc>
          <w:tcPr>
            <w:tcBorders/>
          </w:tcPr>
          <w:p>
            <w:pPr>
              <w:pStyle w:val="964"/>
              <w:pBdr/>
              <w:spacing/>
              <w:ind/>
              <w:rPr/>
            </w:pPr>
            <w:r>
              <w:t xml:space="preserve">Ecosystem practices that reduce user choice, distort trust, or sabotage alternatives.</w:t>
            </w:r>
            <w:r/>
          </w:p>
        </w:tc>
        <w:tc>
          <w:tcPr>
            <w:tcBorders/>
          </w:tcPr>
          <w:p>
            <w:pPr>
              <w:pStyle w:val="964"/>
              <w:pBdr/>
              <w:spacing/>
              <w:ind/>
              <w:rPr/>
            </w:pPr>
            <w:r>
              <w:t xml:space="preserve">General anti-capitalist critique, broad market commentary, and examples that do not support the I-VSD framework.</w:t>
            </w:r>
            <w:r/>
          </w:p>
        </w:tc>
      </w:tr>
      <w:tr>
        <w:trPr/>
        <w:tc>
          <w:tcPr>
            <w:tcBorders/>
          </w:tcPr>
          <w:p>
            <w:pPr>
              <w:pStyle w:val="964"/>
              <w:pBdr/>
              <w:spacing/>
              <w:ind/>
              <w:rPr/>
            </w:pPr>
            <w:r>
              <w:t xml:space="preserve">Religious-community exploitation through software products, payment flows, donation prompts, or content presentation.</w:t>
            </w:r>
            <w:r/>
          </w:p>
        </w:tc>
        <w:tc>
          <w:tcPr>
            <w:tcBorders/>
          </w:tcPr>
          <w:p>
            <w:pPr>
              <w:pStyle w:val="964"/>
              <w:pBdr/>
              <w:spacing/>
              <w:ind/>
              <w:rPr/>
            </w:pPr>
            <w:r>
              <w:t xml:space="preserve">Sermonic reflection or broad religious business advice not translated into design heuristics.</w:t>
            </w:r>
            <w:bookmarkEnd w:id="39"/>
            <w:r/>
          </w:p>
        </w:tc>
      </w:tr>
    </w:tbl>
    <w:p>
      <w:pPr>
        <w:pStyle w:val="975"/>
        <w:pBdr/>
        <w:spacing/>
        <w:ind/>
        <w:rPr/>
      </w:pPr>
      <w:r/>
      <w:bookmarkStart w:id="40" w:name="framework-relevant-harm-patterns"/>
      <w:r>
        <w:t xml:space="preserve">Framework-Relevant Harm Patterns</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Pattern</w:t>
            </w:r>
            <w:r/>
          </w:p>
        </w:tc>
        <w:tc>
          <w:tcPr>
            <w:tcBorders/>
          </w:tcPr>
          <w:p>
            <w:pPr>
              <w:pStyle w:val="964"/>
              <w:pBdr/>
              <w:spacing/>
              <w:ind/>
              <w:rPr/>
            </w:pPr>
            <w:r>
              <w:t xml:space="preserve">Why It Matters for I-VSD</w:t>
            </w:r>
            <w:r/>
          </w:p>
        </w:tc>
        <w:tc>
          <w:tcPr>
            <w:tcBorders/>
          </w:tcPr>
          <w:p>
            <w:pPr>
              <w:pStyle w:val="964"/>
              <w:pBdr/>
              <w:spacing/>
              <w:ind/>
              <w:rPr/>
            </w:pPr>
            <w:r>
              <w:t xml:space="preserve">Main Harm Type</w:t>
            </w:r>
            <w:r/>
          </w:p>
        </w:tc>
      </w:tr>
      <w:tr>
        <w:trPr/>
        <w:tc>
          <w:tcPr>
            <w:tcBorders/>
          </w:tcPr>
          <w:p>
            <w:pPr>
              <w:pStyle w:val="964"/>
              <w:pBdr/>
              <w:spacing/>
              <w:ind/>
              <w:rPr/>
            </w:pPr>
            <w:r>
              <w:t xml:space="preserve">Exploitation of religious communities</w:t>
            </w:r>
            <w:r/>
          </w:p>
        </w:tc>
        <w:tc>
          <w:tcPr>
            <w:tcBorders/>
          </w:tcPr>
          <w:p>
            <w:pPr>
              <w:pStyle w:val="964"/>
              <w:pBdr/>
              <w:spacing/>
              <w:ind/>
              <w:rPr/>
            </w:pPr>
            <w:r>
              <w:t xml:space="preserve">Religious language, charitable obligation, or spiritual guilt can be used to pressure users into payment or trust. This directly concerns Sidq, Amanah, Ghish, and Gharar.</w:t>
            </w:r>
            <w:r/>
          </w:p>
        </w:tc>
        <w:tc>
          <w:tcPr>
            <w:tcBorders/>
          </w:tcPr>
          <w:p>
            <w:pPr>
              <w:pStyle w:val="964"/>
              <w:pBdr/>
              <w:spacing/>
              <w:ind/>
              <w:rPr/>
            </w:pPr>
            <w:r>
              <w:t xml:space="preserve">Exploitative monetization; source and provenance failure</w:t>
            </w:r>
            <w:r/>
          </w:p>
        </w:tc>
      </w:tr>
      <w:tr>
        <w:trPr/>
        <w:tc>
          <w:tcPr>
            <w:tcBorders/>
          </w:tcPr>
          <w:p>
            <w:pPr>
              <w:pStyle w:val="964"/>
              <w:pBdr/>
              <w:spacing/>
              <w:ind/>
              <w:rPr/>
            </w:pPr>
            <w:r>
              <w:t xml:space="preserve">Anti-competitive and dependency practices</w:t>
            </w:r>
            <w:r/>
          </w:p>
        </w:tc>
        <w:tc>
          <w:tcPr>
            <w:tcBorders/>
          </w:tcPr>
          <w:p>
            <w:pPr>
              <w:pStyle w:val="964"/>
              <w:pBdr/>
              <w:spacing/>
              <w:ind/>
              <w:rPr/>
            </w:pPr>
            <w:r>
              <w:t xml:space="preserve">Acquiring competitors, draining open-source alternatives, hostile licensing, or closed ecosystems can reduce user freedom and community benefit.</w:t>
            </w:r>
            <w:r/>
          </w:p>
        </w:tc>
        <w:tc>
          <w:tcPr>
            <w:tcBorders/>
          </w:tcPr>
          <w:p>
            <w:pPr>
              <w:pStyle w:val="964"/>
              <w:pBdr/>
              <w:spacing/>
              <w:ind/>
              <w:rPr/>
            </w:pPr>
            <w:r>
              <w:t xml:space="preserve">Lock-in, portability failure, and dependency abuse</w:t>
            </w:r>
            <w:r/>
          </w:p>
        </w:tc>
      </w:tr>
      <w:tr>
        <w:trPr/>
        <w:tc>
          <w:tcPr>
            <w:tcBorders/>
          </w:tcPr>
          <w:p>
            <w:pPr>
              <w:pStyle w:val="964"/>
              <w:pBdr/>
              <w:spacing/>
              <w:ind/>
              <w:rPr/>
            </w:pPr>
            <w:r>
              <w:t xml:space="preserve">Addictive design and streak pressure</w:t>
            </w:r>
            <w:r/>
          </w:p>
        </w:tc>
        <w:tc>
          <w:tcPr>
            <w:tcBorders/>
          </w:tcPr>
          <w:p>
            <w:pPr>
              <w:pStyle w:val="964"/>
              <w:pBdr/>
              <w:spacing/>
              <w:ind/>
              <w:rPr/>
            </w:pPr>
            <w:r>
              <w:t xml:space="preserve">Engagement mechanics can turn habit support into psychological dependency, especially when anxiety is monetized.</w:t>
            </w:r>
            <w:r/>
          </w:p>
        </w:tc>
        <w:tc>
          <w:tcPr>
            <w:tcBorders/>
          </w:tcPr>
          <w:p>
            <w:pPr>
              <w:pStyle w:val="964"/>
              <w:pBdr/>
              <w:spacing/>
              <w:ind/>
              <w:rPr/>
            </w:pPr>
            <w:r>
              <w:t xml:space="preserve">Deception and manipulation; exploitative monetization</w:t>
            </w:r>
            <w:r/>
          </w:p>
        </w:tc>
      </w:tr>
      <w:tr>
        <w:trPr/>
        <w:tc>
          <w:tcPr>
            <w:tcBorders/>
          </w:tcPr>
          <w:p>
            <w:pPr>
              <w:pStyle w:val="964"/>
              <w:pBdr/>
              <w:spacing/>
              <w:ind/>
              <w:rPr/>
            </w:pPr>
            <w:r>
              <w:t xml:space="preserve">Software piracy, license abuse, and IP misuse</w:t>
            </w:r>
            <w:r/>
          </w:p>
        </w:tc>
        <w:tc>
          <w:tcPr>
            <w:tcBorders/>
          </w:tcPr>
          <w:p>
            <w:pPr>
              <w:pStyle w:val="964"/>
              <w:pBdr/>
              <w:spacing/>
              <w:ind/>
              <w:rPr/>
            </w:pPr>
            <w:r>
              <w:t xml:space="preserve">Providers who build products on unpaid or misused dependencies breach trust while charging users for the resulting service.</w:t>
            </w:r>
            <w:r/>
          </w:p>
        </w:tc>
        <w:tc>
          <w:tcPr>
            <w:tcBorders/>
          </w:tcPr>
          <w:p>
            <w:pPr>
              <w:pStyle w:val="964"/>
              <w:pBdr/>
              <w:spacing/>
              <w:ind/>
              <w:rPr/>
            </w:pPr>
            <w:r>
              <w:t xml:space="preserve">Governance failure; rights of people</w:t>
            </w:r>
            <w:r/>
          </w:p>
        </w:tc>
      </w:tr>
      <w:tr>
        <w:trPr/>
        <w:tc>
          <w:tcPr>
            <w:tcBorders/>
          </w:tcPr>
          <w:p>
            <w:pPr>
              <w:pStyle w:val="964"/>
              <w:pBdr/>
              <w:spacing/>
              <w:ind/>
              <w:rPr/>
            </w:pPr>
            <w:r>
              <w:t xml:space="preserve">Manufactured problems and solution selling</w:t>
            </w:r>
            <w:r/>
          </w:p>
        </w:tc>
        <w:tc>
          <w:tcPr>
            <w:tcBorders/>
          </w:tcPr>
          <w:p>
            <w:pPr>
              <w:pStyle w:val="964"/>
              <w:pBdr/>
              <w:spacing/>
              <w:ind/>
              <w:rPr/>
            </w:pPr>
            <w:r>
              <w:t xml:space="preserve">A provider may create complexity, dependency, or fear in order to sell the cure.</w:t>
            </w:r>
            <w:r/>
          </w:p>
        </w:tc>
        <w:tc>
          <w:tcPr>
            <w:tcBorders/>
          </w:tcPr>
          <w:p>
            <w:pPr>
              <w:pStyle w:val="964"/>
              <w:pBdr/>
              <w:spacing/>
              <w:ind/>
              <w:rPr/>
            </w:pPr>
            <w:r>
              <w:t xml:space="preserve">Deception and manipulation; lock-in</w:t>
            </w:r>
            <w:r/>
          </w:p>
        </w:tc>
      </w:tr>
      <w:tr>
        <w:trPr/>
        <w:tc>
          <w:tcPr>
            <w:tcBorders/>
          </w:tcPr>
          <w:p>
            <w:pPr>
              <w:pStyle w:val="964"/>
              <w:pBdr/>
              <w:spacing/>
              <w:ind/>
              <w:rPr/>
            </w:pPr>
            <w:r>
              <w:t xml:space="preserve">AI opacity and synthetic-content authenticity</w:t>
            </w:r>
            <w:r/>
          </w:p>
        </w:tc>
        <w:tc>
          <w:tcPr>
            <w:tcBorders/>
          </w:tcPr>
          <w:p>
            <w:pPr>
              <w:pStyle w:val="964"/>
              <w:pBdr/>
              <w:spacing/>
              <w:ind/>
              <w:rPr/>
            </w:pPr>
            <w:r>
              <w:t xml:space="preserve">AI systems can hide limitations, fabricate content, distort source integrity, or make accountability unclear.</w:t>
            </w:r>
            <w:r/>
          </w:p>
        </w:tc>
        <w:tc>
          <w:tcPr>
            <w:tcBorders/>
          </w:tcPr>
          <w:p>
            <w:pPr>
              <w:pStyle w:val="964"/>
              <w:pBdr/>
              <w:spacing/>
              <w:ind/>
              <w:rPr/>
            </w:pPr>
            <w:r>
              <w:t xml:space="preserve">Algorithmic opacity; source and provenance failure</w:t>
            </w:r>
            <w:r/>
          </w:p>
        </w:tc>
      </w:tr>
      <w:tr>
        <w:trPr/>
        <w:tc>
          <w:tcPr>
            <w:tcBorders/>
          </w:tcPr>
          <w:p>
            <w:pPr>
              <w:pStyle w:val="964"/>
              <w:pBdr/>
              <w:spacing/>
              <w:ind/>
              <w:rPr/>
            </w:pPr>
            <w:r>
              <w:t xml:space="preserve">Affiliate hijacking and commission diversion</w:t>
            </w:r>
            <w:r/>
          </w:p>
        </w:tc>
        <w:tc>
          <w:tcPr>
            <w:tcBorders/>
          </w:tcPr>
          <w:p>
            <w:pPr>
              <w:pStyle w:val="964"/>
              <w:pBdr/>
              <w:spacing/>
              <w:ind/>
              <w:rPr/>
            </w:pPr>
            <w:r>
              <w:t xml:space="preserve">Software can silently redirect value away from creators or referrers while presenting itself as helpful to users.</w:t>
            </w:r>
            <w:r/>
          </w:p>
        </w:tc>
        <w:tc>
          <w:tcPr>
            <w:tcBorders/>
          </w:tcPr>
          <w:p>
            <w:pPr>
              <w:pStyle w:val="964"/>
              <w:pBdr/>
              <w:spacing/>
              <w:ind/>
              <w:rPr/>
            </w:pPr>
            <w:r>
              <w:t xml:space="preserve">Deception; rights of people; exploitative monetization</w:t>
            </w:r>
            <w:r/>
          </w:p>
        </w:tc>
      </w:tr>
      <w:tr>
        <w:trPr/>
        <w:tc>
          <w:tcPr>
            <w:tcBorders/>
          </w:tcPr>
          <w:p>
            <w:pPr>
              <w:pStyle w:val="964"/>
              <w:pBdr/>
              <w:spacing/>
              <w:ind/>
              <w:rPr/>
            </w:pPr>
            <w:r>
              <w:t xml:space="preserve">Opaque account enforcement</w:t>
            </w:r>
            <w:r/>
          </w:p>
        </w:tc>
        <w:tc>
          <w:tcPr>
            <w:tcBorders/>
          </w:tcPr>
          <w:p>
            <w:pPr>
              <w:pStyle w:val="964"/>
              <w:pBdr/>
              <w:spacing/>
              <w:ind/>
              <w:rPr/>
            </w:pPr>
            <w:r>
              <w:t xml:space="preserve">Bans, strikes, and restrictions without explanation or appeal weaken justice and accountability.</w:t>
            </w:r>
            <w:r/>
          </w:p>
        </w:tc>
        <w:tc>
          <w:tcPr>
            <w:tcBorders/>
          </w:tcPr>
          <w:p>
            <w:pPr>
              <w:pStyle w:val="964"/>
              <w:pBdr/>
              <w:spacing/>
              <w:ind/>
              <w:rPr/>
            </w:pPr>
            <w:r>
              <w:t xml:space="preserve">Content integrity, moderation, and community harm</w:t>
            </w:r>
            <w:r/>
          </w:p>
        </w:tc>
      </w:tr>
      <w:tr>
        <w:trPr/>
        <w:tc>
          <w:tcPr>
            <w:tcBorders/>
          </w:tcPr>
          <w:p>
            <w:pPr>
              <w:pStyle w:val="964"/>
              <w:pBdr/>
              <w:spacing/>
              <w:ind/>
              <w:rPr/>
            </w:pPr>
            <w:r>
              <w:t xml:space="preserve">Security underinvestment and fraud facilitation</w:t>
            </w:r>
            <w:r/>
          </w:p>
        </w:tc>
        <w:tc>
          <w:tcPr>
            <w:tcBorders/>
          </w:tcPr>
          <w:p>
            <w:pPr>
              <w:pStyle w:val="964"/>
              <w:pBdr/>
              <w:spacing/>
              <w:ind/>
              <w:rPr/>
            </w:pPr>
            <w:r>
              <w:t xml:space="preserve">Providers may profit while failing to implement reasonable fraud prevention, identity verification, or misuse controls.</w:t>
            </w:r>
            <w:r/>
          </w:p>
        </w:tc>
        <w:tc>
          <w:tcPr>
            <w:tcBorders/>
          </w:tcPr>
          <w:p>
            <w:pPr>
              <w:pStyle w:val="964"/>
              <w:pBdr/>
              <w:spacing/>
              <w:ind/>
              <w:rPr/>
            </w:pPr>
            <w:r>
              <w:t xml:space="preserve">Security negligence and breach responsibility</w:t>
            </w:r>
            <w:bookmarkEnd w:id="40"/>
            <w:r/>
          </w:p>
        </w:tc>
      </w:tr>
    </w:tbl>
    <w:p>
      <w:pPr>
        <w:pStyle w:val="975"/>
        <w:pBdr/>
        <w:spacing/>
        <w:ind/>
        <w:rPr/>
      </w:pPr>
      <w:r/>
      <w:bookmarkStart w:id="41" w:name="employee-and-organizational-material"/>
      <w:r>
        <w:t xml:space="preserve">Employee and Organizational Material</w:t>
      </w:r>
      <w:r/>
    </w:p>
    <w:p>
      <w:pPr>
        <w:pStyle w:val="963"/>
        <w:pBdr/>
        <w:spacing/>
        <w:ind/>
        <w:rPr/>
      </w:pPr>
      <w:r>
        <w:t xml:space="preserve">Employee wellbeing, layoffs, moral injury, burnout, and organizational health can be ethically important, but they should not dominate this thesis. They are relevant here only through a narrower design-governance question:</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Question</w:t>
            </w:r>
            <w:r/>
          </w:p>
        </w:tc>
        <w:tc>
          <w:tcPr>
            <w:tcBorders/>
          </w:tcPr>
          <w:p>
            <w:pPr>
              <w:pStyle w:val="964"/>
              <w:pBdr/>
              <w:spacing/>
              <w:ind/>
              <w:rPr/>
            </w:pPr>
            <w:r>
              <w:t xml:space="preserve">Thesis Use</w:t>
            </w:r>
            <w:r/>
          </w:p>
        </w:tc>
      </w:tr>
      <w:tr>
        <w:trPr/>
        <w:tc>
          <w:tcPr>
            <w:tcBorders/>
          </w:tcPr>
          <w:p>
            <w:pPr>
              <w:pStyle w:val="964"/>
              <w:pBdr/>
              <w:spacing/>
              <w:ind/>
              <w:rPr/>
            </w:pPr>
            <w:r>
              <w:t xml:space="preserve">Are employees pressured to implement manipulative, deceptive, insecure, or harmful software features?</w:t>
            </w:r>
            <w:r/>
          </w:p>
        </w:tc>
        <w:tc>
          <w:tcPr>
            <w:tcBorders/>
          </w:tcPr>
          <w:p>
            <w:pPr>
              <w:pStyle w:val="964"/>
              <w:pBdr/>
              <w:spacing/>
              <w:ind/>
              <w:rPr/>
            </w:pPr>
            <w:r>
              <w:t xml:space="preserve">Relevant as governance pressure that affects software ethics.</w:t>
            </w:r>
            <w:r/>
          </w:p>
        </w:tc>
      </w:tr>
      <w:tr>
        <w:trPr/>
        <w:tc>
          <w:tcPr>
            <w:tcBorders/>
          </w:tcPr>
          <w:p>
            <w:pPr>
              <w:pStyle w:val="964"/>
              <w:pBdr/>
              <w:spacing/>
              <w:ind/>
              <w:rPr/>
            </w:pPr>
            <w:r>
              <w:t xml:space="preserve">Does the organization reward harmful metrics such as engagement, lock-in, dark patterns, or opaque monetization?</w:t>
            </w:r>
            <w:r/>
          </w:p>
        </w:tc>
        <w:tc>
          <w:tcPr>
            <w:tcBorders/>
          </w:tcPr>
          <w:p>
            <w:pPr>
              <w:pStyle w:val="964"/>
              <w:pBdr/>
              <w:spacing/>
              <w:ind/>
              <w:rPr/>
            </w:pPr>
            <w:r>
              <w:t xml:space="preserve">Relevant as strategic and evaluation-domain evidence.</w:t>
            </w:r>
            <w:r/>
          </w:p>
        </w:tc>
      </w:tr>
      <w:tr>
        <w:trPr/>
        <w:tc>
          <w:tcPr>
            <w:tcBorders/>
          </w:tcPr>
          <w:p>
            <w:pPr>
              <w:pStyle w:val="964"/>
              <w:pBdr/>
              <w:spacing/>
              <w:ind/>
              <w:rPr/>
            </w:pPr>
            <w:r>
              <w:t xml:space="preserve">Are layoffs, workplace stress, or broad employee rights being analyzed apart from software design decisions?</w:t>
            </w:r>
            <w:r/>
          </w:p>
        </w:tc>
        <w:tc>
          <w:tcPr>
            <w:tcBorders/>
          </w:tcPr>
          <w:p>
            <w:pPr>
              <w:pStyle w:val="964"/>
              <w:pBdr/>
              <w:spacing/>
              <w:ind/>
              <w:rPr/>
            </w:pPr>
            <w:r>
              <w:t xml:space="preserve">Move out of the main argument or reserve for future research.</w:t>
            </w:r>
            <w:r/>
          </w:p>
        </w:tc>
      </w:tr>
    </w:tbl>
    <w:p>
      <w:pPr>
        <w:pStyle w:val="962"/>
        <w:pBdr/>
        <w:spacing/>
        <w:ind/>
        <w:rPr/>
      </w:pPr>
      <w:r>
        <w:t xml:space="preserve">This keeps the chapter focused on the thesis contribution: a reusable I-VSD framework for software providers. The framework may later be extended to broader organizational ethics, but the current manuscript should not depend on that expansion.</w:t>
      </w:r>
      <w:bookmarkEnd w:id="41"/>
      <w:r/>
    </w:p>
    <w:p>
      <w:pPr>
        <w:pStyle w:val="975"/>
        <w:pBdr/>
        <w:spacing/>
        <w:ind/>
        <w:rPr/>
      </w:pPr>
      <w:r/>
      <w:bookmarkStart w:id="43" w:name="i-vsd-bridge"/>
      <w:r>
        <w:t xml:space="preserve">I-VSD Bridge</w:t>
      </w:r>
      <w:r/>
    </w:p>
    <w:p>
      <w:pPr>
        <w:pStyle w:val="963"/>
        <w:pBdr/>
        <w:spacing/>
        <w:ind/>
        <w:rPr/>
      </w:pPr>
      <w:r>
        <w:t xml:space="preserve">The examples in this subsection support the framework by showing that software harms are often produced by provider incentives, not only by isolated technical mistakes. I-VSD therefore needs more than int</w:t>
      </w:r>
      <w:r>
        <w:t xml:space="preserve">erface rules. It needs strategic, design, technical, operational, governance, and evaluation domains so that questions of funding, ownership, moderation, enforcement, dependency, and success metrics are reviewed before they become harmful product behavior.</w:t>
      </w:r>
      <w:r/>
    </w:p>
    <w:p>
      <w:pPr>
        <w:pBdr/>
        <w:spacing/>
        <w:ind/>
        <w:rPr/>
      </w:pPr>
      <w:r>
        <mc:AlternateContent>
          <mc:Choice Requires="wpg">
            <w:drawing>
              <wp:inline xmlns:wp="http://schemas.openxmlformats.org/drawingml/2006/wordprocessingDrawing" distT="0" distB="0" distL="0" distR="0">
                <wp:extent cx="0" cy="19050"/>
                <wp:effectExtent l="0" t="0" r="0" b="0"/>
                <wp:docPr id="2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6" o:spid="_x0000_s26" o:spt="1" type="#_x0000_t1" style="width:0.00pt;height:1.50pt;mso-wrap-distance-left:0.00pt;mso-wrap-distance-top:0.00pt;mso-wrap-distance-right:0.00pt;mso-wrap-distance-bottom:0.00pt;visibility:visible;" fillcolor="#FFFFFF" strokecolor="#000000"/>
            </w:pict>
          </mc:Fallback>
        </mc:AlternateContent>
      </w:r>
      <w:r/>
    </w:p>
    <w:p>
      <w:pPr>
        <w:pStyle w:val="978"/>
        <w:pBdr/>
        <w:spacing/>
        <w:ind/>
        <w:rPr/>
      </w:pPr>
      <w:r/>
      <w:bookmarkStart w:id="42" w:name="z-islamic-perspective-summary"/>
      <w:r>
        <w:t xml:space="preserve">2.1.3.Z Islamic Perspective Summary</w:t>
      </w:r>
      <w:r/>
    </w:p>
    <w:p>
      <w:pPr>
        <w:pStyle w:val="963"/>
        <w:pBdr/>
        <w:spacing/>
        <w:ind/>
        <w:rPr/>
      </w:pPr>
      <w:r>
        <w:t xml:space="preserve">This summary</w:t>
      </w:r>
      <w:r>
        <w:t xml:space="preserve"> connects the eight-part harm typology in Section 2.1.3 to the selected Islamic ethical principles introduced in Section 2.3. It does not repeat every example. Its role is to show why the harms are relevant to I-VSD and how they become framework questions.</w:t>
      </w:r>
      <w:bookmarkEnd w:id="42"/>
      <w:bookmarkEnd w:id="43"/>
      <w:r/>
    </w:p>
    <w:p>
      <w:pPr>
        <w:pStyle w:val="975"/>
        <w:pBdr/>
        <w:spacing/>
        <w:ind/>
        <w:rPr/>
      </w:pPr>
      <w:r/>
      <w:bookmarkStart w:id="44" w:name="core-ethical-pattern"/>
      <w:r>
        <w:t xml:space="preserve">Core Ethical Pattern</w:t>
      </w:r>
      <w:r/>
    </w:p>
    <w:p>
      <w:pPr>
        <w:pStyle w:val="963"/>
        <w:pBdr/>
        <w:spacing/>
        <w:ind/>
        <w:rPr/>
      </w:pPr>
      <w:r>
        <w:t xml:space="preserve">Across the examples, the recurring Islamic concern is not </w:t>
      </w:r>
      <w:r>
        <w:t xml:space="preserve">merely that some companies behave badly. The deeper concern is that software providers often receive trust, attention, data, money, dependence, and community legitimacy from users, then design systems that use this trust against them or fail to protect it.</w:t>
      </w:r>
      <w:r/>
    </w:p>
    <w:p>
      <w:pPr>
        <w:pStyle w:val="962"/>
        <w:pBdr/>
        <w:spacing/>
        <w:ind/>
        <w:rPr/>
      </w:pPr>
      <w:r>
        <w:t xml:space="preserve">The selected principles therefore operate as design constraints:</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Principle</w:t>
            </w:r>
            <w:r/>
          </w:p>
        </w:tc>
        <w:tc>
          <w:tcPr>
            <w:tcBorders/>
          </w:tcPr>
          <w:p>
            <w:pPr>
              <w:pStyle w:val="964"/>
              <w:pBdr/>
              <w:spacing/>
              <w:ind/>
              <w:rPr/>
            </w:pPr>
            <w:r>
              <w:t xml:space="preserve">Framework Relevance</w:t>
            </w:r>
            <w:r/>
          </w:p>
        </w:tc>
      </w:tr>
      <w:tr>
        <w:trPr/>
        <w:tc>
          <w:tcPr>
            <w:tcBorders/>
          </w:tcPr>
          <w:p>
            <w:pPr>
              <w:pStyle w:val="964"/>
              <w:pBdr/>
              <w:spacing/>
              <w:ind/>
              <w:rPr/>
            </w:pPr>
            <w:r>
              <w:t xml:space="preserve">Amanah</w:t>
            </w:r>
            <w:r/>
          </w:p>
        </w:tc>
        <w:tc>
          <w:tcPr>
            <w:tcBorders/>
          </w:tcPr>
          <w:p>
            <w:pPr>
              <w:pStyle w:val="964"/>
              <w:pBdr/>
              <w:spacing/>
              <w:ind/>
              <w:rPr/>
            </w:pPr>
            <w:r>
              <w:t xml:space="preserve">User trust, data, infrastructure, religious content, and community dependence are entrusted responsibilities.</w:t>
            </w:r>
            <w:r/>
          </w:p>
        </w:tc>
      </w:tr>
      <w:tr>
        <w:trPr/>
        <w:tc>
          <w:tcPr>
            <w:tcBorders/>
          </w:tcPr>
          <w:p>
            <w:pPr>
              <w:pStyle w:val="964"/>
              <w:pBdr/>
              <w:spacing/>
              <w:ind/>
              <w:rPr/>
            </w:pPr>
            <w:r>
              <w:t xml:space="preserve">Sidq</w:t>
            </w:r>
            <w:r/>
          </w:p>
        </w:tc>
        <w:tc>
          <w:tcPr>
            <w:tcBorders/>
          </w:tcPr>
          <w:p>
            <w:pPr>
              <w:pStyle w:val="964"/>
              <w:pBdr/>
              <w:spacing/>
              <w:ind/>
              <w:rPr/>
            </w:pPr>
            <w:r>
              <w:t xml:space="preserve">Providers must communicate truthfully about capabilities, limits, pricing, AI outputs, advertising, and risks.</w:t>
            </w:r>
            <w:r/>
          </w:p>
        </w:tc>
      </w:tr>
      <w:tr>
        <w:trPr/>
        <w:tc>
          <w:tcPr>
            <w:tcBorders/>
          </w:tcPr>
          <w:p>
            <w:pPr>
              <w:pStyle w:val="964"/>
              <w:pBdr/>
              <w:spacing/>
              <w:ind/>
              <w:rPr/>
            </w:pPr>
            <w:r>
              <w:t xml:space="preserve">Adl</w:t>
            </w:r>
            <w:r/>
          </w:p>
        </w:tc>
        <w:tc>
          <w:tcPr>
            <w:tcBorders/>
          </w:tcPr>
          <w:p>
            <w:pPr>
              <w:pStyle w:val="964"/>
              <w:pBdr/>
              <w:spacing/>
              <w:ind/>
              <w:rPr/>
            </w:pPr>
            <w:r>
              <w:t xml:space="preserve">Access, moderation, ranking, enforcement, support, and pricing should not be arbitrary or unjust.</w:t>
            </w:r>
            <w:r/>
          </w:p>
        </w:tc>
      </w:tr>
      <w:tr>
        <w:trPr/>
        <w:tc>
          <w:tcPr>
            <w:tcBorders/>
          </w:tcPr>
          <w:p>
            <w:pPr>
              <w:pStyle w:val="964"/>
              <w:pBdr/>
              <w:spacing/>
              <w:ind/>
              <w:rPr/>
            </w:pPr>
            <w:r>
              <w:t xml:space="preserve">La Darar</w:t>
            </w:r>
            <w:r/>
          </w:p>
        </w:tc>
        <w:tc>
          <w:tcPr>
            <w:tcBorders/>
          </w:tcPr>
          <w:p>
            <w:pPr>
              <w:pStyle w:val="964"/>
              <w:pBdr/>
              <w:spacing/>
              <w:ind/>
              <w:rPr/>
            </w:pPr>
            <w:r>
              <w:t xml:space="preserve">Providers must identify and reduce foreseeable harms from design, automation, security, monetization, and governance choices.</w:t>
            </w:r>
            <w:r/>
          </w:p>
        </w:tc>
      </w:tr>
      <w:tr>
        <w:trPr/>
        <w:tc>
          <w:tcPr>
            <w:tcBorders/>
          </w:tcPr>
          <w:p>
            <w:pPr>
              <w:pStyle w:val="964"/>
              <w:pBdr/>
              <w:spacing/>
              <w:ind/>
              <w:rPr/>
            </w:pPr>
            <w:r>
              <w:t xml:space="preserve">Huquq al-’Ibad</w:t>
            </w:r>
            <w:r/>
          </w:p>
        </w:tc>
        <w:tc>
          <w:tcPr>
            <w:tcBorders/>
          </w:tcPr>
          <w:p>
            <w:pPr>
              <w:pStyle w:val="964"/>
              <w:pBdr/>
              <w:spacing/>
              <w:ind/>
              <w:rPr/>
            </w:pPr>
            <w:r>
              <w:t xml:space="preserve">User rights, creator rights, contributor rights, worker dignity, and community rights cannot be treated as externalities.</w:t>
            </w:r>
            <w:r/>
          </w:p>
        </w:tc>
      </w:tr>
      <w:tr>
        <w:trPr/>
        <w:tc>
          <w:tcPr>
            <w:tcBorders/>
          </w:tcPr>
          <w:p>
            <w:pPr>
              <w:pStyle w:val="964"/>
              <w:pBdr/>
              <w:spacing/>
              <w:ind/>
              <w:rPr/>
            </w:pPr>
            <w:r>
              <w:t xml:space="preserve">Avoiding Riba, Gharar, and Ghish</w:t>
            </w:r>
            <w:r/>
          </w:p>
        </w:tc>
        <w:tc>
          <w:tcPr>
            <w:tcBorders/>
          </w:tcPr>
          <w:p>
            <w:pPr>
              <w:pStyle w:val="964"/>
              <w:pBdr/>
              <w:spacing/>
              <w:ind/>
              <w:rPr/>
            </w:pPr>
            <w:r>
              <w:t xml:space="preserve">Revenue, payment, pricing, terms, and marketing must avoid prohibited or deceptive forms of extraction, uncertainty, and misrepresentation.</w:t>
            </w:r>
            <w:r/>
          </w:p>
        </w:tc>
      </w:tr>
      <w:tr>
        <w:trPr/>
        <w:tc>
          <w:tcPr>
            <w:tcBorders/>
          </w:tcPr>
          <w:p>
            <w:pPr>
              <w:pStyle w:val="964"/>
              <w:pBdr/>
              <w:spacing/>
              <w:ind/>
              <w:rPr/>
            </w:pPr>
            <w:r>
              <w:t xml:space="preserve">Wafa</w:t>
            </w:r>
            <w:r/>
          </w:p>
        </w:tc>
        <w:tc>
          <w:tcPr>
            <w:tcBorders/>
          </w:tcPr>
          <w:p>
            <w:pPr>
              <w:pStyle w:val="964"/>
              <w:pBdr/>
              <w:spacing/>
              <w:ind/>
              <w:rPr/>
            </w:pPr>
            <w:r>
              <w:t xml:space="preserve">Privacy promises, lifetime deals, support expectations, licenses, moderation rules, and portability commitments should be honored.</w:t>
            </w:r>
            <w:r/>
          </w:p>
        </w:tc>
      </w:tr>
      <w:tr>
        <w:trPr/>
        <w:tc>
          <w:tcPr>
            <w:tcBorders/>
          </w:tcPr>
          <w:p>
            <w:pPr>
              <w:pStyle w:val="964"/>
              <w:pBdr/>
              <w:spacing/>
              <w:ind/>
              <w:rPr/>
            </w:pPr>
            <w:r>
              <w:t xml:space="preserve">Ihsan</w:t>
            </w:r>
            <w:r/>
          </w:p>
        </w:tc>
        <w:tc>
          <w:tcPr>
            <w:tcBorders/>
          </w:tcPr>
          <w:p>
            <w:pPr>
              <w:pStyle w:val="964"/>
              <w:pBdr/>
              <w:spacing/>
              <w:ind/>
              <w:rPr/>
            </w:pPr>
            <w:r>
              <w:t xml:space="preserve">Providers should pursue conscientious quality where reliability, safety, accessibility, religious trust, or user wellbeing require more than minimum compliance.</w:t>
            </w:r>
            <w:r/>
          </w:p>
        </w:tc>
      </w:tr>
      <w:tr>
        <w:trPr/>
        <w:tc>
          <w:tcPr>
            <w:tcBorders/>
          </w:tcPr>
          <w:p>
            <w:pPr>
              <w:pStyle w:val="964"/>
              <w:pBdr/>
              <w:spacing/>
              <w:ind/>
              <w:rPr/>
            </w:pPr>
            <w:r>
              <w:t xml:space="preserve">Haya and avoiding Tajassus</w:t>
            </w:r>
            <w:r/>
          </w:p>
        </w:tc>
        <w:tc>
          <w:tcPr>
            <w:tcBorders/>
          </w:tcPr>
          <w:p>
            <w:pPr>
              <w:pStyle w:val="964"/>
              <w:pBdr/>
              <w:spacing/>
              <w:ind/>
              <w:rPr/>
            </w:pPr>
            <w:r>
              <w:t xml:space="preserve">Designs should avoid unnecessary exposure, shamelessness, intrusive tracking, and surveillance beyond legitimate need.</w:t>
            </w:r>
            <w:bookmarkEnd w:id="44"/>
            <w:r/>
          </w:p>
        </w:tc>
      </w:tr>
    </w:tbl>
    <w:p>
      <w:pPr>
        <w:pStyle w:val="975"/>
        <w:pBdr/>
        <w:spacing/>
        <w:ind/>
        <w:rPr/>
      </w:pPr>
      <w:r/>
      <w:bookmarkStart w:id="45" w:name="X796d9e5c244f8ffc3bbf7cf14fb6b39ba74ff0d"/>
      <w:r>
        <w:t xml:space="preserve">Harm Typology to Islamic Principle Bridge</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Harm Type</w:t>
            </w:r>
            <w:r/>
          </w:p>
        </w:tc>
        <w:tc>
          <w:tcPr>
            <w:tcBorders/>
          </w:tcPr>
          <w:p>
            <w:pPr>
              <w:pStyle w:val="964"/>
              <w:pBdr/>
              <w:spacing/>
              <w:ind/>
              <w:rPr/>
            </w:pPr>
            <w:r>
              <w:t xml:space="preserve">Main Islamic Principles</w:t>
            </w:r>
            <w:r/>
          </w:p>
        </w:tc>
        <w:tc>
          <w:tcPr>
            <w:tcBorders/>
          </w:tcPr>
          <w:p>
            <w:pPr>
              <w:pStyle w:val="964"/>
              <w:pBdr/>
              <w:spacing/>
              <w:ind/>
              <w:rPr/>
            </w:pPr>
            <w:r>
              <w:t xml:space="preserve">I-VSD Implication</w:t>
            </w:r>
            <w:r/>
          </w:p>
        </w:tc>
      </w:tr>
      <w:tr>
        <w:trPr/>
        <w:tc>
          <w:tcPr>
            <w:tcBorders/>
          </w:tcPr>
          <w:p>
            <w:pPr>
              <w:pStyle w:val="964"/>
              <w:pBdr/>
              <w:spacing/>
              <w:ind/>
              <w:rPr/>
            </w:pPr>
            <w:r>
              <w:t xml:space="preserve">Deception and manipulation</w:t>
            </w:r>
            <w:r/>
          </w:p>
        </w:tc>
        <w:tc>
          <w:tcPr>
            <w:tcBorders/>
          </w:tcPr>
          <w:p>
            <w:pPr>
              <w:pStyle w:val="964"/>
              <w:pBdr/>
              <w:spacing/>
              <w:ind/>
              <w:rPr/>
            </w:pPr>
            <w:r>
              <w:t xml:space="preserve">Sidq, Ghish, Gharar, Wafa</w:t>
            </w:r>
            <w:r/>
          </w:p>
        </w:tc>
        <w:tc>
          <w:tcPr>
            <w:tcBorders/>
          </w:tcPr>
          <w:p>
            <w:pPr>
              <w:pStyle w:val="964"/>
              <w:pBdr/>
              <w:spacing/>
              <w:ind/>
              <w:rPr/>
            </w:pPr>
            <w:r>
              <w:t xml:space="preserve">Interfaces, marketing, reviews, pricing, and product claims must be truthful and not manipulative.</w:t>
            </w:r>
            <w:r/>
          </w:p>
        </w:tc>
      </w:tr>
      <w:tr>
        <w:trPr/>
        <w:tc>
          <w:tcPr>
            <w:tcBorders/>
          </w:tcPr>
          <w:p>
            <w:pPr>
              <w:pStyle w:val="964"/>
              <w:pBdr/>
              <w:spacing/>
              <w:ind/>
              <w:rPr/>
            </w:pPr>
            <w:r>
              <w:t xml:space="preserve">Privacy, surveillance, and data misuse</w:t>
            </w:r>
            <w:r/>
          </w:p>
        </w:tc>
        <w:tc>
          <w:tcPr>
            <w:tcBorders/>
          </w:tcPr>
          <w:p>
            <w:pPr>
              <w:pStyle w:val="964"/>
              <w:pBdr/>
              <w:spacing/>
              <w:ind/>
              <w:rPr/>
            </w:pPr>
            <w:r>
              <w:t xml:space="preserve">Amanah, avoiding Tajassus, La Darar</w:t>
            </w:r>
            <w:r/>
          </w:p>
        </w:tc>
        <w:tc>
          <w:tcPr>
            <w:tcBorders/>
          </w:tcPr>
          <w:p>
            <w:pPr>
              <w:pStyle w:val="964"/>
              <w:pBdr/>
              <w:spacing/>
              <w:ind/>
              <w:rPr/>
            </w:pPr>
            <w:r>
              <w:t xml:space="preserve">Data collection, tracking, profiling, retention, and sharing require clear necessity, safeguards, and user respect.</w:t>
            </w:r>
            <w:r/>
          </w:p>
        </w:tc>
      </w:tr>
      <w:tr>
        <w:trPr/>
        <w:tc>
          <w:tcPr>
            <w:tcBorders/>
          </w:tcPr>
          <w:p>
            <w:pPr>
              <w:pStyle w:val="964"/>
              <w:pBdr/>
              <w:spacing/>
              <w:ind/>
              <w:rPr/>
            </w:pPr>
            <w:r>
              <w:t xml:space="preserve">Lock-in, portability failure, and dependency abuse</w:t>
            </w:r>
            <w:r/>
          </w:p>
        </w:tc>
        <w:tc>
          <w:tcPr>
            <w:tcBorders/>
          </w:tcPr>
          <w:p>
            <w:pPr>
              <w:pStyle w:val="964"/>
              <w:pBdr/>
              <w:spacing/>
              <w:ind/>
              <w:rPr/>
            </w:pPr>
            <w:r>
              <w:t xml:space="preserve">Adl, Amanah, Wafa</w:t>
            </w:r>
            <w:r/>
          </w:p>
        </w:tc>
        <w:tc>
          <w:tcPr>
            <w:tcBorders/>
          </w:tcPr>
          <w:p>
            <w:pPr>
              <w:pStyle w:val="964"/>
              <w:pBdr/>
              <w:spacing/>
              <w:ind/>
              <w:rPr/>
            </w:pPr>
            <w:r>
              <w:t xml:space="preserve">Providers should review exit paths, interoperability, dependency risks, and the fairness of ecosystem control.</w:t>
            </w:r>
            <w:r/>
          </w:p>
        </w:tc>
      </w:tr>
      <w:tr>
        <w:trPr/>
        <w:tc>
          <w:tcPr>
            <w:tcBorders/>
          </w:tcPr>
          <w:p>
            <w:pPr>
              <w:pStyle w:val="964"/>
              <w:pBdr/>
              <w:spacing/>
              <w:ind/>
              <w:rPr/>
            </w:pPr>
            <w:r>
              <w:t xml:space="preserve">Exploitative monetization and pricing opacity</w:t>
            </w:r>
            <w:r/>
          </w:p>
        </w:tc>
        <w:tc>
          <w:tcPr>
            <w:tcBorders/>
          </w:tcPr>
          <w:p>
            <w:pPr>
              <w:pStyle w:val="964"/>
              <w:pBdr/>
              <w:spacing/>
              <w:ind/>
              <w:rPr/>
            </w:pPr>
            <w:r>
              <w:t xml:space="preserve">Avoiding Riba, Gharar, Ghish, La Darar</w:t>
            </w:r>
            <w:r/>
          </w:p>
        </w:tc>
        <w:tc>
          <w:tcPr>
            <w:tcBorders/>
          </w:tcPr>
          <w:p>
            <w:pPr>
              <w:pStyle w:val="964"/>
              <w:pBdr/>
              <w:spacing/>
              <w:ind/>
              <w:rPr/>
            </w:pPr>
            <w:r>
              <w:t xml:space="preserve">Revenue models require ethical review, especially where confusion, pressure, addiction, or religious guilt affect payment.</w:t>
            </w:r>
            <w:r/>
          </w:p>
        </w:tc>
      </w:tr>
      <w:tr>
        <w:trPr/>
        <w:tc>
          <w:tcPr>
            <w:tcBorders/>
          </w:tcPr>
          <w:p>
            <w:pPr>
              <w:pStyle w:val="964"/>
              <w:pBdr/>
              <w:spacing/>
              <w:ind/>
              <w:rPr/>
            </w:pPr>
            <w:r>
              <w:t xml:space="preserve">Algorithmic opacity, recommender harm, and AI hallucination</w:t>
            </w:r>
            <w:r/>
          </w:p>
        </w:tc>
        <w:tc>
          <w:tcPr>
            <w:tcBorders/>
          </w:tcPr>
          <w:p>
            <w:pPr>
              <w:pStyle w:val="964"/>
              <w:pBdr/>
              <w:spacing/>
              <w:ind/>
              <w:rPr/>
            </w:pPr>
            <w:r>
              <w:t xml:space="preserve">Amanah, Sidq, Adl, La Darar</w:t>
            </w:r>
            <w:r/>
          </w:p>
        </w:tc>
        <w:tc>
          <w:tcPr>
            <w:tcBorders/>
          </w:tcPr>
          <w:p>
            <w:pPr>
              <w:pStyle w:val="964"/>
              <w:pBdr/>
              <w:spacing/>
              <w:ind/>
              <w:rPr/>
            </w:pPr>
            <w:r>
              <w:t xml:space="preserve">Automated systems require disclosure, source integrity, bias review, uncertainty communication, and human accountability.</w:t>
            </w:r>
            <w:r/>
          </w:p>
        </w:tc>
      </w:tr>
      <w:tr>
        <w:trPr/>
        <w:tc>
          <w:tcPr>
            <w:tcBorders/>
          </w:tcPr>
          <w:p>
            <w:pPr>
              <w:pStyle w:val="964"/>
              <w:pBdr/>
              <w:spacing/>
              <w:ind/>
              <w:rPr/>
            </w:pPr>
            <w:r>
              <w:t xml:space="preserve">Security negligence and breach responsibility</w:t>
            </w:r>
            <w:r/>
          </w:p>
        </w:tc>
        <w:tc>
          <w:tcPr>
            <w:tcBorders/>
          </w:tcPr>
          <w:p>
            <w:pPr>
              <w:pStyle w:val="964"/>
              <w:pBdr/>
              <w:spacing/>
              <w:ind/>
              <w:rPr/>
            </w:pPr>
            <w:r>
              <w:t xml:space="preserve">Amanah, La Darar, Ihsan</w:t>
            </w:r>
            <w:r/>
          </w:p>
        </w:tc>
        <w:tc>
          <w:tcPr>
            <w:tcBorders/>
          </w:tcPr>
          <w:p>
            <w:pPr>
              <w:pStyle w:val="964"/>
              <w:pBdr/>
              <w:spacing/>
              <w:ind/>
              <w:rPr/>
            </w:pPr>
            <w:r>
              <w:t xml:space="preserve">Providers who accept sensitive trust must invest in reasonable security, verification, monitoring, and incident response.</w:t>
            </w:r>
            <w:r/>
          </w:p>
        </w:tc>
      </w:tr>
      <w:tr>
        <w:trPr/>
        <w:tc>
          <w:tcPr>
            <w:tcBorders/>
          </w:tcPr>
          <w:p>
            <w:pPr>
              <w:pStyle w:val="964"/>
              <w:pBdr/>
              <w:spacing/>
              <w:ind/>
              <w:rPr/>
            </w:pPr>
            <w:r>
              <w:t xml:space="preserve">Content integrity, moderation, and community harm</w:t>
            </w:r>
            <w:r/>
          </w:p>
        </w:tc>
        <w:tc>
          <w:tcPr>
            <w:tcBorders/>
          </w:tcPr>
          <w:p>
            <w:pPr>
              <w:pStyle w:val="964"/>
              <w:pBdr/>
              <w:spacing/>
              <w:ind/>
              <w:rPr/>
            </w:pPr>
            <w:r>
              <w:t xml:space="preserve">Adl, Sidq, Haya, La Darar</w:t>
            </w:r>
            <w:r/>
          </w:p>
        </w:tc>
        <w:tc>
          <w:tcPr>
            <w:tcBorders/>
          </w:tcPr>
          <w:p>
            <w:pPr>
              <w:pStyle w:val="964"/>
              <w:pBdr/>
              <w:spacing/>
              <w:ind/>
              <w:rPr/>
            </w:pPr>
            <w:r>
              <w:t xml:space="preserve">Content systems require consistent standards, appeal paths, community-specific safeguards, and moderation accountability.</w:t>
            </w:r>
            <w:r/>
          </w:p>
        </w:tc>
      </w:tr>
      <w:tr>
        <w:trPr/>
        <w:tc>
          <w:tcPr>
            <w:tcBorders/>
          </w:tcPr>
          <w:p>
            <w:pPr>
              <w:pStyle w:val="964"/>
              <w:pBdr/>
              <w:spacing/>
              <w:ind/>
              <w:rPr/>
            </w:pPr>
            <w:r>
              <w:t xml:space="preserve">Source and provenance failure in religious or knowledge systems</w:t>
            </w:r>
            <w:r/>
          </w:p>
        </w:tc>
        <w:tc>
          <w:tcPr>
            <w:tcBorders/>
          </w:tcPr>
          <w:p>
            <w:pPr>
              <w:pStyle w:val="964"/>
              <w:pBdr/>
              <w:spacing/>
              <w:ind/>
              <w:rPr/>
            </w:pPr>
            <w:r>
              <w:t xml:space="preserve">Amanah, Sidq, Ihsan</w:t>
            </w:r>
            <w:r/>
          </w:p>
        </w:tc>
        <w:tc>
          <w:tcPr>
            <w:tcBorders/>
          </w:tcPr>
          <w:p>
            <w:pPr>
              <w:pStyle w:val="964"/>
              <w:pBdr/>
              <w:spacing/>
              <w:ind/>
              <w:rPr/>
            </w:pPr>
            <w:r>
              <w:t xml:space="preserve">Knowledge systems require citation, provenance, uncertainty labels, and caution when presenting religious or expert content.</w:t>
            </w:r>
            <w:bookmarkEnd w:id="45"/>
            <w:r/>
          </w:p>
        </w:tc>
      </w:tr>
    </w:tbl>
    <w:p>
      <w:pPr>
        <w:pStyle w:val="975"/>
        <w:pBdr/>
        <w:spacing/>
        <w:ind/>
        <w:rPr/>
      </w:pPr>
      <w:r/>
      <w:bookmarkStart w:id="48" w:name="bridge-to-i-vsd"/>
      <w:r>
        <w:t xml:space="preserve">Bridge to I-VSD</w:t>
      </w:r>
      <w:r/>
    </w:p>
    <w:p>
      <w:pPr>
        <w:pStyle w:val="963"/>
        <w:pBdr/>
        <w:spacing/>
        <w:ind/>
        <w:rPr/>
      </w:pPr>
      <w:r>
        <w:t xml:space="preserve">This section motivates the I-VSD framework by showing that software harms appear across the whole provide</w:t>
      </w:r>
      <w:r>
        <w:t xml:space="preserve">r lifecycle. A purely technical checklist would miss strategic incentives, funding choices, governance rules, moderation processes, communication patterns, and evaluation metrics. A purely theological discussion would not by itself produce design guidance.</w:t>
      </w:r>
      <w:r/>
    </w:p>
    <w:p>
      <w:pPr>
        <w:pStyle w:val="962"/>
        <w:pBdr/>
        <w:spacing/>
        <w:ind/>
        <w:rPr/>
      </w:pPr>
      <w:r>
        <w:t xml:space="preserve">The ne</w:t>
      </w:r>
      <w:r>
        <w:t xml:space="preserve">xt step is therefore to translate these Islamic principles and harm types into practical design heuristics across strategic, design, technical, operational, governance, and evaluation domains. The framework developed in Chapter 3 performs that translation.</w:t>
      </w:r>
      <w:r/>
    </w:p>
    <w:p>
      <w:pPr>
        <w:pBdr/>
        <w:spacing/>
        <w:ind/>
        <w:rPr/>
      </w:pPr>
      <w:r>
        <mc:AlternateContent>
          <mc:Choice Requires="wpg">
            <w:drawing>
              <wp:inline xmlns:wp="http://schemas.openxmlformats.org/drawingml/2006/wordprocessingDrawing" distT="0" distB="0" distL="0" distR="0">
                <wp:extent cx="0" cy="19050"/>
                <wp:effectExtent l="0" t="0" r="0" b="0"/>
                <wp:docPr id="2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7" o:spid="_x0000_s27"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47" w:name="X7dcae3f69aafb8fa0e1d678494cbf28d26d3f36"/>
      <w:r>
        <w:t xml:space="preserve">2.1.4 Case Studies: The Business Case for Value-Driven Approach</w:t>
      </w:r>
      <w:r/>
    </w:p>
    <w:p>
      <w:pPr>
        <w:pStyle w:val="963"/>
        <w:pBdr/>
        <w:spacing/>
        <w:ind/>
        <w:rPr/>
      </w:pPr>
      <w:r>
        <w:t xml:space="preserve">The previous sections documented numerous unethical practices. This section presents evidence that ethical, value-driven approaches are not only morally superior but also commercially successful.</w:t>
      </w:r>
      <w:r/>
    </w:p>
    <w:p>
      <w:pPr>
        <w:pStyle w:val="977"/>
        <w:pBdr/>
        <w:spacing/>
        <w:ind/>
        <w:rPr/>
      </w:pPr>
      <w:r/>
      <w:bookmarkStart w:id="46" w:name="X485b93b6f703bf7182f5b7bda9fd515ef1d52ab"/>
      <w:r>
        <w:t xml:space="preserve">Additional example: MonoGame and community support for open-source infrastructure</w:t>
      </w:r>
      <w:r/>
    </w:p>
    <w:p>
      <w:pPr>
        <w:pStyle w:val="963"/>
        <w:pBdr/>
        <w:spacing/>
        <w:ind/>
        <w:rPr/>
      </w:pPr>
      <w:r>
        <w:t xml:space="preserve">Mon</w:t>
      </w:r>
      <w:r>
        <w:t xml:space="preserve">oGame illustrates how value-aligned open-source infrastructure can attract support from beneficiaries of the ecosystem. MonoGame, an open-source C# framework and successor to Microsoft’s XNA tradition, announced in 2025 that ConcernedApe, the developer of </w:t>
      </w:r>
      <w:r>
        <w:rPr>
          <w:i/>
          <w:iCs/>
        </w:rPr>
        <w:t xml:space="preserve">Stardew Valley</w:t>
      </w:r>
      <w:r>
        <w:t xml:space="preserve">, made a $125,000 initial donation and an ongoing monthly commitment. MonoGame framed this support as helping ensure that it remains an open-source C# framework that game developers of all sizes can rely on.</w:t>
      </w:r>
      <w:r/>
    </w:p>
    <w:p>
      <w:pPr>
        <w:pStyle w:val="962"/>
        <w:pBdr/>
        <w:spacing/>
        <w:ind/>
        <w:rPr/>
      </w:pPr>
      <w:r>
        <w:t xml:space="preserve">The case is especially relevant because this was not an isolated do</w:t>
      </w:r>
      <w:r>
        <w:t xml:space="preserve">nation story. After the Unity runtime-fee controversy, Re-Logic publicly committed large donations to open alternatives such as Godot and FNA and also expressed support for MonoGame once its foundation structure was ready. The precise institutional details</w:t>
      </w:r>
      <w:r>
        <w:t xml:space="preserve"> should be cited carefully, but the pattern is clear enough for this thesis: when proprietary platforms break trust or create dependency risk, open and community-oriented infrastructure can become more valuable to developers who need credible alternatives.</w:t>
      </w:r>
      <w:r/>
    </w:p>
    <w:p>
      <w:pPr>
        <w:pStyle w:val="962"/>
        <w:pBdr/>
        <w:spacing/>
        <w:ind/>
        <w:rPr/>
      </w:pPr>
      <w:r>
        <w:t xml:space="preserve">This does not establish that ethical conduct guarantees funding. Many morally valuable projects remain underfunded, and community support can be unpredictable. The narr</w:t>
      </w:r>
      <w:r>
        <w:t xml:space="preserve">ower business lesson is that value-driven infrastructure can be more “helpable.” A company or project that has earned trust, serves a real commons, communicates transparently, and does not trap users only through lock-in may attract donations, contribution</w:t>
      </w:r>
      <w:r>
        <w:t xml:space="preserve">s, advocacy, and institutional support in moments of ecosystem stress. Immoral competitors may be powerful, but their support base can be shallow when trust collapses; ethical alternatives can sometimes draw strength from the very community they protected.</w:t>
      </w:r>
      <w:r/>
    </w:p>
    <w:p>
      <w:pPr>
        <w:pBdr/>
        <w:spacing/>
        <w:ind/>
        <w:rPr/>
      </w:pPr>
      <w:r>
        <mc:AlternateContent>
          <mc:Choice Requires="wpg">
            <w:drawing>
              <wp:inline xmlns:wp="http://schemas.openxmlformats.org/drawingml/2006/wordprocessingDrawing" distT="0" distB="0" distL="0" distR="0">
                <wp:extent cx="0" cy="19050"/>
                <wp:effectExtent l="0" t="0" r="0" b="0"/>
                <wp:docPr id="2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8" o:spid="_x0000_s28" o:spt="1" type="#_x0000_t1" style="width:0.00pt;height:1.50pt;mso-wrap-distance-left:0.00pt;mso-wrap-distance-top:0.00pt;mso-wrap-distance-right:0.00pt;mso-wrap-distance-bottom:0.00pt;visibility:visible;" fillcolor="#FFFFFF" strokecolor="#000000"/>
            </w:pict>
          </mc:Fallback>
        </mc:AlternateContent>
      </w:r>
      <w:bookmarkEnd w:id="46"/>
      <w:bookmarkEnd w:id="47"/>
      <w:bookmarkEnd w:id="48"/>
      <w:r/>
    </w:p>
    <w:p>
      <w:pPr>
        <w:pStyle w:val="975"/>
        <w:pBdr/>
        <w:spacing/>
        <w:ind/>
        <w:rPr/>
      </w:pPr>
      <w:r/>
      <w:bookmarkStart w:id="69" w:name="Xd37aea07a3ffdac971327d733741f242b30216d"/>
      <w:r>
        <w:t xml:space="preserve">3. Methodology: Developing the I-VSD Framework</w:t>
      </w:r>
      <w:r/>
    </w:p>
    <w:p>
      <w:pPr>
        <w:pStyle w:val="963"/>
        <w:pBdr/>
        <w:spacing/>
        <w:ind/>
        <w:rPr/>
      </w:pPr>
      <w:r>
        <w:t xml:space="preserve">This chapter presents the methodology for synthesizing Value-Sensitive Design with Islamic ethical principles to create a practical Is</w:t>
      </w:r>
      <w:r>
        <w:t xml:space="preserve">lamic Value-Sensitive Design (I-VSD) framework. It begins with the research design and approach (Section 3.1), followed by the framework synthesis process (Section 3.2), and concludes with the translation of principles into design heuristics (Section 3.3).</w:t>
      </w:r>
      <w:r/>
    </w:p>
    <w:p>
      <w:pPr>
        <w:pBdr/>
        <w:spacing/>
        <w:ind/>
        <w:rPr/>
      </w:pPr>
      <w:r>
        <mc:AlternateContent>
          <mc:Choice Requires="wpg">
            <w:drawing>
              <wp:inline xmlns:wp="http://schemas.openxmlformats.org/drawingml/2006/wordprocessingDrawing" distT="0" distB="0" distL="0" distR="0">
                <wp:extent cx="0" cy="19050"/>
                <wp:effectExtent l="0" t="0" r="0" b="0"/>
                <wp:docPr id="3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29" o:spid="_x0000_s29"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53" w:name="research-design-and-approach"/>
      <w:r>
        <w:t xml:space="preserve">3.1 Research Design and Approach</w:t>
      </w:r>
      <w:r/>
    </w:p>
    <w:p>
      <w:pPr>
        <w:pBdr/>
        <w:spacing/>
        <w:ind/>
        <w:rPr/>
      </w:pPr>
      <w:r>
        <mc:AlternateContent>
          <mc:Choice Requires="wpg">
            <w:drawing>
              <wp:inline xmlns:wp="http://schemas.openxmlformats.org/drawingml/2006/wordprocessingDrawing" distT="0" distB="0" distL="0" distR="0">
                <wp:extent cx="0" cy="19050"/>
                <wp:effectExtent l="0" t="0" r="0" b="0"/>
                <wp:docPr id="3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0" o:spid="_x0000_s30"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49" w:name="overall-research-design"/>
      <w:r>
        <w:t xml:space="preserve">3.1.1 Overall Research Design</w:t>
      </w:r>
      <w:r/>
    </w:p>
    <w:p>
      <w:pPr>
        <w:pStyle w:val="963"/>
        <w:pBdr/>
        <w:spacing/>
        <w:ind/>
        <w:rPr/>
      </w:pPr>
      <w:r>
        <w:t xml:space="preserve">This research uses a constructive framework-development design. It develops an artifact, the Islamic Value-Sensitive Design (I-VSD) framework, to address an identi</w:t>
      </w:r>
      <w:r>
        <w:t xml:space="preserve">fied problem: the lack of systematic Islamic ethical guidance for provider-mediated software solutions. The approach integrates elements of Design Science Research, normative ethics research, Value-Sensitive Design, and illustrative case-study application.</w:t>
      </w:r>
      <w:r/>
    </w:p>
    <w:p>
      <w:pPr>
        <w:pStyle w:val="962"/>
        <w:pBdr/>
        <w:spacing/>
        <w:ind/>
        <w:rPr/>
      </w:pPr>
      <w:r>
        <w:rPr>
          <w:b/>
          <w:bCs/>
        </w:rPr>
        <w:t xml:space="preserve">Design Science Research:</w:t>
      </w:r>
      <w:r>
        <w:t xml:space="preserve"> Following the logic of artifact development, this thesis creates a fram</w:t>
      </w:r>
      <w:r>
        <w:t xml:space="preserve">ework intended to structure ethical design reasoning. The framework is assessed through internal coherence, traceability from principles to heuristics, and case-based application. This provides initial design evidence rather than full empirical validation.</w:t>
      </w:r>
      <w:r/>
    </w:p>
    <w:p>
      <w:pPr>
        <w:pStyle w:val="962"/>
        <w:pBdr/>
        <w:spacing/>
        <w:ind/>
        <w:rPr/>
      </w:pPr>
      <w:r>
        <w:rPr>
          <w:b/>
          <w:bCs/>
        </w:rPr>
        <w:t xml:space="preserve">Normative Ethics Research:</w:t>
      </w:r>
      <w:r>
        <w:t xml:space="preserve"> Unlike descriptive research that only documents existing practi</w:t>
      </w:r>
      <w:r>
        <w:t xml:space="preserve">ces, this thesis asks what provider-mediated software design should look like when guided by selected Sunni Islamic principles. The framework is therefore prescriptive, but its prescriptions are limited to the principles and sources selected in this study.</w:t>
      </w:r>
      <w:r/>
    </w:p>
    <w:p>
      <w:pPr>
        <w:pStyle w:val="962"/>
        <w:pBdr/>
        <w:spacing/>
        <w:ind/>
        <w:rPr/>
      </w:pPr>
      <w:r>
        <w:rPr>
          <w:b/>
          <w:bCs/>
        </w:rPr>
        <w:t xml:space="preserve">Value-Sensitive Design:</w:t>
      </w:r>
      <w:r>
        <w:t xml:space="preserve"> VSD provides the methodological refere</w:t>
      </w:r>
      <w:r>
        <w:t xml:space="preserve">nce point for connecting values to design. This thesis adapts VSD’s conceptual, empirical, and technical concerns by giving Islamic ethical sources a central role in value selection and by translating those values into practical software-design heuristics.</w:t>
      </w:r>
      <w:r/>
    </w:p>
    <w:p>
      <w:pPr>
        <w:pStyle w:val="962"/>
        <w:pBdr/>
        <w:spacing/>
        <w:ind/>
        <w:rPr/>
      </w:pPr>
      <w:r>
        <w:rPr>
          <w:b/>
          <w:bCs/>
        </w:rPr>
        <w:t xml:space="preserve">Illustrative Case Application:</w:t>
      </w:r>
      <w:r>
        <w:t xml:space="preserve"> ISLAMU Event is used as a sing</w:t>
      </w:r>
      <w:r>
        <w:t xml:space="preserve">le worked case showing how I-VSD can structure decisions in one provider-mediated software context. The case illustrates practical application and identifies areas requiring refinement, but it does not validate the framework across all software categories.</w:t>
      </w:r>
      <w:r/>
    </w:p>
    <w:p>
      <w:pPr>
        <w:pBdr/>
        <w:spacing/>
        <w:ind/>
        <w:rPr/>
      </w:pPr>
      <w:r>
        <mc:AlternateContent>
          <mc:Choice Requires="wpg">
            <w:drawing>
              <wp:inline xmlns:wp="http://schemas.openxmlformats.org/drawingml/2006/wordprocessingDrawing" distT="0" distB="0" distL="0" distR="0">
                <wp:extent cx="0" cy="19050"/>
                <wp:effectExtent l="0" t="0" r="0" b="0"/>
                <wp:docPr id="3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1" o:spid="_x0000_s31" o:spt="1" type="#_x0000_t1" style="width:0.00pt;height:1.50pt;mso-wrap-distance-left:0.00pt;mso-wrap-distance-top:0.00pt;mso-wrap-distance-right:0.00pt;mso-wrap-distance-bottom:0.00pt;visibility:visible;" fillcolor="#FFFFFF" strokecolor="#000000"/>
            </w:pict>
          </mc:Fallback>
        </mc:AlternateContent>
      </w:r>
      <w:bookmarkEnd w:id="49"/>
      <w:r/>
    </w:p>
    <w:p>
      <w:pPr>
        <w:pStyle w:val="977"/>
        <w:pBdr/>
        <w:spacing/>
        <w:ind/>
        <w:rPr/>
      </w:pPr>
      <w:r/>
      <w:bookmarkStart w:id="50" w:name="research-phases"/>
      <w:r>
        <w:t xml:space="preserve">3.1.2 Research Phases</w:t>
      </w:r>
      <w:r/>
    </w:p>
    <w:p>
      <w:pPr>
        <w:pStyle w:val="963"/>
        <w:pBdr/>
        <w:spacing/>
        <w:ind/>
        <w:rPr/>
      </w:pPr>
      <w:r>
        <w:t xml:space="preserve">The research proceeded through four sequential phases:</w:t>
      </w:r>
      <w:r/>
    </w:p>
    <w:p>
      <w:pPr>
        <w:pStyle w:val="962"/>
        <w:pBdr/>
        <w:spacing/>
        <w:ind/>
        <w:rPr/>
      </w:pPr>
      <w:r>
        <w:rPr>
          <w:b/>
          <w:bCs/>
        </w:rPr>
        <w:t xml:space="preserve">Phase 1: Problem Framing and Harm Typology.</w:t>
      </w:r>
      <w:r>
        <w:t xml:space="preserve"> This phase identified representative ethical harms in provider-mediated software solutions, including deception, privacy violations, lock-in, exploitative monetization, algorithm</w:t>
      </w:r>
      <w:r>
        <w:t xml:space="preserve">ic opacity, security negligence, content-integrity failures, and source/provenance failures. These examples establish the practical need for moral design guidance, but they are not intended to be an exhaustive catalogue of all software industry misconduct.</w:t>
      </w:r>
      <w:r/>
    </w:p>
    <w:p>
      <w:pPr>
        <w:pStyle w:val="962"/>
        <w:pBdr/>
        <w:spacing/>
        <w:ind/>
        <w:rPr/>
      </w:pPr>
      <w:r>
        <w:rPr>
          <w:b/>
          <w:bCs/>
        </w:rPr>
        <w:t xml:space="preserve">Phase 2: Framework Development.</w:t>
      </w:r>
      <w:r>
        <w:t xml:space="preserve"> This phase synthesized selected Sunni Islamic ethical principles with VSD metho</w:t>
      </w:r>
      <w:r>
        <w:t xml:space="preserve">dology to create the I-VSD framework. The process involved source selection, principle mapping, development of actionable heuristics, and organization of those heuristics across strategic, design, technical, operational, governance, and evaluation domains.</w:t>
      </w:r>
      <w:r/>
    </w:p>
    <w:p>
      <w:pPr>
        <w:pStyle w:val="962"/>
        <w:pBdr/>
        <w:spacing/>
        <w:ind/>
        <w:rPr/>
      </w:pPr>
      <w:r>
        <w:rPr>
          <w:b/>
          <w:bCs/>
        </w:rPr>
        <w:t xml:space="preserve">Phase 3: Illustrative Case Application.</w:t>
      </w:r>
      <w:r>
        <w:t xml:space="preserve"> The framework was applied to ISLA</w:t>
      </w:r>
      <w:r>
        <w:t xml:space="preserve">MU Event as one worked example of provider-mediated software design. This phase shows how the framework can structure strategic, technical, operational, and governance decisions in a concrete case while identifying areas that require further clarification.</w:t>
      </w:r>
      <w:r/>
    </w:p>
    <w:p>
      <w:pPr>
        <w:pStyle w:val="962"/>
        <w:pBdr/>
        <w:spacing/>
        <w:ind/>
        <w:rPr/>
      </w:pPr>
      <w:r>
        <w:rPr>
          <w:b/>
          <w:bCs/>
        </w:rPr>
        <w:t xml:space="preserve">Phase 4: Analysis, Limitations, and Future Validation.</w:t>
      </w:r>
      <w:r>
        <w:t xml:space="preserve"> The final phase analyzes what the case application illustrates, documents limitations, engages with potential objections, and proposes future validation through additional cases, practitioner review, stakeholder research, and operational evaluation.</w:t>
      </w:r>
      <w:r/>
    </w:p>
    <w:p>
      <w:pPr>
        <w:pBdr/>
        <w:spacing/>
        <w:ind/>
        <w:rPr/>
      </w:pPr>
      <w:r>
        <mc:AlternateContent>
          <mc:Choice Requires="wpg">
            <w:drawing>
              <wp:inline xmlns:wp="http://schemas.openxmlformats.org/drawingml/2006/wordprocessingDrawing" distT="0" distB="0" distL="0" distR="0">
                <wp:extent cx="0" cy="19050"/>
                <wp:effectExtent l="0" t="0" r="0" b="0"/>
                <wp:docPr id="3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2" o:spid="_x0000_s32" o:spt="1" type="#_x0000_t1" style="width:0.00pt;height:1.50pt;mso-wrap-distance-left:0.00pt;mso-wrap-distance-top:0.00pt;mso-wrap-distance-right:0.00pt;mso-wrap-distance-bottom:0.00pt;visibility:visible;" fillcolor="#FFFFFF" strokecolor="#000000"/>
            </w:pict>
          </mc:Fallback>
        </mc:AlternateContent>
      </w:r>
      <w:bookmarkEnd w:id="50"/>
      <w:r/>
    </w:p>
    <w:p>
      <w:pPr>
        <w:pStyle w:val="977"/>
        <w:pBdr/>
        <w:spacing/>
        <w:ind/>
        <w:rPr/>
      </w:pPr>
      <w:r/>
      <w:bookmarkStart w:id="51" w:name="source-selection-and-analysis"/>
      <w:r>
        <w:t xml:space="preserve">3.1.3 Source Selection and Analysis</w:t>
      </w:r>
      <w:r/>
    </w:p>
    <w:p>
      <w:pPr>
        <w:pStyle w:val="963"/>
        <w:pBdr/>
        <w:spacing/>
        <w:ind/>
        <w:rPr/>
      </w:pPr>
      <w:r>
        <w:rPr>
          <w:b/>
          <w:bCs/>
        </w:rPr>
        <w:t xml:space="preserve">Islamic Source Selection Criteria:</w:t>
      </w:r>
      <w:r>
        <w:br/>
      </w:r>
      <w:r>
        <w:t xml:space="preserve">Islamic sources were selected based on authority (recognition within the Sunni scholarly tradition), relevance (applicability to s</w:t>
      </w:r>
      <w:r>
        <w:t xml:space="preserve">oftware design, professional responsibility, commerce, privacy, trust, and harm prevention), clarity (accessibility for translation into design guidance), and scholarly caution (preference for widely accepted principles over highly contested applications).</w:t>
      </w:r>
      <w:r/>
    </w:p>
    <w:p>
      <w:pPr>
        <w:pStyle w:val="962"/>
        <w:pBdr/>
        <w:spacing/>
        <w:ind/>
        <w:rPr/>
      </w:pPr>
      <w:r>
        <w:t xml:space="preserve">Primary sources include the Quran and authenticated Hadith collections. Secondary sources include classical scholarship, especially works addressing commercial ethics and interpersonal obligations, and contemporary</w:t>
      </w:r>
      <w:r>
        <w:t xml:space="preserve"> scholarship or fatwa resources when they clarify technology-related questions. The thesis does not claim to resolve all jurisprudential disagreement; it selects principles that can responsibly guide software-design reasoning within the stated Sunni scope.</w:t>
      </w:r>
      <w:r/>
    </w:p>
    <w:p>
      <w:pPr>
        <w:pStyle w:val="962"/>
        <w:pBdr/>
        <w:spacing/>
        <w:ind/>
        <w:rPr/>
      </w:pPr>
      <w:r>
        <w:rPr>
          <w:b/>
          <w:bCs/>
        </w:rPr>
        <w:t xml:space="preserve">Industry Evidence Collection:</w:t>
      </w:r>
      <w:r>
        <w:br/>
      </w:r>
      <w:r>
        <w:t xml:space="preserve">Documentation of software industry harms drew from a</w:t>
      </w:r>
      <w:r>
        <w:t xml:space="preserve">cademic research, industry analysis, investigative reporting, primary observation, and community documentation. These sources are used to identify representative design problems and value tensions, not to produce an exhaustive state-of-the-industry report.</w:t>
      </w:r>
      <w:r/>
    </w:p>
    <w:p>
      <w:pPr>
        <w:pStyle w:val="962"/>
        <w:pBdr/>
        <w:spacing/>
        <w:ind/>
        <w:rPr/>
      </w:pPr>
      <w:r>
        <w:rPr>
          <w:b/>
          <w:bCs/>
        </w:rPr>
        <w:t xml:space="preserve">Evidence-Level Distinction:</w:t>
      </w:r>
      <w:r>
        <w:br/>
      </w:r>
      <w:r>
        <w:t xml:space="preserve">The thesis distinguishes conceptual claims, design claims, illustrative case claims, empirical claims, and future-work claims. Conceptual and design claims may be supported by Islamic sources, VSD literature, framework tables, and desig</w:t>
      </w:r>
      <w:r>
        <w:t xml:space="preserve">n reasoning. Empirical claims require stronger evidence such as stakeholder research, operational data, audits, interviews, surveys, or independent application. Where such evidence is absent, claims are framed as illustrative or as future validation needs.</w:t>
      </w:r>
      <w:r/>
    </w:p>
    <w:p>
      <w:pPr>
        <w:pBdr/>
        <w:spacing/>
        <w:ind/>
        <w:rPr/>
      </w:pPr>
      <w:r>
        <mc:AlternateContent>
          <mc:Choice Requires="wpg">
            <w:drawing>
              <wp:inline xmlns:wp="http://schemas.openxmlformats.org/drawingml/2006/wordprocessingDrawing" distT="0" distB="0" distL="0" distR="0">
                <wp:extent cx="0" cy="19050"/>
                <wp:effectExtent l="0" t="0" r="0" b="0"/>
                <wp:docPr id="3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3" o:spid="_x0000_s33" o:spt="1" type="#_x0000_t1" style="width:0.00pt;height:1.50pt;mso-wrap-distance-left:0.00pt;mso-wrap-distance-top:0.00pt;mso-wrap-distance-right:0.00pt;mso-wrap-distance-bottom:0.00pt;visibility:visible;" fillcolor="#FFFFFF" strokecolor="#000000"/>
            </w:pict>
          </mc:Fallback>
        </mc:AlternateContent>
      </w:r>
      <w:bookmarkEnd w:id="51"/>
      <w:r/>
    </w:p>
    <w:p>
      <w:pPr>
        <w:pStyle w:val="977"/>
        <w:pBdr/>
        <w:spacing/>
        <w:ind/>
        <w:rPr/>
      </w:pPr>
      <w:r/>
      <w:bookmarkStart w:id="52" w:name="methodological-limitations"/>
      <w:r>
        <w:t xml:space="preserve">3.1.4 Methodological Limitations</w:t>
      </w:r>
      <w:r/>
    </w:p>
    <w:p>
      <w:pPr>
        <w:pStyle w:val="963"/>
        <w:pBdr/>
        <w:spacing/>
        <w:ind/>
        <w:rPr/>
      </w:pPr>
      <w:r>
        <w:t xml:space="preserve">Several methodological limitations should be acknowledged:</w:t>
      </w:r>
      <w:r/>
    </w:p>
    <w:p>
      <w:pPr>
        <w:pStyle w:val="962"/>
        <w:pBdr/>
        <w:spacing/>
        <w:ind/>
        <w:rPr/>
      </w:pPr>
      <w:r>
        <w:rPr>
          <w:b/>
          <w:bCs/>
        </w:rPr>
        <w:t xml:space="preserve">Sectarian Scope:</w:t>
      </w:r>
      <w:r>
        <w:t xml:space="preserve"> The framework draws specif</w:t>
      </w:r>
      <w:r>
        <w:t xml:space="preserve">ically from Sunni Islamic scholarship. Application within Shia or other Islamic traditions may require adaptation. This scope reflects the author’s background and the majority tradition within Islam, not a claim that alternative perspectives lack validity.</w:t>
      </w:r>
      <w:r/>
    </w:p>
    <w:p>
      <w:pPr>
        <w:pStyle w:val="962"/>
        <w:pBdr/>
        <w:spacing/>
        <w:ind/>
        <w:rPr/>
      </w:pPr>
      <w:r>
        <w:rPr>
          <w:b/>
          <w:bCs/>
        </w:rPr>
        <w:t xml:space="preserve">Scholarly Consultation:</w:t>
      </w:r>
      <w:r>
        <w:t xml:space="preserve"> While drawing on established scholarly sources, the framework has not received formal review by contemporary Islamic scholars. Such consultation would strengthen framework validity and is recommended for future development.</w:t>
      </w:r>
      <w:r/>
    </w:p>
    <w:p>
      <w:pPr>
        <w:pStyle w:val="962"/>
        <w:pBdr/>
        <w:spacing/>
        <w:ind/>
        <w:rPr/>
      </w:pPr>
      <w:r>
        <w:rPr>
          <w:b/>
          <w:bCs/>
        </w:rPr>
        <w:t xml:space="preserve">Single Case Application and Positionality:</w:t>
      </w:r>
      <w:r>
        <w:t xml:space="preserve"> ISLAMU Event is a single illu</w:t>
      </w:r>
      <w:r>
        <w:t xml:space="preserve">strative case, and the framework is self-applied by Amir as founder of ISLAMU and solo developer of ISLAMU Event rather than by independent practitioners. This transparency strengthens the traceability of design reasoning, but it also introduces risks of c</w:t>
      </w:r>
      <w:r>
        <w:t xml:space="preserve">onfirmation bias, founder optimism, self-justification, and marketing tone. The case provides implementation-traceability evidence that the framework can structure design reasoning; it does not establish broad generalizability or full empirical validation.</w:t>
      </w:r>
      <w:r/>
    </w:p>
    <w:p>
      <w:pPr>
        <w:pStyle w:val="962"/>
        <w:pBdr/>
        <w:spacing/>
        <w:ind/>
        <w:rPr/>
      </w:pPr>
      <w:r>
        <w:rPr>
          <w:b/>
          <w:bCs/>
        </w:rPr>
        <w:t xml:space="preserve">Limited Empirical Investigation:</w:t>
      </w:r>
      <w:r>
        <w:t xml:space="preserve"> VSD often includes empirical investigation of stake</w:t>
      </w:r>
      <w:r>
        <w:t xml:space="preserve">holder values and experiences. This thesis primarily develops a conceptual and design framework. Stakeholder interviews, surveys, usability studies, deployment data, audits, or independent practitioner evaluations would provide stronger empirical evidence.</w:t>
      </w:r>
      <w:r/>
    </w:p>
    <w:p>
      <w:pPr>
        <w:pStyle w:val="962"/>
        <w:pBdr/>
        <w:spacing/>
        <w:ind/>
        <w:rPr/>
      </w:pPr>
      <w:r>
        <w:rPr>
          <w:b/>
          <w:bCs/>
        </w:rPr>
        <w:t xml:space="preserve">Implementation Status:</w:t>
      </w:r>
      <w:r>
        <w:t xml:space="preserve"> The case study draws on current ISLAMU Event repository, documentation, and desi</w:t>
      </w:r>
      <w:r>
        <w:t xml:space="preserve">gn evidence alongside future-oriented plans. This improves the case beyond a purely speculative design exercise, but operational experience would provide stronger evidence about usability, trust, sustainability, maintenance, and long-term ethical outcomes.</w:t>
      </w:r>
      <w:r/>
    </w:p>
    <w:p>
      <w:pPr>
        <w:pStyle w:val="962"/>
        <w:pBdr/>
        <w:spacing/>
        <w:ind/>
        <w:rPr/>
      </w:pPr>
      <w:r>
        <w:rPr>
          <w:b/>
          <w:bCs/>
        </w:rPr>
        <w:t xml:space="preserve">Scope Refinement and Software-Lifecycle Focus:</w:t>
      </w:r>
      <w:r>
        <w:t xml:space="preserve"> Supervisory feedback shaped the thesis by narrowing an i</w:t>
      </w:r>
      <w:r>
        <w:t xml:space="preserve">nitially broad ethical/business ambition toward a more explicitly IT-centered contribution. The final framing therefore emphasizes the software development lifecycle, implementation decisions, and practical design heuristics rather than promising a complet</w:t>
      </w:r>
      <w:r>
        <w:t xml:space="preserve">e organizational, internship, or employment model. This limitation is constructive: it keeps the research question, subquestions, and case study aligned with a bachelor-level software thesis while leaving broader organizational development for future work.</w:t>
      </w:r>
      <w:r/>
    </w:p>
    <w:p>
      <w:pPr>
        <w:pStyle w:val="962"/>
        <w:pBdr/>
        <w:spacing/>
        <w:ind/>
        <w:rPr/>
      </w:pPr>
      <w:r>
        <w:t xml:space="preserve">These limitations are inherent to the scope of a bachelor thesis and define directions for future research rather than invalidating the framework itself.</w:t>
      </w:r>
      <w:r/>
    </w:p>
    <w:p>
      <w:pPr>
        <w:pBdr/>
        <w:spacing/>
        <w:ind/>
        <w:rPr/>
      </w:pPr>
      <w:r>
        <mc:AlternateContent>
          <mc:Choice Requires="wpg">
            <w:drawing>
              <wp:inline xmlns:wp="http://schemas.openxmlformats.org/drawingml/2006/wordprocessingDrawing" distT="0" distB="0" distL="0" distR="0">
                <wp:extent cx="0" cy="19050"/>
                <wp:effectExtent l="0" t="0" r="0" b="0"/>
                <wp:docPr id="3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4" o:spid="_x0000_s34" o:spt="1" type="#_x0000_t1" style="width:0.00pt;height:1.50pt;mso-wrap-distance-left:0.00pt;mso-wrap-distance-top:0.00pt;mso-wrap-distance-right:0.00pt;mso-wrap-distance-bottom:0.00pt;visibility:visible;" fillcolor="#FFFFFF" strokecolor="#000000"/>
            </w:pict>
          </mc:Fallback>
        </mc:AlternateContent>
      </w:r>
      <w:bookmarkEnd w:id="52"/>
      <w:bookmarkEnd w:id="53"/>
      <w:r/>
    </w:p>
    <w:p>
      <w:pPr>
        <w:pStyle w:val="976"/>
        <w:pBdr/>
        <w:spacing/>
        <w:ind/>
        <w:rPr/>
      </w:pPr>
      <w:r/>
      <w:bookmarkStart w:id="60" w:name="X6f0674a20ec5ae000ec6f307b2dfcd65f09f688"/>
      <w:r>
        <w:t xml:space="preserve">3.2 Synthesizing a New Model: The Islamic Value-Sensitive Design (I-VSD) Framework</w:t>
      </w:r>
      <w:r/>
    </w:p>
    <w:p>
      <w:pPr>
        <w:pStyle w:val="963"/>
        <w:pBdr/>
        <w:spacing/>
        <w:ind/>
        <w:rPr/>
      </w:pPr>
      <w:r>
        <w:t xml:space="preserve">This section presents the central I-VSD framework artifact. It synthesizes Value-Sensitive Design with selected Sunni Islamic ethical principles in order to support moral design reasoning for provider-mediated software solutions.</w:t>
      </w:r>
      <w:r/>
    </w:p>
    <w:p>
      <w:pPr>
        <w:pStyle w:val="962"/>
        <w:pBdr/>
        <w:spacing/>
        <w:ind/>
        <w:rPr/>
      </w:pPr>
      <w:r>
        <w:t xml:space="preserve">The framework is reusable rather than product-specific. It is intended to help software providers translate ethical principles</w:t>
      </w:r>
      <w:r>
        <w:t xml:space="preserve"> into strategic, design, technical, operational, governance, and evaluation heuristics. It does not replace scholarly Islamic judgement, stakeholder research, or empirical evaluation; rather, it structures the design questions that such work should answer.</w:t>
      </w:r>
      <w:r/>
    </w:p>
    <w:p>
      <w:pPr>
        <w:pBdr/>
        <w:spacing/>
        <w:ind/>
        <w:rPr/>
      </w:pPr>
      <w:r>
        <mc:AlternateContent>
          <mc:Choice Requires="wpg">
            <w:drawing>
              <wp:inline xmlns:wp="http://schemas.openxmlformats.org/drawingml/2006/wordprocessingDrawing" distT="0" distB="0" distL="0" distR="0">
                <wp:extent cx="0" cy="19050"/>
                <wp:effectExtent l="0" t="0" r="0" b="0"/>
                <wp:docPr id="3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5" o:spid="_x0000_s35"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54" w:name="framework-development-process"/>
      <w:r>
        <w:t xml:space="preserve">3.2.1 Framework Development Process</w:t>
      </w:r>
      <w:r/>
    </w:p>
    <w:p>
      <w:pPr>
        <w:pStyle w:val="963"/>
        <w:pBdr/>
        <w:spacing/>
        <w:ind/>
        <w:rPr/>
      </w:pPr>
      <w:r>
        <w:t xml:space="preserve">The I-VSD framework is developed through a constructive framework-development process. The goal is not to establis</w:t>
      </w:r>
      <w:r>
        <w:t xml:space="preserve">h broad empirical support for the framework in this thesis, but to translate selected Islamic ethical principles into a reusable design-reasoning structure that can later be tested through additional cases, stakeholder research, and operational evaluation.</w:t>
      </w:r>
      <w:r/>
    </w:p>
    <w:p>
      <w:pPr>
        <w:numPr>
          <w:ilvl w:val="0"/>
          <w:numId w:val="26"/>
        </w:numPr>
        <w:pBdr/>
        <w:spacing/>
        <w:ind/>
        <w:rPr/>
      </w:pPr>
      <w:r>
        <w:rPr>
          <w:b/>
          <w:bCs/>
        </w:rPr>
        <w:t xml:space="preserve">Conceptual grounding:</w:t>
      </w:r>
      <w:r>
        <w:t xml:space="preserve"> Select Islamic principles that are directly relevant to software-provider responsibility, including trust, truthfulness, justice, harm prevention, privacy, contractual clarity, and excellence.</w:t>
      </w:r>
      <w:r/>
    </w:p>
    <w:p>
      <w:pPr>
        <w:numPr>
          <w:ilvl w:val="0"/>
          <w:numId w:val="26"/>
        </w:numPr>
        <w:pBdr/>
        <w:spacing/>
        <w:ind/>
        <w:rPr/>
      </w:pPr>
      <w:r>
        <w:rPr>
          <w:b/>
          <w:bCs/>
        </w:rPr>
        <w:t xml:space="preserve">Problem framing:</w:t>
      </w:r>
      <w:r>
        <w:t xml:space="preserve"> Use representative software harms to identify recurring value tensions such as deception, surveillance, lock-in, exploitative monetization, algorithmic opacity, security negligence, moderation failure, and source-provenance failure.</w:t>
      </w:r>
      <w:r/>
    </w:p>
    <w:p>
      <w:pPr>
        <w:numPr>
          <w:ilvl w:val="0"/>
          <w:numId w:val="26"/>
        </w:numPr>
        <w:pBdr/>
        <w:spacing/>
        <w:ind/>
        <w:rPr/>
      </w:pPr>
      <w:r>
        <w:rPr>
          <w:b/>
          <w:bCs/>
        </w:rPr>
        <w:t xml:space="preserve">Value mapping:</w:t>
      </w:r>
      <w:r>
        <w:t xml:space="preserve"> Translate each selected principle into questions for strategic, design, technical, operational, governance, and evaluation decisions.</w:t>
      </w:r>
      <w:r/>
    </w:p>
    <w:p>
      <w:pPr>
        <w:numPr>
          <w:ilvl w:val="0"/>
          <w:numId w:val="26"/>
        </w:numPr>
        <w:pBdr/>
        <w:spacing/>
        <w:ind/>
        <w:rPr/>
      </w:pPr>
      <w:r>
        <w:rPr>
          <w:b/>
          <w:bCs/>
        </w:rPr>
        <w:t xml:space="preserve">Heuristic formulation:</w:t>
      </w:r>
      <w:r>
        <w:t xml:space="preserve"> Convert the mapped questions into practical heuristics that a software provider can use during architecture, interface design, data governance, content governance, communication, and business-model decisions.</w:t>
      </w:r>
      <w:r/>
    </w:p>
    <w:p>
      <w:pPr>
        <w:numPr>
          <w:ilvl w:val="0"/>
          <w:numId w:val="26"/>
        </w:numPr>
        <w:pBdr/>
        <w:spacing/>
        <w:ind/>
        <w:rPr/>
      </w:pPr>
      <w:r>
        <w:rPr>
          <w:b/>
          <w:bCs/>
        </w:rPr>
        <w:t xml:space="preserve">Illustrative application:</w:t>
      </w:r>
      <w:r>
        <w:t xml:space="preserve"> Apply the framework to ISLAMU Event as a worked case-based example. This shows how the framework structures ethical design reasoning, while leaving broader empirical validation to future work.</w:t>
      </w:r>
      <w:r/>
    </w:p>
    <w:p>
      <w:pPr>
        <w:pBdr/>
        <w:spacing/>
        <w:ind/>
        <w:rPr/>
      </w:pPr>
      <w:r>
        <mc:AlternateContent>
          <mc:Choice Requires="wpg">
            <w:drawing>
              <wp:inline xmlns:wp="http://schemas.openxmlformats.org/drawingml/2006/wordprocessingDrawing" distT="0" distB="0" distL="0" distR="0">
                <wp:extent cx="0" cy="19050"/>
                <wp:effectExtent l="0" t="0" r="0" b="0"/>
                <wp:docPr id="3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6" o:spid="_x0000_s36" o:spt="1" type="#_x0000_t1" style="width:0.00pt;height:1.50pt;mso-wrap-distance-left:0.00pt;mso-wrap-distance-top:0.00pt;mso-wrap-distance-right:0.00pt;mso-wrap-distance-bottom:0.00pt;visibility:visible;" fillcolor="#FFFFFF" strokecolor="#000000"/>
            </w:pict>
          </mc:Fallback>
        </mc:AlternateContent>
      </w:r>
      <w:bookmarkEnd w:id="54"/>
      <w:r/>
    </w:p>
    <w:p>
      <w:pPr>
        <w:pStyle w:val="977"/>
        <w:pBdr/>
        <w:spacing/>
        <w:ind/>
        <w:rPr/>
      </w:pPr>
      <w:r/>
      <w:bookmarkStart w:id="59" w:name="the-i-vsd-framework-structure"/>
      <w:r>
        <w:t xml:space="preserve">3.2.2 The I-VSD Framework Structure</w:t>
      </w:r>
      <w:r/>
    </w:p>
    <w:p>
      <w:pPr>
        <w:pStyle w:val="963"/>
        <w:pBdr/>
        <w:spacing/>
        <w:ind/>
        <w:rPr/>
      </w:pPr>
      <w:r>
        <w:t xml:space="preserve">The I-VSD framework organizes selected Islamic ethical principles into a reusable s</w:t>
      </w:r>
      <w:r>
        <w:t xml:space="preserve">tructure for provider-mediated software solutions. It treats software providers as morally responsible actors because they choose business models, interfaces, architectures, data practices, policies, and evaluation criteria that shape stakeholder outcomes.</w:t>
      </w:r>
      <w:r/>
    </w:p>
    <w:p>
      <w:pPr>
        <w:pStyle w:val="962"/>
        <w:pBdr/>
        <w:spacing/>
        <w:ind/>
        <w:rPr/>
      </w:pPr>
      <w:r>
        <w:t xml:space="preserve">The fram</w:t>
      </w:r>
      <w:r>
        <w:t xml:space="preserve">ework is not a fatwa engine and does not claim to settle every possible Islamic ruling. It is a design-reasoning framework: it helps a provider ask better questions, document ethical tradeoffs, and connect software decisions to selected Islamic principles.</w:t>
      </w:r>
      <w:r/>
    </w:p>
    <w:p>
      <w:pPr>
        <w:pStyle w:val="978"/>
        <w:pBdr/>
        <w:spacing/>
        <w:ind/>
        <w:rPr/>
      </w:pPr>
      <w:r/>
      <w:bookmarkStart w:id="55" w:name="i-vsd-conceptual-model"/>
      <w:r>
        <w:t xml:space="preserve">I-VSD Conceptual Model</w:t>
      </w:r>
      <w:r/>
    </w:p>
    <w:p>
      <w:pPr>
        <w:pStyle w:val="963"/>
        <w:pBdr/>
        <w:spacing/>
        <w:ind/>
        <w:rPr/>
      </w:pPr>
      <w:r>
        <w:rPr>
          <w:b/>
          <w:bCs/>
        </w:rPr>
        <w:t xml:space="preserve">Figure 3.1: I-VSD conceptual model.</w:t>
      </w:r>
      <w:r>
        <w:t xml:space="preserve"> The</w:t>
      </w:r>
      <w:r>
        <w:t xml:space="preserve"> framework moves from Islamic source grounding to design heuristics, then to domain-specific software decisions and evidence-level review. The figure shows the reasoning structure; it is not a claim that the framework already has empirical outcome support.</w:t>
      </w:r>
      <w:bookmarkEnd w:id="55"/>
      <w:r/>
    </w:p>
    <w:p>
      <w:pPr>
        <w:pStyle w:val="978"/>
        <w:pBdr/>
        <w:spacing/>
        <w:ind/>
        <w:rPr/>
      </w:pPr>
      <w:r/>
      <w:bookmarkStart w:id="56" w:name="framework-domains"/>
      <w:r>
        <w:t xml:space="preserve">Framework Domains</w:t>
      </w:r>
      <w:r/>
    </w:p>
    <w:p>
      <w:pPr>
        <w:pStyle w:val="963"/>
        <w:pBdr/>
        <w:spacing/>
        <w:ind/>
        <w:rPr/>
      </w:pPr>
      <w:r>
        <w:rPr>
          <w:b/>
          <w:bCs/>
        </w:rPr>
        <w:t xml:space="preserve">Strategic Domain:</w:t>
      </w:r>
      <w:r/>
    </w:p>
    <w:p>
      <w:pPr>
        <w:pStyle w:val="964"/>
        <w:numPr>
          <w:ilvl w:val="0"/>
          <w:numId w:val="27"/>
        </w:numPr>
        <w:pBdr/>
        <w:spacing/>
        <w:ind/>
        <w:rPr/>
      </w:pPr>
      <w:r>
        <w:t xml:space="preserve">Mission, funding, ownership, partnerships, market positioning, and long-term stewardship.</w:t>
      </w:r>
      <w:r/>
    </w:p>
    <w:p>
      <w:pPr>
        <w:pStyle w:val="963"/>
        <w:pBdr/>
        <w:spacing/>
        <w:ind/>
        <w:rPr/>
      </w:pPr>
      <w:r>
        <w:rPr>
          <w:b/>
          <w:bCs/>
        </w:rPr>
        <w:t xml:space="preserve">Design Domain:</w:t>
      </w:r>
      <w:r/>
    </w:p>
    <w:p>
      <w:pPr>
        <w:pStyle w:val="964"/>
        <w:numPr>
          <w:ilvl w:val="0"/>
          <w:numId w:val="28"/>
        </w:numPr>
        <w:pBdr/>
        <w:spacing/>
        <w:ind/>
        <w:rPr/>
      </w:pPr>
      <w:r>
        <w:t xml:space="preserve">User experience, information architecture, interaction patterns, accessibility, defaults, and persuasive or manipulative patterns.</w:t>
      </w:r>
      <w:r/>
    </w:p>
    <w:p>
      <w:pPr>
        <w:pStyle w:val="963"/>
        <w:pBdr/>
        <w:spacing/>
        <w:ind/>
        <w:rPr/>
      </w:pPr>
      <w:r>
        <w:rPr>
          <w:b/>
          <w:bCs/>
        </w:rPr>
        <w:t xml:space="preserve">Technical Domain:</w:t>
      </w:r>
      <w:r/>
    </w:p>
    <w:p>
      <w:pPr>
        <w:pStyle w:val="964"/>
        <w:numPr>
          <w:ilvl w:val="0"/>
          <w:numId w:val="29"/>
        </w:numPr>
        <w:pBdr/>
        <w:spacing/>
        <w:ind/>
        <w:rPr/>
      </w:pPr>
      <w:r>
        <w:t xml:space="preserve">Architecture, data storage, security, interoperability, algorithms, infrastructure, and dependency choices.</w:t>
      </w:r>
      <w:r/>
    </w:p>
    <w:p>
      <w:pPr>
        <w:pStyle w:val="963"/>
        <w:pBdr/>
        <w:spacing/>
        <w:ind/>
        <w:rPr/>
      </w:pPr>
      <w:r>
        <w:rPr>
          <w:b/>
          <w:bCs/>
        </w:rPr>
        <w:t xml:space="preserve">Operational Domain:</w:t>
      </w:r>
      <w:r/>
    </w:p>
    <w:p>
      <w:pPr>
        <w:pStyle w:val="964"/>
        <w:numPr>
          <w:ilvl w:val="0"/>
          <w:numId w:val="30"/>
        </w:numPr>
        <w:pBdr/>
        <w:spacing/>
        <w:ind/>
        <w:rPr/>
      </w:pPr>
      <w:r>
        <w:t xml:space="preserve">Maintenance, support, incident response, privacy practices, moderation workflows, and service continuity.</w:t>
      </w:r>
      <w:r/>
    </w:p>
    <w:p>
      <w:pPr>
        <w:pStyle w:val="963"/>
        <w:pBdr/>
        <w:spacing/>
        <w:ind/>
        <w:rPr/>
      </w:pPr>
      <w:r>
        <w:rPr>
          <w:b/>
          <w:bCs/>
        </w:rPr>
        <w:t xml:space="preserve">Governance Domain:</w:t>
      </w:r>
      <w:r/>
    </w:p>
    <w:p>
      <w:pPr>
        <w:pStyle w:val="964"/>
        <w:numPr>
          <w:ilvl w:val="0"/>
          <w:numId w:val="31"/>
        </w:numPr>
        <w:pBdr/>
        <w:spacing/>
        <w:ind/>
        <w:rPr/>
      </w:pPr>
      <w:r>
        <w:t xml:space="preserve">Accountability, policy ownership, decision rights, auditability, appeal paths, contribution rules, and escalation procedures.</w:t>
      </w:r>
      <w:r/>
    </w:p>
    <w:p>
      <w:pPr>
        <w:pStyle w:val="963"/>
        <w:pBdr/>
        <w:spacing/>
        <w:ind/>
        <w:rPr/>
      </w:pPr>
      <w:r>
        <w:rPr>
          <w:b/>
          <w:bCs/>
        </w:rPr>
        <w:t xml:space="preserve">Evaluation Domain:</w:t>
      </w:r>
      <w:r/>
    </w:p>
    <w:p>
      <w:pPr>
        <w:pStyle w:val="964"/>
        <w:numPr>
          <w:ilvl w:val="0"/>
          <w:numId w:val="32"/>
        </w:numPr>
        <w:pBdr/>
        <w:spacing/>
        <w:ind/>
        <w:rPr/>
      </w:pPr>
      <w:r>
        <w:t xml:space="preserve">Success metrics, harm review, stakeholder feedback, design review, post-deployment monitoring, and future validation.</w:t>
      </w:r>
      <w:bookmarkEnd w:id="56"/>
      <w:r/>
    </w:p>
    <w:p>
      <w:pPr>
        <w:pStyle w:val="978"/>
        <w:pBdr/>
        <w:spacing/>
        <w:ind/>
        <w:rPr/>
      </w:pPr>
      <w:r/>
      <w:bookmarkStart w:id="57" w:name="principle-to-domain-matrix"/>
      <w:r>
        <w:t xml:space="preserve">Principle-to-Domain Matrix</w:t>
      </w:r>
      <w:r/>
    </w:p>
    <w:p>
      <w:pPr>
        <w:pStyle w:val="963"/>
        <w:pBdr/>
        <w:spacing/>
        <w:ind/>
        <w:rPr/>
      </w:pPr>
      <w:r>
        <w:t xml:space="preserve">The following matrix maps selected Islamic principles into provider decision areas. Each cell is intentionally written as a heuristic direction rather than as an empirical claim.</w:t>
      </w:r>
      <w:r/>
    </w:p>
    <w:p>
      <w:pPr>
        <w:pStyle w:val="962"/>
        <w:pBdr/>
        <w:spacing/>
        <w:ind/>
        <w:rPr/>
      </w:pPr>
      <w:r>
        <w:rPr>
          <w:b/>
          <w:bCs/>
        </w:rPr>
        <w:t xml:space="preserve">Table 3.1: Principle-to-domain matrix.</w:t>
      </w:r>
      <w:r>
        <w:t xml:space="preserve"> This is the core framework table used to translate selected Islamic principles into provider-facing design questions across the six I-VSD domains.</w:t>
      </w:r>
      <w:r/>
    </w:p>
    <w:tbl>
      <w:tblPr>
        <w:tblStyle w:val="996"/>
        <w:tblW w:w="5000" w:type="pct"/>
        <w:tblBorders/>
        <w:tblLayout w:type="fixed"/>
        <w:tblLook w:val="0020" w:firstRow="1" w:lastRow="0" w:firstColumn="0" w:lastColumn="0" w:noHBand="0" w:noVBand="0"/>
      </w:tblPr>
      <w:tblGrid>
        <w:gridCol w:w="1131"/>
        <w:gridCol w:w="1131"/>
        <w:gridCol w:w="1131"/>
        <w:gridCol w:w="1131"/>
        <w:gridCol w:w="1131"/>
        <w:gridCol w:w="1131"/>
        <w:gridCol w:w="1131"/>
      </w:tblGrid>
      <w:tr>
        <w:trPr>
          <w:tblHeader/>
        </w:trPr>
        <w:tc>
          <w:tcPr>
            <w:tcBorders/>
          </w:tcPr>
          <w:p>
            <w:pPr>
              <w:pStyle w:val="964"/>
              <w:pBdr/>
              <w:spacing/>
              <w:ind/>
              <w:rPr/>
            </w:pPr>
            <w:r>
              <w:t xml:space="preserve">Islamic Principle</w:t>
            </w:r>
            <w:r/>
          </w:p>
        </w:tc>
        <w:tc>
          <w:tcPr>
            <w:tcBorders/>
          </w:tcPr>
          <w:p>
            <w:pPr>
              <w:pStyle w:val="964"/>
              <w:pBdr/>
              <w:spacing/>
              <w:ind/>
              <w:rPr/>
            </w:pPr>
            <w:r>
              <w:t xml:space="preserve">Strategic</w:t>
            </w:r>
            <w:r/>
          </w:p>
        </w:tc>
        <w:tc>
          <w:tcPr>
            <w:tcBorders/>
          </w:tcPr>
          <w:p>
            <w:pPr>
              <w:pStyle w:val="964"/>
              <w:pBdr/>
              <w:spacing/>
              <w:ind/>
              <w:rPr/>
            </w:pPr>
            <w:r>
              <w:t xml:space="preserve">Design</w:t>
            </w:r>
            <w:r/>
          </w:p>
        </w:tc>
        <w:tc>
          <w:tcPr>
            <w:tcBorders/>
          </w:tcPr>
          <w:p>
            <w:pPr>
              <w:pStyle w:val="964"/>
              <w:pBdr/>
              <w:spacing/>
              <w:ind/>
              <w:rPr/>
            </w:pPr>
            <w:r>
              <w:t xml:space="preserve">Technical</w:t>
            </w:r>
            <w:r/>
          </w:p>
        </w:tc>
        <w:tc>
          <w:tcPr>
            <w:tcBorders/>
          </w:tcPr>
          <w:p>
            <w:pPr>
              <w:pStyle w:val="964"/>
              <w:pBdr/>
              <w:spacing/>
              <w:ind/>
              <w:rPr/>
            </w:pPr>
            <w:r>
              <w:t xml:space="preserve">Operational</w:t>
            </w:r>
            <w:r/>
          </w:p>
        </w:tc>
        <w:tc>
          <w:tcPr>
            <w:tcBorders/>
          </w:tcPr>
          <w:p>
            <w:pPr>
              <w:pStyle w:val="964"/>
              <w:pBdr/>
              <w:spacing/>
              <w:ind/>
              <w:rPr/>
            </w:pPr>
            <w:r>
              <w:t xml:space="preserve">Governance</w:t>
            </w:r>
            <w:r/>
          </w:p>
        </w:tc>
        <w:tc>
          <w:tcPr>
            <w:tcBorders/>
          </w:tcPr>
          <w:p>
            <w:pPr>
              <w:pStyle w:val="964"/>
              <w:pBdr/>
              <w:spacing/>
              <w:ind/>
              <w:rPr/>
            </w:pPr>
            <w:r>
              <w:t xml:space="preserve">Evaluation</w:t>
            </w:r>
            <w:r/>
          </w:p>
        </w:tc>
      </w:tr>
      <w:tr>
        <w:trPr/>
        <w:tc>
          <w:tcPr>
            <w:tcBorders/>
          </w:tcPr>
          <w:p>
            <w:pPr>
              <w:pStyle w:val="964"/>
              <w:pBdr/>
              <w:spacing/>
              <w:ind/>
              <w:rPr/>
            </w:pPr>
            <w:r>
              <w:rPr>
                <w:b/>
                <w:bCs/>
              </w:rPr>
              <w:t xml:space="preserve">Amanah (Trust)</w:t>
            </w:r>
            <w:r/>
          </w:p>
        </w:tc>
        <w:tc>
          <w:tcPr>
            <w:tcBorders/>
          </w:tcPr>
          <w:p>
            <w:pPr>
              <w:pStyle w:val="964"/>
              <w:pBdr/>
              <w:spacing/>
              <w:ind/>
              <w:rPr/>
            </w:pPr>
            <w:r>
              <w:t xml:space="preserve">Choose ownership and funding models that preserve user trust.</w:t>
            </w:r>
            <w:r/>
          </w:p>
        </w:tc>
        <w:tc>
          <w:tcPr>
            <w:tcBorders/>
          </w:tcPr>
          <w:p>
            <w:pPr>
              <w:pStyle w:val="964"/>
              <w:pBdr/>
              <w:spacing/>
              <w:ind/>
              <w:rPr/>
            </w:pPr>
            <w:r>
              <w:t xml:space="preserve">Make important actions, risks, and settings visible.</w:t>
            </w:r>
            <w:r/>
          </w:p>
        </w:tc>
        <w:tc>
          <w:tcPr>
            <w:tcBorders/>
          </w:tcPr>
          <w:p>
            <w:pPr>
              <w:pStyle w:val="964"/>
              <w:pBdr/>
              <w:spacing/>
              <w:ind/>
              <w:rPr/>
            </w:pPr>
            <w:r>
              <w:t xml:space="preserve">Protect entrusted data through secure architecture.</w:t>
            </w:r>
            <w:r/>
          </w:p>
        </w:tc>
        <w:tc>
          <w:tcPr>
            <w:tcBorders/>
          </w:tcPr>
          <w:p>
            <w:pPr>
              <w:pStyle w:val="964"/>
              <w:pBdr/>
              <w:spacing/>
              <w:ind/>
              <w:rPr/>
            </w:pPr>
            <w:r>
              <w:t xml:space="preserve">Maintain reliable support and incident response.</w:t>
            </w:r>
            <w:r/>
          </w:p>
        </w:tc>
        <w:tc>
          <w:tcPr>
            <w:tcBorders/>
          </w:tcPr>
          <w:p>
            <w:pPr>
              <w:pStyle w:val="964"/>
              <w:pBdr/>
              <w:spacing/>
              <w:ind/>
              <w:rPr/>
            </w:pPr>
            <w:r>
              <w:t xml:space="preserve">Assign clear responsibility for entrusted assets and decisions.</w:t>
            </w:r>
            <w:r/>
          </w:p>
        </w:tc>
        <w:tc>
          <w:tcPr>
            <w:tcBorders/>
          </w:tcPr>
          <w:p>
            <w:pPr>
              <w:pStyle w:val="964"/>
              <w:pBdr/>
              <w:spacing/>
              <w:ind/>
              <w:rPr/>
            </w:pPr>
            <w:r>
              <w:t xml:space="preserve">Review whether the provider remains worthy of user trust.</w:t>
            </w:r>
            <w:r/>
          </w:p>
        </w:tc>
      </w:tr>
      <w:tr>
        <w:trPr/>
        <w:tc>
          <w:tcPr>
            <w:tcBorders/>
          </w:tcPr>
          <w:p>
            <w:pPr>
              <w:pStyle w:val="964"/>
              <w:pBdr/>
              <w:spacing/>
              <w:ind/>
              <w:rPr/>
            </w:pPr>
            <w:r>
              <w:rPr>
                <w:b/>
                <w:bCs/>
              </w:rPr>
              <w:t xml:space="preserve">Sidq (Truthfulness)</w:t>
            </w:r>
            <w:r/>
          </w:p>
        </w:tc>
        <w:tc>
          <w:tcPr>
            <w:tcBorders/>
          </w:tcPr>
          <w:p>
            <w:pPr>
              <w:pStyle w:val="964"/>
              <w:pBdr/>
              <w:spacing/>
              <w:ind/>
              <w:rPr/>
            </w:pPr>
            <w:r>
              <w:t xml:space="preserve">Avoid business models built on exaggerated claims.</w:t>
            </w:r>
            <w:r/>
          </w:p>
        </w:tc>
        <w:tc>
          <w:tcPr>
            <w:tcBorders/>
          </w:tcPr>
          <w:p>
            <w:pPr>
              <w:pStyle w:val="964"/>
              <w:pBdr/>
              <w:spacing/>
              <w:ind/>
              <w:rPr/>
            </w:pPr>
            <w:r>
              <w:t xml:space="preserve">Use accurate labels, neutral choices, and honest feature descriptions.</w:t>
            </w:r>
            <w:r/>
          </w:p>
        </w:tc>
        <w:tc>
          <w:tcPr>
            <w:tcBorders/>
          </w:tcPr>
          <w:p>
            <w:pPr>
              <w:pStyle w:val="964"/>
              <w:pBdr/>
              <w:spacing/>
              <w:ind/>
              <w:rPr/>
            </w:pPr>
            <w:r>
              <w:t xml:space="preserve">Keep documentation and system behavior aligned with reality.</w:t>
            </w:r>
            <w:r/>
          </w:p>
        </w:tc>
        <w:tc>
          <w:tcPr>
            <w:tcBorders/>
          </w:tcPr>
          <w:p>
            <w:pPr>
              <w:pStyle w:val="964"/>
              <w:pBdr/>
              <w:spacing/>
              <w:ind/>
              <w:rPr/>
            </w:pPr>
            <w:r>
              <w:t xml:space="preserve">Communicate outages, limitations, and changes honestly.</w:t>
            </w:r>
            <w:r/>
          </w:p>
        </w:tc>
        <w:tc>
          <w:tcPr>
            <w:tcBorders/>
          </w:tcPr>
          <w:p>
            <w:pPr>
              <w:pStyle w:val="964"/>
              <w:pBdr/>
              <w:spacing/>
              <w:ind/>
              <w:rPr/>
            </w:pPr>
            <w:r>
              <w:t xml:space="preserve">Require truthful public claims and internal reporting.</w:t>
            </w:r>
            <w:r/>
          </w:p>
        </w:tc>
        <w:tc>
          <w:tcPr>
            <w:tcBorders/>
          </w:tcPr>
          <w:p>
            <w:pPr>
              <w:pStyle w:val="964"/>
              <w:pBdr/>
              <w:spacing/>
              <w:ind/>
              <w:rPr/>
            </w:pPr>
            <w:r>
              <w:t xml:space="preserve">Check whether marketing, interface text, and actual behavior still match.</w:t>
            </w:r>
            <w:r/>
          </w:p>
        </w:tc>
      </w:tr>
      <w:tr>
        <w:trPr/>
        <w:tc>
          <w:tcPr>
            <w:tcBorders/>
          </w:tcPr>
          <w:p>
            <w:pPr>
              <w:pStyle w:val="964"/>
              <w:pBdr/>
              <w:spacing/>
              <w:ind/>
              <w:rPr/>
            </w:pPr>
            <w:r>
              <w:rPr>
                <w:b/>
                <w:bCs/>
              </w:rPr>
              <w:t xml:space="preserve">Adl (Justice)</w:t>
            </w:r>
            <w:r/>
          </w:p>
        </w:tc>
        <w:tc>
          <w:tcPr>
            <w:tcBorders/>
          </w:tcPr>
          <w:p>
            <w:pPr>
              <w:pStyle w:val="964"/>
              <w:pBdr/>
              <w:spacing/>
              <w:ind/>
              <w:rPr/>
            </w:pPr>
            <w:r>
              <w:t xml:space="preserve">Avoid unfair exclusion, predatory pricing, and discriminatory access.</w:t>
            </w:r>
            <w:r/>
          </w:p>
        </w:tc>
        <w:tc>
          <w:tcPr>
            <w:tcBorders/>
          </w:tcPr>
          <w:p>
            <w:pPr>
              <w:pStyle w:val="964"/>
              <w:pBdr/>
              <w:spacing/>
              <w:ind/>
              <w:rPr/>
            </w:pPr>
            <w:r>
              <w:t xml:space="preserve">Design equitable flows for users with different abilities, languages, and contexts.</w:t>
            </w:r>
            <w:r/>
          </w:p>
        </w:tc>
        <w:tc>
          <w:tcPr>
            <w:tcBorders/>
          </w:tcPr>
          <w:p>
            <w:pPr>
              <w:pStyle w:val="964"/>
              <w:pBdr/>
              <w:spacing/>
              <w:ind/>
              <w:rPr/>
            </w:pPr>
            <w:r>
              <w:t xml:space="preserve">Test algorithms and access controls for unfair outcomes.</w:t>
            </w:r>
            <w:r/>
          </w:p>
        </w:tc>
        <w:tc>
          <w:tcPr>
            <w:tcBorders/>
          </w:tcPr>
          <w:p>
            <w:pPr>
              <w:pStyle w:val="964"/>
              <w:pBdr/>
              <w:spacing/>
              <w:ind/>
              <w:rPr/>
            </w:pPr>
            <w:r>
              <w:t xml:space="preserve">Enforce policies consistently.</w:t>
            </w:r>
            <w:r/>
          </w:p>
        </w:tc>
        <w:tc>
          <w:tcPr>
            <w:tcBorders/>
          </w:tcPr>
          <w:p>
            <w:pPr>
              <w:pStyle w:val="964"/>
              <w:pBdr/>
              <w:spacing/>
              <w:ind/>
              <w:rPr/>
            </w:pPr>
            <w:r>
              <w:t xml:space="preserve">Provide appeal, review, and correction mechanisms.</w:t>
            </w:r>
            <w:r/>
          </w:p>
        </w:tc>
        <w:tc>
          <w:tcPr>
            <w:tcBorders/>
          </w:tcPr>
          <w:p>
            <w:pPr>
              <w:pStyle w:val="964"/>
              <w:pBdr/>
              <w:spacing/>
              <w:ind/>
              <w:rPr/>
            </w:pPr>
            <w:r>
              <w:t xml:space="preserve">Track whether different stakeholder groups are treated fairly.</w:t>
            </w:r>
            <w:r/>
          </w:p>
        </w:tc>
      </w:tr>
      <w:tr>
        <w:trPr/>
        <w:tc>
          <w:tcPr>
            <w:tcBorders/>
          </w:tcPr>
          <w:p>
            <w:pPr>
              <w:pStyle w:val="964"/>
              <w:pBdr/>
              <w:spacing/>
              <w:ind/>
              <w:rPr/>
            </w:pPr>
            <w:r>
              <w:rPr>
                <w:b/>
                <w:bCs/>
              </w:rPr>
              <w:t xml:space="preserve">La Darar (No Harm)</w:t>
            </w:r>
            <w:r/>
          </w:p>
        </w:tc>
        <w:tc>
          <w:tcPr>
            <w:tcBorders/>
          </w:tcPr>
          <w:p>
            <w:pPr>
              <w:pStyle w:val="964"/>
              <w:pBdr/>
              <w:spacing/>
              <w:ind/>
              <w:rPr/>
            </w:pPr>
            <w:r>
              <w:t xml:space="preserve">Reject partnerships or incentives that predictably harm users.</w:t>
            </w:r>
            <w:r/>
          </w:p>
        </w:tc>
        <w:tc>
          <w:tcPr>
            <w:tcBorders/>
          </w:tcPr>
          <w:p>
            <w:pPr>
              <w:pStyle w:val="964"/>
              <w:pBdr/>
              <w:spacing/>
              <w:ind/>
              <w:rPr/>
            </w:pPr>
            <w:r>
              <w:t xml:space="preserve">Avoid addictive, coercive, or panic-driven interaction patterns.</w:t>
            </w:r>
            <w:r/>
          </w:p>
        </w:tc>
        <w:tc>
          <w:tcPr>
            <w:tcBorders/>
          </w:tcPr>
          <w:p>
            <w:pPr>
              <w:pStyle w:val="964"/>
              <w:pBdr/>
              <w:spacing/>
              <w:ind/>
              <w:rPr/>
            </w:pPr>
            <w:r>
              <w:t xml:space="preserve">Prioritize security, resilience, and abuse prevention.</w:t>
            </w:r>
            <w:r/>
          </w:p>
        </w:tc>
        <w:tc>
          <w:tcPr>
            <w:tcBorders/>
          </w:tcPr>
          <w:p>
            <w:pPr>
              <w:pStyle w:val="964"/>
              <w:pBdr/>
              <w:spacing/>
              <w:ind/>
              <w:rPr/>
            </w:pPr>
            <w:r>
              <w:t xml:space="preserve">Patch vulnerabilities and respond to credible harm reports.</w:t>
            </w:r>
            <w:r/>
          </w:p>
        </w:tc>
        <w:tc>
          <w:tcPr>
            <w:tcBorders/>
          </w:tcPr>
          <w:p>
            <w:pPr>
              <w:pStyle w:val="964"/>
              <w:pBdr/>
              <w:spacing/>
              <w:ind/>
              <w:rPr/>
            </w:pPr>
            <w:r>
              <w:t xml:space="preserve">Define escalation paths for high-harm risks.</w:t>
            </w:r>
            <w:r/>
          </w:p>
        </w:tc>
        <w:tc>
          <w:tcPr>
            <w:tcBorders/>
          </w:tcPr>
          <w:p>
            <w:pPr>
              <w:pStyle w:val="964"/>
              <w:pBdr/>
              <w:spacing/>
              <w:ind/>
              <w:rPr/>
            </w:pPr>
            <w:r>
              <w:t xml:space="preserve">Review incidents, near misses, and foreseeable misuse.</w:t>
            </w:r>
            <w:r/>
          </w:p>
        </w:tc>
      </w:tr>
      <w:tr>
        <w:trPr/>
        <w:tc>
          <w:tcPr>
            <w:tcBorders/>
          </w:tcPr>
          <w:p>
            <w:pPr>
              <w:pStyle w:val="964"/>
              <w:pBdr/>
              <w:spacing/>
              <w:ind/>
              <w:rPr/>
            </w:pPr>
            <w:r>
              <w:rPr>
                <w:b/>
                <w:bCs/>
              </w:rPr>
              <w:t xml:space="preserve">Avoiding Riba</w:t>
            </w:r>
            <w:r/>
          </w:p>
        </w:tc>
        <w:tc>
          <w:tcPr>
            <w:tcBorders/>
          </w:tcPr>
          <w:p>
            <w:pPr>
              <w:pStyle w:val="964"/>
              <w:pBdr/>
              <w:spacing/>
              <w:ind/>
              <w:rPr/>
            </w:pPr>
            <w:r>
              <w:t xml:space="preserve">Use funding and payment structures that avoid interest-based dependency where applicable.</w:t>
            </w:r>
            <w:r/>
          </w:p>
        </w:tc>
        <w:tc>
          <w:tcPr>
            <w:tcBorders/>
          </w:tcPr>
          <w:p>
            <w:pPr>
              <w:pStyle w:val="964"/>
              <w:pBdr/>
              <w:spacing/>
              <w:ind/>
              <w:rPr/>
            </w:pPr>
            <w:r>
              <w:t xml:space="preserve">Avoid interface flows that normalize hidden debt or interest-based upsells.</w:t>
            </w:r>
            <w:r/>
          </w:p>
        </w:tc>
        <w:tc>
          <w:tcPr>
            <w:tcBorders/>
          </w:tcPr>
          <w:p>
            <w:pPr>
              <w:pStyle w:val="964"/>
              <w:pBdr/>
              <w:spacing/>
              <w:ind/>
              <w:rPr/>
            </w:pPr>
            <w:r>
              <w:t xml:space="preserve">Integrate payment systems with transparent fee handling.</w:t>
            </w:r>
            <w:r/>
          </w:p>
        </w:tc>
        <w:tc>
          <w:tcPr>
            <w:tcBorders/>
          </w:tcPr>
          <w:p>
            <w:pPr>
              <w:pStyle w:val="964"/>
              <w:pBdr/>
              <w:spacing/>
              <w:ind/>
              <w:rPr/>
            </w:pPr>
            <w:r>
              <w:t xml:space="preserve">Keep fee communication clear and auditable.</w:t>
            </w:r>
            <w:r/>
          </w:p>
        </w:tc>
        <w:tc>
          <w:tcPr>
            <w:tcBorders/>
          </w:tcPr>
          <w:p>
            <w:pPr>
              <w:pStyle w:val="964"/>
              <w:pBdr/>
              <w:spacing/>
              <w:ind/>
              <w:rPr/>
            </w:pPr>
            <w:r>
              <w:t xml:space="preserve">Review financial dependencies and payment policies.</w:t>
            </w:r>
            <w:r/>
          </w:p>
        </w:tc>
        <w:tc>
          <w:tcPr>
            <w:tcBorders/>
          </w:tcPr>
          <w:p>
            <w:pPr>
              <w:pStyle w:val="964"/>
              <w:pBdr/>
              <w:spacing/>
              <w:ind/>
              <w:rPr/>
            </w:pPr>
            <w:r>
              <w:t xml:space="preserve">Evaluate whether revenue choices remain compatible with the stated ethical scope.</w:t>
            </w:r>
            <w:r/>
          </w:p>
        </w:tc>
      </w:tr>
      <w:tr>
        <w:trPr/>
        <w:tc>
          <w:tcPr>
            <w:tcBorders/>
          </w:tcPr>
          <w:p>
            <w:pPr>
              <w:pStyle w:val="964"/>
              <w:pBdr/>
              <w:spacing/>
              <w:ind/>
              <w:rPr/>
            </w:pPr>
            <w:r>
              <w:rPr>
                <w:b/>
                <w:bCs/>
              </w:rPr>
              <w:t xml:space="preserve">Avoiding Gharar (Excessive Uncertainty)</w:t>
            </w:r>
            <w:r/>
          </w:p>
        </w:tc>
        <w:tc>
          <w:tcPr>
            <w:tcBorders/>
          </w:tcPr>
          <w:p>
            <w:pPr>
              <w:pStyle w:val="964"/>
              <w:pBdr/>
              <w:spacing/>
              <w:ind/>
              <w:rPr/>
            </w:pPr>
            <w:r>
              <w:t xml:space="preserve">Define clear terms, commitments, and service boundaries.</w:t>
            </w:r>
            <w:r/>
          </w:p>
        </w:tc>
        <w:tc>
          <w:tcPr>
            <w:tcBorders/>
          </w:tcPr>
          <w:p>
            <w:pPr>
              <w:pStyle w:val="964"/>
              <w:pBdr/>
              <w:spacing/>
              <w:ind/>
              <w:rPr/>
            </w:pPr>
            <w:r>
              <w:t xml:space="preserve">Show prices, limits, risks, and cancellation conditions before commitment.</w:t>
            </w:r>
            <w:r/>
          </w:p>
        </w:tc>
        <w:tc>
          <w:tcPr>
            <w:tcBorders/>
          </w:tcPr>
          <w:p>
            <w:pPr>
              <w:pStyle w:val="964"/>
              <w:pBdr/>
              <w:spacing/>
              <w:ind/>
              <w:rPr/>
            </w:pPr>
            <w:r>
              <w:t xml:space="preserve">Prefer predictable behavior and explicit failure modes.</w:t>
            </w:r>
            <w:r/>
          </w:p>
        </w:tc>
        <w:tc>
          <w:tcPr>
            <w:tcBorders/>
          </w:tcPr>
          <w:p>
            <w:pPr>
              <w:pStyle w:val="964"/>
              <w:pBdr/>
              <w:spacing/>
              <w:ind/>
              <w:rPr/>
            </w:pPr>
            <w:r>
              <w:t xml:space="preserve">Maintain clear terms of service and change notices.</w:t>
            </w:r>
            <w:r/>
          </w:p>
        </w:tc>
        <w:tc>
          <w:tcPr>
            <w:tcBorders/>
          </w:tcPr>
          <w:p>
            <w:pPr>
              <w:pStyle w:val="964"/>
              <w:pBdr/>
              <w:spacing/>
              <w:ind/>
              <w:rPr/>
            </w:pPr>
            <w:r>
              <w:t xml:space="preserve">Require review before ambiguous or high-risk commitments.</w:t>
            </w:r>
            <w:r/>
          </w:p>
        </w:tc>
        <w:tc>
          <w:tcPr>
            <w:tcBorders/>
          </w:tcPr>
          <w:p>
            <w:pPr>
              <w:pStyle w:val="964"/>
              <w:pBdr/>
              <w:spacing/>
              <w:ind/>
              <w:rPr/>
            </w:pPr>
            <w:r>
              <w:t xml:space="preserve">Check whether users can reasonably understand what they are agreeing to.</w:t>
            </w:r>
            <w:r/>
          </w:p>
        </w:tc>
      </w:tr>
      <w:tr>
        <w:trPr/>
        <w:tc>
          <w:tcPr>
            <w:tcBorders/>
          </w:tcPr>
          <w:p>
            <w:pPr>
              <w:pStyle w:val="964"/>
              <w:pBdr/>
              <w:spacing/>
              <w:ind/>
              <w:rPr/>
            </w:pPr>
            <w:r>
              <w:rPr>
                <w:b/>
                <w:bCs/>
              </w:rPr>
              <w:t xml:space="preserve">Avoiding Ghish (Deception)</w:t>
            </w:r>
            <w:r/>
          </w:p>
        </w:tc>
        <w:tc>
          <w:tcPr>
            <w:tcBorders/>
          </w:tcPr>
          <w:p>
            <w:pPr>
              <w:pStyle w:val="964"/>
              <w:pBdr/>
              <w:spacing/>
              <w:ind/>
              <w:rPr/>
            </w:pPr>
            <w:r>
              <w:t xml:space="preserve">Do not rely on deception, fake scarcity, or hidden exploitation.</w:t>
            </w:r>
            <w:r/>
          </w:p>
        </w:tc>
        <w:tc>
          <w:tcPr>
            <w:tcBorders/>
          </w:tcPr>
          <w:p>
            <w:pPr>
              <w:pStyle w:val="964"/>
              <w:pBdr/>
              <w:spacing/>
              <w:ind/>
              <w:rPr/>
            </w:pPr>
            <w:r>
              <w:t xml:space="preserve">Remove dark patterns and misleading comparisons.</w:t>
            </w:r>
            <w:r/>
          </w:p>
        </w:tc>
        <w:tc>
          <w:tcPr>
            <w:tcBorders/>
          </w:tcPr>
          <w:p>
            <w:pPr>
              <w:pStyle w:val="964"/>
              <w:pBdr/>
              <w:spacing/>
              <w:ind/>
              <w:rPr/>
            </w:pPr>
            <w:r>
              <w:t xml:space="preserve">Avoid hidden collection, opaque ranking, and disguised automation.</w:t>
            </w:r>
            <w:r/>
          </w:p>
        </w:tc>
        <w:tc>
          <w:tcPr>
            <w:tcBorders/>
          </w:tcPr>
          <w:p>
            <w:pPr>
              <w:pStyle w:val="964"/>
              <w:pBdr/>
              <w:spacing/>
              <w:ind/>
              <w:rPr/>
            </w:pPr>
            <w:r>
              <w:t xml:space="preserve">Communicate policy, pricing, and product changes without manipulation.</w:t>
            </w:r>
            <w:r/>
          </w:p>
        </w:tc>
        <w:tc>
          <w:tcPr>
            <w:tcBorders/>
          </w:tcPr>
          <w:p>
            <w:pPr>
              <w:pStyle w:val="964"/>
              <w:pBdr/>
              <w:spacing/>
              <w:ind/>
              <w:rPr/>
            </w:pPr>
            <w:r>
              <w:t xml:space="preserve">Audit for deception across product, sales, and support.</w:t>
            </w:r>
            <w:r/>
          </w:p>
        </w:tc>
        <w:tc>
          <w:tcPr>
            <w:tcBorders/>
          </w:tcPr>
          <w:p>
            <w:pPr>
              <w:pStyle w:val="964"/>
              <w:pBdr/>
              <w:spacing/>
              <w:ind/>
              <w:rPr/>
            </w:pPr>
            <w:r>
              <w:t xml:space="preserve">Review whether user decisions are informed rather than engineered through concealment.</w:t>
            </w:r>
            <w:r/>
          </w:p>
        </w:tc>
      </w:tr>
      <w:tr>
        <w:trPr/>
        <w:tc>
          <w:tcPr>
            <w:tcBorders/>
          </w:tcPr>
          <w:p>
            <w:pPr>
              <w:pStyle w:val="964"/>
              <w:pBdr/>
              <w:spacing/>
              <w:ind/>
              <w:rPr/>
            </w:pPr>
            <w:r>
              <w:rPr>
                <w:b/>
                <w:bCs/>
              </w:rPr>
              <w:t xml:space="preserve">Wafa (Keeping Commitments)</w:t>
            </w:r>
            <w:r/>
          </w:p>
        </w:tc>
        <w:tc>
          <w:tcPr>
            <w:tcBorders/>
          </w:tcPr>
          <w:p>
            <w:pPr>
              <w:pStyle w:val="964"/>
              <w:pBdr/>
              <w:spacing/>
              <w:ind/>
              <w:rPr/>
            </w:pPr>
            <w:r>
              <w:t xml:space="preserve">Honor public promises, licenses, pricing commitments, and user expectations.</w:t>
            </w:r>
            <w:r/>
          </w:p>
        </w:tc>
        <w:tc>
          <w:tcPr>
            <w:tcBorders/>
          </w:tcPr>
          <w:p>
            <w:pPr>
              <w:pStyle w:val="964"/>
              <w:pBdr/>
              <w:spacing/>
              <w:ind/>
              <w:rPr/>
            </w:pPr>
            <w:r>
              <w:t xml:space="preserve">Ensure advertised features match actual flows.</w:t>
            </w:r>
            <w:r/>
          </w:p>
        </w:tc>
        <w:tc>
          <w:tcPr>
            <w:tcBorders/>
          </w:tcPr>
          <w:p>
            <w:pPr>
              <w:pStyle w:val="964"/>
              <w:pBdr/>
              <w:spacing/>
              <w:ind/>
              <w:rPr/>
            </w:pPr>
            <w:r>
              <w:t xml:space="preserve">Design migrations, exports, and APIs that respect previous commitments.</w:t>
            </w:r>
            <w:r/>
          </w:p>
        </w:tc>
        <w:tc>
          <w:tcPr>
            <w:tcBorders/>
          </w:tcPr>
          <w:p>
            <w:pPr>
              <w:pStyle w:val="964"/>
              <w:pBdr/>
              <w:spacing/>
              <w:ind/>
              <w:rPr/>
            </w:pPr>
            <w:r>
              <w:t xml:space="preserve">Give fair notice before breaking changes.</w:t>
            </w:r>
            <w:r/>
          </w:p>
        </w:tc>
        <w:tc>
          <w:tcPr>
            <w:tcBorders/>
          </w:tcPr>
          <w:p>
            <w:pPr>
              <w:pStyle w:val="964"/>
              <w:pBdr/>
              <w:spacing/>
              <w:ind/>
              <w:rPr/>
            </w:pPr>
            <w:r>
              <w:t xml:space="preserve">Document commitments and who can change them.</w:t>
            </w:r>
            <w:r/>
          </w:p>
        </w:tc>
        <w:tc>
          <w:tcPr>
            <w:tcBorders/>
          </w:tcPr>
          <w:p>
            <w:pPr>
              <w:pStyle w:val="964"/>
              <w:pBdr/>
              <w:spacing/>
              <w:ind/>
              <w:rPr/>
            </w:pPr>
            <w:r>
              <w:t xml:space="preserve">Compare provider behavior against promises made to users and contributors.</w:t>
            </w:r>
            <w:r/>
          </w:p>
        </w:tc>
      </w:tr>
      <w:tr>
        <w:trPr/>
        <w:tc>
          <w:tcPr>
            <w:tcBorders/>
          </w:tcPr>
          <w:p>
            <w:pPr>
              <w:pStyle w:val="964"/>
              <w:pBdr/>
              <w:spacing/>
              <w:ind/>
              <w:rPr/>
            </w:pPr>
            <w:r>
              <w:rPr>
                <w:b/>
                <w:bCs/>
              </w:rPr>
              <w:t xml:space="preserve">Ihsan (Excellence)</w:t>
            </w:r>
            <w:r/>
          </w:p>
        </w:tc>
        <w:tc>
          <w:tcPr>
            <w:tcBorders/>
          </w:tcPr>
          <w:p>
            <w:pPr>
              <w:pStyle w:val="964"/>
              <w:pBdr/>
              <w:spacing/>
              <w:ind/>
              <w:rPr/>
            </w:pPr>
            <w:r>
              <w:t xml:space="preserve">Aim for durable usefulness rather than minimal compliance.</w:t>
            </w:r>
            <w:r/>
          </w:p>
        </w:tc>
        <w:tc>
          <w:tcPr>
            <w:tcBorders/>
          </w:tcPr>
          <w:p>
            <w:pPr>
              <w:pStyle w:val="964"/>
              <w:pBdr/>
              <w:spacing/>
              <w:ind/>
              <w:rPr/>
            </w:pPr>
            <w:r>
              <w:t xml:space="preserve">Make the product understandable, accessible, and respectful.</w:t>
            </w:r>
            <w:r/>
          </w:p>
        </w:tc>
        <w:tc>
          <w:tcPr>
            <w:tcBorders/>
          </w:tcPr>
          <w:p>
            <w:pPr>
              <w:pStyle w:val="964"/>
              <w:pBdr/>
              <w:spacing/>
              <w:ind/>
              <w:rPr/>
            </w:pPr>
            <w:r>
              <w:t xml:space="preserve">Build robust, maintainable, and well-documented systems.</w:t>
            </w:r>
            <w:r/>
          </w:p>
        </w:tc>
        <w:tc>
          <w:tcPr>
            <w:tcBorders/>
          </w:tcPr>
          <w:p>
            <w:pPr>
              <w:pStyle w:val="964"/>
              <w:pBdr/>
              <w:spacing/>
              <w:ind/>
              <w:rPr/>
            </w:pPr>
            <w:r>
              <w:t xml:space="preserve">Improve support, reliability, and maintenance quality.</w:t>
            </w:r>
            <w:r/>
          </w:p>
        </w:tc>
        <w:tc>
          <w:tcPr>
            <w:tcBorders/>
          </w:tcPr>
          <w:p>
            <w:pPr>
              <w:pStyle w:val="964"/>
              <w:pBdr/>
              <w:spacing/>
              <w:ind/>
              <w:rPr/>
            </w:pPr>
            <w:r>
              <w:t xml:space="preserve">Encourage review practices that raise quality.</w:t>
            </w:r>
            <w:r/>
          </w:p>
        </w:tc>
        <w:tc>
          <w:tcPr>
            <w:tcBorders/>
          </w:tcPr>
          <w:p>
            <w:pPr>
              <w:pStyle w:val="964"/>
              <w:pBdr/>
              <w:spacing/>
              <w:ind/>
              <w:rPr/>
            </w:pPr>
            <w:r>
              <w:t xml:space="preserve">Evaluate excellence through usefulness, reliability, and stakeholder benefit.</w:t>
            </w:r>
            <w:r/>
          </w:p>
        </w:tc>
      </w:tr>
      <w:tr>
        <w:trPr/>
        <w:tc>
          <w:tcPr>
            <w:tcBorders/>
          </w:tcPr>
          <w:p>
            <w:pPr>
              <w:pStyle w:val="964"/>
              <w:pBdr/>
              <w:spacing/>
              <w:ind/>
              <w:rPr/>
            </w:pPr>
            <w:r>
              <w:rPr>
                <w:b/>
                <w:bCs/>
              </w:rPr>
              <w:t xml:space="preserve">Haya (Modesty and Propriety)</w:t>
            </w:r>
            <w:r/>
          </w:p>
        </w:tc>
        <w:tc>
          <w:tcPr>
            <w:tcBorders/>
          </w:tcPr>
          <w:p>
            <w:pPr>
              <w:pStyle w:val="964"/>
              <w:pBdr/>
              <w:spacing/>
              <w:ind/>
              <w:rPr/>
            </w:pPr>
            <w:r>
              <w:t xml:space="preserve">Avoid branding or positioning that conflicts with the community’s moral context.</w:t>
            </w:r>
            <w:r/>
          </w:p>
        </w:tc>
        <w:tc>
          <w:tcPr>
            <w:tcBorders/>
          </w:tcPr>
          <w:p>
            <w:pPr>
              <w:pStyle w:val="964"/>
              <w:pBdr/>
              <w:spacing/>
              <w:ind/>
              <w:rPr/>
            </w:pPr>
            <w:r>
              <w:t xml:space="preserve">Use appropriate imagery, defaults, and recommendation settings.</w:t>
            </w:r>
            <w:r/>
          </w:p>
        </w:tc>
        <w:tc>
          <w:tcPr>
            <w:tcBorders/>
          </w:tcPr>
          <w:p>
            <w:pPr>
              <w:pStyle w:val="964"/>
              <w:pBdr/>
              <w:spacing/>
              <w:ind/>
              <w:rPr/>
            </w:pPr>
            <w:r>
              <w:t xml:space="preserve">Provide content controls and context-sensitive defaults where needed.</w:t>
            </w:r>
            <w:r/>
          </w:p>
        </w:tc>
        <w:tc>
          <w:tcPr>
            <w:tcBorders/>
          </w:tcPr>
          <w:p>
            <w:pPr>
              <w:pStyle w:val="964"/>
              <w:pBdr/>
              <w:spacing/>
              <w:ind/>
              <w:rPr/>
            </w:pPr>
            <w:r>
              <w:t xml:space="preserve">Moderate explicit or degrading content according to the stated community scope.</w:t>
            </w:r>
            <w:r/>
          </w:p>
        </w:tc>
        <w:tc>
          <w:tcPr>
            <w:tcBorders/>
          </w:tcPr>
          <w:p>
            <w:pPr>
              <w:pStyle w:val="964"/>
              <w:pBdr/>
              <w:spacing/>
              <w:ind/>
              <w:rPr/>
            </w:pPr>
            <w:r>
              <w:t xml:space="preserve">Define who decides contested propriety questions and how appeals work.</w:t>
            </w:r>
            <w:r/>
          </w:p>
        </w:tc>
        <w:tc>
          <w:tcPr>
            <w:tcBorders/>
          </w:tcPr>
          <w:p>
            <w:pPr>
              <w:pStyle w:val="964"/>
              <w:pBdr/>
              <w:spacing/>
              <w:ind/>
              <w:rPr/>
            </w:pPr>
            <w:r>
              <w:t xml:space="preserve">Review whether defaults still fit the intended audience and context.</w:t>
            </w:r>
            <w:r/>
          </w:p>
        </w:tc>
      </w:tr>
      <w:tr>
        <w:trPr/>
        <w:tc>
          <w:tcPr>
            <w:tcBorders/>
          </w:tcPr>
          <w:p>
            <w:pPr>
              <w:pStyle w:val="964"/>
              <w:pBdr/>
              <w:spacing/>
              <w:ind/>
              <w:rPr/>
            </w:pPr>
            <w:r>
              <w:rPr>
                <w:b/>
                <w:bCs/>
              </w:rPr>
              <w:t xml:space="preserve">Avoiding Tajassus (Intrusive Spying)</w:t>
            </w:r>
            <w:r/>
          </w:p>
        </w:tc>
        <w:tc>
          <w:tcPr>
            <w:tcBorders/>
          </w:tcPr>
          <w:p>
            <w:pPr>
              <w:pStyle w:val="964"/>
              <w:pBdr/>
              <w:spacing/>
              <w:ind/>
              <w:rPr/>
            </w:pPr>
            <w:r>
              <w:t xml:space="preserve">Avoid business models dependent on unnecessary surveillance.</w:t>
            </w:r>
            <w:r/>
          </w:p>
        </w:tc>
        <w:tc>
          <w:tcPr>
            <w:tcBorders/>
          </w:tcPr>
          <w:p>
            <w:pPr>
              <w:pStyle w:val="964"/>
              <w:pBdr/>
              <w:spacing/>
              <w:ind/>
              <w:rPr/>
            </w:pPr>
            <w:r>
              <w:t xml:space="preserve">Make privacy choices understandable and non-punitive.</w:t>
            </w:r>
            <w:r/>
          </w:p>
        </w:tc>
        <w:tc>
          <w:tcPr>
            <w:tcBorders/>
          </w:tcPr>
          <w:p>
            <w:pPr>
              <w:pStyle w:val="964"/>
              <w:pBdr/>
              <w:spacing/>
              <w:ind/>
              <w:rPr/>
            </w:pPr>
            <w:r>
              <w:t xml:space="preserve">Minimize data collection, tracking, fingerprinting, and retention.</w:t>
            </w:r>
            <w:r/>
          </w:p>
        </w:tc>
        <w:tc>
          <w:tcPr>
            <w:tcBorders/>
          </w:tcPr>
          <w:p>
            <w:pPr>
              <w:pStyle w:val="964"/>
              <w:pBdr/>
              <w:spacing/>
              <w:ind/>
              <w:rPr/>
            </w:pPr>
            <w:r>
              <w:t xml:space="preserve">Restrict access, sharing, and secondary use.</w:t>
            </w:r>
            <w:r/>
          </w:p>
        </w:tc>
        <w:tc>
          <w:tcPr>
            <w:tcBorders/>
          </w:tcPr>
          <w:p>
            <w:pPr>
              <w:pStyle w:val="964"/>
              <w:pBdr/>
              <w:spacing/>
              <w:ind/>
              <w:rPr/>
            </w:pPr>
            <w:r>
              <w:t xml:space="preserve">Require justification and review for intrusive data practices.</w:t>
            </w:r>
            <w:r/>
          </w:p>
        </w:tc>
        <w:tc>
          <w:tcPr>
            <w:tcBorders/>
          </w:tcPr>
          <w:p>
            <w:pPr>
              <w:pStyle w:val="964"/>
              <w:pBdr/>
              <w:spacing/>
              <w:ind/>
              <w:rPr/>
            </w:pPr>
            <w:r>
              <w:t xml:space="preserve">Audit whether each data point remains necessary, proportionate, and disclosed.</w:t>
            </w:r>
            <w:bookmarkEnd w:id="57"/>
            <w:r/>
          </w:p>
        </w:tc>
      </w:tr>
    </w:tbl>
    <w:p>
      <w:pPr>
        <w:pStyle w:val="978"/>
        <w:pBdr/>
        <w:spacing/>
        <w:ind/>
        <w:rPr/>
      </w:pPr>
      <w:r/>
      <w:bookmarkStart w:id="58" w:name="provider-application-procedure"/>
      <w:r>
        <w:t xml:space="preserve">Provider Application Procedure</w:t>
      </w:r>
      <w:r/>
    </w:p>
    <w:p>
      <w:pPr>
        <w:pStyle w:val="963"/>
        <w:pBdr/>
        <w:spacing/>
        <w:ind/>
        <w:rPr/>
      </w:pPr>
      <w:r>
        <w:t xml:space="preserve">A provider can apply the framework through the following sequence:</w:t>
      </w:r>
      <w:r/>
    </w:p>
    <w:p>
      <w:pPr>
        <w:pStyle w:val="964"/>
        <w:numPr>
          <w:ilvl w:val="0"/>
          <w:numId w:val="33"/>
        </w:numPr>
        <w:pBdr/>
        <w:spacing/>
        <w:ind/>
        <w:rPr/>
      </w:pPr>
      <w:r>
        <w:rPr>
          <w:b/>
          <w:bCs/>
        </w:rPr>
        <w:t xml:space="preserve">Define the solution boundary:</w:t>
      </w:r>
      <w:r>
        <w:t xml:space="preserve"> Identify the software solution, the provider’s continuing responsibilities, and the stakeholders who may be helped or harmed.</w:t>
      </w:r>
      <w:r/>
    </w:p>
    <w:p>
      <w:pPr>
        <w:pStyle w:val="964"/>
        <w:numPr>
          <w:ilvl w:val="0"/>
          <w:numId w:val="33"/>
        </w:numPr>
        <w:pBdr/>
        <w:spacing/>
        <w:ind/>
        <w:rPr/>
      </w:pPr>
      <w:r>
        <w:rPr>
          <w:b/>
          <w:bCs/>
        </w:rPr>
        <w:t xml:space="preserve">Select relevant principles:</w:t>
      </w:r>
      <w:r>
        <w:t xml:space="preserve"> Start from the selected principles in the framework and explain why each principle is relevant to the product context.</w:t>
      </w:r>
      <w:r/>
    </w:p>
    <w:p>
      <w:pPr>
        <w:pStyle w:val="964"/>
        <w:numPr>
          <w:ilvl w:val="0"/>
          <w:numId w:val="33"/>
        </w:numPr>
        <w:pBdr/>
        <w:spacing/>
        <w:ind/>
        <w:rPr/>
      </w:pPr>
      <w:r>
        <w:rPr>
          <w:b/>
          <w:bCs/>
        </w:rPr>
        <w:t xml:space="preserve">Map decisions across domains:</w:t>
      </w:r>
      <w:r>
        <w:t xml:space="preserve"> For each principle, identify strategic, design, technical, operational, governance, and evaluation decisions that express or threaten that principle.</w:t>
      </w:r>
      <w:r/>
    </w:p>
    <w:p>
      <w:pPr>
        <w:pStyle w:val="964"/>
        <w:numPr>
          <w:ilvl w:val="0"/>
          <w:numId w:val="33"/>
        </w:numPr>
        <w:pBdr/>
        <w:spacing/>
        <w:ind/>
        <w:rPr/>
      </w:pPr>
      <w:r>
        <w:rPr>
          <w:b/>
          <w:bCs/>
        </w:rPr>
        <w:t xml:space="preserve">Convert tensions into heuristics:</w:t>
      </w:r>
      <w:r>
        <w:t xml:space="preserve"> Turn the strongest value tensions into practical design heuristics, decision rules, or review questions.</w:t>
      </w:r>
      <w:r/>
    </w:p>
    <w:p>
      <w:pPr>
        <w:pStyle w:val="964"/>
        <w:numPr>
          <w:ilvl w:val="0"/>
          <w:numId w:val="33"/>
        </w:numPr>
        <w:pBdr/>
        <w:spacing/>
        <w:ind/>
        <w:rPr/>
      </w:pPr>
      <w:r>
        <w:rPr>
          <w:b/>
          <w:bCs/>
        </w:rPr>
        <w:t xml:space="preserve">Document tradeoffs and evidence level:</w:t>
      </w:r>
      <w:r>
        <w:t xml:space="preserve"> Mark whether each claim is conceptual, design-based, illustrative, empirical, or future work.</w:t>
      </w:r>
      <w:r/>
    </w:p>
    <w:p>
      <w:pPr>
        <w:pStyle w:val="964"/>
        <w:numPr>
          <w:ilvl w:val="0"/>
          <w:numId w:val="33"/>
        </w:numPr>
        <w:pBdr/>
        <w:spacing/>
        <w:ind/>
        <w:rPr/>
      </w:pPr>
      <w:r>
        <w:rPr>
          <w:b/>
          <w:bCs/>
        </w:rPr>
        <w:t xml:space="preserve">Apply and review:</w:t>
      </w:r>
      <w:r>
        <w:t xml:space="preserve"> Use the matrix during case analysis or product development, then revisit it when new stakeholders, risks, or evidence appear.</w:t>
      </w:r>
      <w:r/>
    </w:p>
    <w:p>
      <w:pPr>
        <w:pStyle w:val="963"/>
        <w:pBdr/>
        <w:spacing/>
        <w:ind/>
        <w:rPr/>
      </w:pPr>
      <w:r>
        <w:t xml:space="preserve">This pro</w:t>
      </w:r>
      <w:r>
        <w:t xml:space="preserve">cedure supports structured ethical design reasoning. It does not by itself establish that a product is ethical, that users trust it, or that the framework generalizes across all software categories. Those stronger claims require further empirical evidence.</w:t>
      </w:r>
      <w:r/>
    </w:p>
    <w:p>
      <w:pPr>
        <w:pBdr/>
        <w:spacing/>
        <w:ind/>
        <w:rPr/>
      </w:pPr>
      <w:r>
        <mc:AlternateContent>
          <mc:Choice Requires="wpg">
            <w:drawing>
              <wp:inline xmlns:wp="http://schemas.openxmlformats.org/drawingml/2006/wordprocessingDrawing" distT="0" distB="0" distL="0" distR="0">
                <wp:extent cx="0" cy="19050"/>
                <wp:effectExtent l="0" t="0" r="0" b="0"/>
                <wp:docPr id="3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7" o:spid="_x0000_s37" o:spt="1" type="#_x0000_t1" style="width:0.00pt;height:1.50pt;mso-wrap-distance-left:0.00pt;mso-wrap-distance-top:0.00pt;mso-wrap-distance-right:0.00pt;mso-wrap-distance-bottom:0.00pt;visibility:visible;" fillcolor="#FFFFFF" strokecolor="#000000"/>
            </w:pict>
          </mc:Fallback>
        </mc:AlternateContent>
      </w:r>
      <w:bookmarkEnd w:id="58"/>
      <w:bookmarkEnd w:id="59"/>
      <w:bookmarkEnd w:id="60"/>
      <w:r/>
    </w:p>
    <w:p>
      <w:pPr>
        <w:pStyle w:val="976"/>
        <w:pBdr/>
        <w:spacing/>
        <w:ind/>
        <w:rPr/>
      </w:pPr>
      <w:r/>
      <w:bookmarkStart w:id="68" w:name="X5db13c4995d4f66b29d47fdaf4f0e01601d583f"/>
      <w:r>
        <w:t xml:space="preserve">3.3 Translating Principles into Practice: From Ethics to Design Heuristics</w:t>
      </w:r>
      <w:r/>
    </w:p>
    <w:p>
      <w:pPr>
        <w:pStyle w:val="963"/>
        <w:pBdr/>
        <w:spacing/>
        <w:ind/>
        <w:rPr/>
      </w:pPr>
      <w:r>
        <w:t xml:space="preserve">This section turns the I-VSD framework from Section 3.2 into practical heuristic sets</w:t>
      </w:r>
      <w:r>
        <w:t xml:space="preserve"> for provider-mediated software solutions. The heuristics are organized around recurring provider decision areas: architecture, interface design, data governance, content governance, AI and algorithmic systems, marketing communication, and business models.</w:t>
      </w:r>
      <w:r/>
    </w:p>
    <w:p>
      <w:pPr>
        <w:pStyle w:val="962"/>
        <w:pBdr/>
        <w:spacing/>
        <w:ind/>
        <w:rPr/>
      </w:pPr>
      <w:r>
        <w:t xml:space="preserve">These heuristics are not empirical findings and do not by themselves establish that a product is ethical. They function a</w:t>
      </w:r>
      <w:r>
        <w:t xml:space="preserve">s design-reasoning prompts: they help a software provider connect selected Islamic principles to concrete choices, document tradeoffs, and identify where stronger stakeholder research, scholarly review, technical audit, or operational evaluation is needed.</w:t>
      </w:r>
      <w:r/>
    </w:p>
    <w:p>
      <w:pPr>
        <w:pBdr/>
        <w:spacing/>
        <w:ind/>
        <w:rPr/>
      </w:pPr>
      <w:r>
        <mc:AlternateContent>
          <mc:Choice Requires="wpg">
            <w:drawing>
              <wp:inline xmlns:wp="http://schemas.openxmlformats.org/drawingml/2006/wordprocessingDrawing" distT="0" distB="0" distL="0" distR="0">
                <wp:extent cx="0" cy="19050"/>
                <wp:effectExtent l="0" t="0" r="0" b="0"/>
                <wp:docPr id="3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8" o:spid="_x0000_s38"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61" w:name="architecture-heuristics"/>
      <w:r>
        <w:t xml:space="preserve">3.3.1 Architecture Heuristics</w:t>
      </w:r>
      <w:r/>
    </w:p>
    <w:p>
      <w:pPr>
        <w:pStyle w:val="963"/>
        <w:pBdr/>
        <w:spacing/>
        <w:ind/>
        <w:rPr/>
      </w:pPr>
      <w:r>
        <w:t xml:space="preserve">Arch</w:t>
      </w:r>
      <w:r>
        <w:t xml:space="preserve">itecture decisions shape ownership, dependency, resilience, privacy, interoperability, and long-term accountability. In I-VSD, architecture is therefore not only a technical matter; it is part of the provider’s Amanah toward users and affected communities.</w:t>
      </w:r>
      <w:r/>
    </w:p>
    <w:p>
      <w:pPr>
        <w:pStyle w:val="962"/>
        <w:pBdr/>
        <w:spacing/>
        <w:ind/>
        <w:rPr/>
      </w:pPr>
      <w:r>
        <w:rPr>
          <w:b/>
          <w:bCs/>
        </w:rPr>
        <w:t xml:space="preserve">Domain Emphasis:</w:t>
      </w:r>
      <w:r>
        <w:t xml:space="preserve"> Technical, Governance, Operational, and Evaluation domains.</w:t>
      </w:r>
      <w:r/>
    </w:p>
    <w:p>
      <w:pPr>
        <w:pStyle w:val="962"/>
        <w:pBdr/>
        <w:spacing/>
        <w:ind/>
        <w:rPr/>
      </w:pPr>
      <w:r>
        <w:rPr>
          <w:b/>
          <w:bCs/>
        </w:rPr>
        <w:t xml:space="preserve">Heuristic: Avoid Unjustified Lock-In</w:t>
      </w:r>
      <w:r/>
    </w:p>
    <w:p>
      <w:pPr>
        <w:pStyle w:val="964"/>
        <w:numPr>
          <w:ilvl w:val="0"/>
          <w:numId w:val="34"/>
        </w:numPr>
        <w:pBdr/>
        <w:spacing/>
        <w:ind/>
        <w:rPr/>
      </w:pPr>
      <w:r>
        <w:rPr>
          <w:b/>
          <w:bCs/>
        </w:rPr>
        <w:t xml:space="preserve">Islamic Principle:</w:t>
      </w:r>
      <w:r>
        <w:t xml:space="preserve"> Amanah, Adl, Wafa</w:t>
      </w:r>
      <w:r/>
    </w:p>
    <w:p>
      <w:pPr>
        <w:pStyle w:val="964"/>
        <w:numPr>
          <w:ilvl w:val="0"/>
          <w:numId w:val="34"/>
        </w:numPr>
        <w:pBdr/>
        <w:spacing/>
        <w:ind/>
        <w:rPr/>
      </w:pPr>
      <w:r>
        <w:rPr>
          <w:b/>
          <w:bCs/>
        </w:rPr>
        <w:t xml:space="preserve">Provider Question:</w:t>
      </w:r>
      <w:r>
        <w:t xml:space="preserve"> Can users reasonably leave, export, migrate, or self-host without being punished for trusting the system?</w:t>
      </w:r>
      <w:r/>
    </w:p>
    <w:p>
      <w:pPr>
        <w:pStyle w:val="964"/>
        <w:numPr>
          <w:ilvl w:val="0"/>
          <w:numId w:val="34"/>
        </w:numPr>
        <w:pBdr/>
        <w:spacing/>
        <w:ind/>
        <w:rPr/>
      </w:pPr>
      <w:r>
        <w:rPr>
          <w:b/>
          <w:bCs/>
        </w:rPr>
        <w:t xml:space="preserve">Implementation Directions:</w:t>
      </w:r>
      <w:r/>
    </w:p>
    <w:p>
      <w:pPr>
        <w:pStyle w:val="964"/>
        <w:numPr>
          <w:ilvl w:val="1"/>
          <w:numId w:val="35"/>
        </w:numPr>
        <w:pBdr/>
        <w:spacing/>
        <w:ind/>
        <w:rPr/>
      </w:pPr>
      <w:r>
        <w:t xml:space="preserve">Prefer open standards and documented APIs where practical.</w:t>
      </w:r>
      <w:r/>
    </w:p>
    <w:p>
      <w:pPr>
        <w:pStyle w:val="964"/>
        <w:numPr>
          <w:ilvl w:val="1"/>
          <w:numId w:val="35"/>
        </w:numPr>
        <w:pBdr/>
        <w:spacing/>
        <w:ind/>
        <w:rPr/>
      </w:pPr>
      <w:r>
        <w:t xml:space="preserve">Provide meaningful data export and migration paths.</w:t>
      </w:r>
      <w:r/>
    </w:p>
    <w:p>
      <w:pPr>
        <w:pStyle w:val="964"/>
        <w:numPr>
          <w:ilvl w:val="1"/>
          <w:numId w:val="35"/>
        </w:numPr>
        <w:pBdr/>
        <w:spacing/>
        <w:ind/>
        <w:rPr/>
      </w:pPr>
      <w:r>
        <w:t xml:space="preserve">Avoid proprietary formats when an interoperable alternative is feasible.</w:t>
      </w:r>
      <w:r/>
    </w:p>
    <w:p>
      <w:pPr>
        <w:pStyle w:val="964"/>
        <w:numPr>
          <w:ilvl w:val="1"/>
          <w:numId w:val="35"/>
        </w:numPr>
        <w:pBdr/>
        <w:spacing/>
        <w:ind/>
        <w:rPr/>
      </w:pPr>
      <w:r>
        <w:t xml:space="preserve">Explain unavoidable lock-in and review whether it is proportionate to a real technical need.</w:t>
      </w:r>
      <w:r/>
    </w:p>
    <w:p>
      <w:pPr>
        <w:pStyle w:val="963"/>
        <w:pBdr/>
        <w:spacing/>
        <w:ind/>
        <w:rPr/>
      </w:pPr>
      <w:r>
        <w:rPr>
          <w:b/>
          <w:bCs/>
        </w:rPr>
        <w:t xml:space="preserve">Heuristic: Prioritize Data Sovereignty</w:t>
      </w:r>
      <w:r/>
    </w:p>
    <w:p>
      <w:pPr>
        <w:pStyle w:val="964"/>
        <w:numPr>
          <w:ilvl w:val="0"/>
          <w:numId w:val="36"/>
        </w:numPr>
        <w:pBdr/>
        <w:spacing/>
        <w:ind/>
        <w:rPr/>
      </w:pPr>
      <w:r>
        <w:rPr>
          <w:b/>
          <w:bCs/>
        </w:rPr>
        <w:t xml:space="preserve">Islamic Principle:</w:t>
      </w:r>
      <w:r>
        <w:t xml:space="preserve"> Amanah, avoiding Tajassus, La Darar</w:t>
      </w:r>
      <w:r/>
    </w:p>
    <w:p>
      <w:pPr>
        <w:pStyle w:val="964"/>
        <w:numPr>
          <w:ilvl w:val="0"/>
          <w:numId w:val="36"/>
        </w:numPr>
        <w:pBdr/>
        <w:spacing/>
        <w:ind/>
        <w:rPr/>
      </w:pPr>
      <w:r>
        <w:rPr>
          <w:b/>
          <w:bCs/>
        </w:rPr>
        <w:t xml:space="preserve">Provider Question:</w:t>
      </w:r>
      <w:r>
        <w:t xml:space="preserve"> Who controls the data, where is it stored, and what happens if the provider changes policy, ownership, or infrastructure?</w:t>
      </w:r>
      <w:r/>
    </w:p>
    <w:p>
      <w:pPr>
        <w:pStyle w:val="964"/>
        <w:numPr>
          <w:ilvl w:val="0"/>
          <w:numId w:val="36"/>
        </w:numPr>
        <w:pBdr/>
        <w:spacing/>
        <w:ind/>
        <w:rPr/>
      </w:pPr>
      <w:r>
        <w:rPr>
          <w:b/>
          <w:bCs/>
        </w:rPr>
        <w:t xml:space="preserve">Implementation Directions:</w:t>
      </w:r>
      <w:r/>
    </w:p>
    <w:p>
      <w:pPr>
        <w:pStyle w:val="964"/>
        <w:numPr>
          <w:ilvl w:val="1"/>
          <w:numId w:val="37"/>
        </w:numPr>
        <w:pBdr/>
        <w:spacing/>
        <w:ind/>
        <w:rPr/>
      </w:pPr>
      <w:r>
        <w:t xml:space="preserve">Disclose hosting location, retention expectations, and data-processing responsibilities.</w:t>
      </w:r>
      <w:r/>
    </w:p>
    <w:p>
      <w:pPr>
        <w:pStyle w:val="964"/>
        <w:numPr>
          <w:ilvl w:val="1"/>
          <w:numId w:val="37"/>
        </w:numPr>
        <w:pBdr/>
        <w:spacing/>
        <w:ind/>
        <w:rPr/>
      </w:pPr>
      <w:r>
        <w:t xml:space="preserve">Support self-hosting, tenant isolation, or portability where the product context makes this reasonable.</w:t>
      </w:r>
      <w:r/>
    </w:p>
    <w:p>
      <w:pPr>
        <w:pStyle w:val="964"/>
        <w:numPr>
          <w:ilvl w:val="1"/>
          <w:numId w:val="37"/>
        </w:numPr>
        <w:pBdr/>
        <w:spacing/>
        <w:ind/>
        <w:rPr/>
      </w:pPr>
      <w:r>
        <w:t xml:space="preserve">Separate user-owned content from provider analytics and operational logs.</w:t>
      </w:r>
      <w:r/>
    </w:p>
    <w:p>
      <w:pPr>
        <w:pStyle w:val="964"/>
        <w:numPr>
          <w:ilvl w:val="1"/>
          <w:numId w:val="37"/>
        </w:numPr>
        <w:pBdr/>
        <w:spacing/>
        <w:ind/>
        <w:rPr/>
      </w:pPr>
      <w:r>
        <w:t xml:space="preserve">Make administrative access, backup access, and deletion responsibilities explicit.</w:t>
      </w:r>
      <w:r/>
    </w:p>
    <w:p>
      <w:pPr>
        <w:pStyle w:val="963"/>
        <w:pBdr/>
        <w:spacing/>
        <w:ind/>
        <w:rPr/>
      </w:pPr>
      <w:r>
        <w:rPr>
          <w:b/>
          <w:bCs/>
        </w:rPr>
        <w:t xml:space="preserve">Heuristic: Treat Security as a Moral Obligation</w:t>
      </w:r>
      <w:r/>
    </w:p>
    <w:p>
      <w:pPr>
        <w:pStyle w:val="964"/>
        <w:numPr>
          <w:ilvl w:val="0"/>
          <w:numId w:val="38"/>
        </w:numPr>
        <w:pBdr/>
        <w:spacing/>
        <w:ind/>
        <w:rPr/>
      </w:pPr>
      <w:r>
        <w:rPr>
          <w:b/>
          <w:bCs/>
        </w:rPr>
        <w:t xml:space="preserve">Islamic Principle:</w:t>
      </w:r>
      <w:r>
        <w:t xml:space="preserve"> Amanah, La Darar, Wafa</w:t>
      </w:r>
      <w:r/>
    </w:p>
    <w:p>
      <w:pPr>
        <w:pStyle w:val="964"/>
        <w:numPr>
          <w:ilvl w:val="0"/>
          <w:numId w:val="38"/>
        </w:numPr>
        <w:pBdr/>
        <w:spacing/>
        <w:ind/>
        <w:rPr/>
      </w:pPr>
      <w:r>
        <w:rPr>
          <w:b/>
          <w:bCs/>
        </w:rPr>
        <w:t xml:space="preserve">Provider Question:</w:t>
      </w:r>
      <w:r>
        <w:t xml:space="preserve"> Have foreseeable security harms been reduced with practices proportionate to the sensitivity of the system?</w:t>
      </w:r>
      <w:r/>
    </w:p>
    <w:p>
      <w:pPr>
        <w:pStyle w:val="964"/>
        <w:numPr>
          <w:ilvl w:val="0"/>
          <w:numId w:val="38"/>
        </w:numPr>
        <w:pBdr/>
        <w:spacing/>
        <w:ind/>
        <w:rPr/>
      </w:pPr>
      <w:r>
        <w:rPr>
          <w:b/>
          <w:bCs/>
        </w:rPr>
        <w:t xml:space="preserve">Implementation Directions:</w:t>
      </w:r>
      <w:r/>
    </w:p>
    <w:p>
      <w:pPr>
        <w:pStyle w:val="964"/>
        <w:numPr>
          <w:ilvl w:val="1"/>
          <w:numId w:val="39"/>
        </w:numPr>
        <w:pBdr/>
        <w:spacing/>
        <w:ind/>
        <w:rPr/>
      </w:pPr>
      <w:r>
        <w:t xml:space="preserve">Use appropriate password hashing, key management, access control, and patching practices.</w:t>
      </w:r>
      <w:r/>
    </w:p>
    <w:p>
      <w:pPr>
        <w:pStyle w:val="964"/>
        <w:numPr>
          <w:ilvl w:val="1"/>
          <w:numId w:val="39"/>
        </w:numPr>
        <w:pBdr/>
        <w:spacing/>
        <w:ind/>
        <w:rPr/>
      </w:pPr>
      <w:r>
        <w:t xml:space="preserve">Maintain a vulnerability-reporting path and response process.</w:t>
      </w:r>
      <w:r/>
    </w:p>
    <w:p>
      <w:pPr>
        <w:pStyle w:val="964"/>
        <w:numPr>
          <w:ilvl w:val="1"/>
          <w:numId w:val="39"/>
        </w:numPr>
        <w:pBdr/>
        <w:spacing/>
        <w:ind/>
        <w:rPr/>
      </w:pPr>
      <w:r>
        <w:t xml:space="preserve">Encrypt sensitive data in transit and, where appropriate, at rest or end-to-end.</w:t>
      </w:r>
      <w:r/>
    </w:p>
    <w:p>
      <w:pPr>
        <w:pStyle w:val="964"/>
        <w:numPr>
          <w:ilvl w:val="1"/>
          <w:numId w:val="39"/>
        </w:numPr>
        <w:pBdr/>
        <w:spacing/>
        <w:ind/>
        <w:rPr/>
      </w:pPr>
      <w:r>
        <w:t xml:space="preserve">Review third-party dependencies and infrastructure providers as part of the trust boundary.</w:t>
      </w:r>
      <w:r/>
    </w:p>
    <w:p>
      <w:pPr>
        <w:pStyle w:val="963"/>
        <w:pBdr/>
        <w:spacing/>
        <w:ind/>
        <w:rPr/>
      </w:pPr>
      <w:r>
        <w:rPr>
          <w:b/>
          <w:bCs/>
        </w:rPr>
        <w:t xml:space="preserve">Heuristic: Design for Continuity and Exit</w:t>
      </w:r>
      <w:r/>
    </w:p>
    <w:p>
      <w:pPr>
        <w:pStyle w:val="964"/>
        <w:numPr>
          <w:ilvl w:val="0"/>
          <w:numId w:val="40"/>
        </w:numPr>
        <w:pBdr/>
        <w:spacing/>
        <w:ind/>
        <w:rPr/>
      </w:pPr>
      <w:r>
        <w:rPr>
          <w:b/>
          <w:bCs/>
        </w:rPr>
        <w:t xml:space="preserve">Islamic Principle:</w:t>
      </w:r>
      <w:r>
        <w:t xml:space="preserve"> Wafa, Ihsan, Amanah</w:t>
      </w:r>
      <w:r/>
    </w:p>
    <w:p>
      <w:pPr>
        <w:pStyle w:val="964"/>
        <w:numPr>
          <w:ilvl w:val="0"/>
          <w:numId w:val="40"/>
        </w:numPr>
        <w:pBdr/>
        <w:spacing/>
        <w:ind/>
        <w:rPr/>
      </w:pPr>
      <w:r>
        <w:rPr>
          <w:b/>
          <w:bCs/>
        </w:rPr>
        <w:t xml:space="preserve">Provider Question:</w:t>
      </w:r>
      <w:r>
        <w:t xml:space="preserve"> If the provider can no longer maintain the service, what protects users from abandonment, data loss, or broken promises?</w:t>
      </w:r>
      <w:r/>
    </w:p>
    <w:p>
      <w:pPr>
        <w:pStyle w:val="964"/>
        <w:numPr>
          <w:ilvl w:val="0"/>
          <w:numId w:val="40"/>
        </w:numPr>
        <w:pBdr/>
        <w:spacing/>
        <w:ind/>
        <w:rPr/>
      </w:pPr>
      <w:r>
        <w:rPr>
          <w:b/>
          <w:bCs/>
        </w:rPr>
        <w:t xml:space="preserve">Implementation Directions:</w:t>
      </w:r>
      <w:r/>
    </w:p>
    <w:p>
      <w:pPr>
        <w:pStyle w:val="964"/>
        <w:numPr>
          <w:ilvl w:val="1"/>
          <w:numId w:val="41"/>
        </w:numPr>
        <w:pBdr/>
        <w:spacing/>
        <w:ind/>
        <w:rPr/>
      </w:pPr>
      <w:r>
        <w:t xml:space="preserve">Document continuity, backup, and shutdown expectations.</w:t>
      </w:r>
      <w:r/>
    </w:p>
    <w:p>
      <w:pPr>
        <w:pStyle w:val="964"/>
        <w:numPr>
          <w:ilvl w:val="1"/>
          <w:numId w:val="41"/>
        </w:numPr>
        <w:pBdr/>
        <w:spacing/>
        <w:ind/>
        <w:rPr/>
      </w:pPr>
      <w:r>
        <w:t xml:space="preserve">Provide export, archival, or handover paths before discontinuing important services.</w:t>
      </w:r>
      <w:r/>
    </w:p>
    <w:p>
      <w:pPr>
        <w:pStyle w:val="964"/>
        <w:numPr>
          <w:ilvl w:val="1"/>
          <w:numId w:val="41"/>
        </w:numPr>
        <w:pBdr/>
        <w:spacing/>
        <w:ind/>
        <w:rPr/>
      </w:pPr>
      <w:r>
        <w:t xml:space="preserve">Avoid architectures that make a community fully dependent on a single opaque provider.</w:t>
      </w:r>
      <w:r/>
    </w:p>
    <w:p>
      <w:pPr>
        <w:pStyle w:val="964"/>
        <w:numPr>
          <w:ilvl w:val="1"/>
          <w:numId w:val="41"/>
        </w:numPr>
        <w:pBdr/>
        <w:spacing/>
        <w:ind/>
        <w:rPr/>
      </w:pPr>
      <w:r>
        <w:t xml:space="preserve">Review whether open-source, federation, or modular deployment would reduce dependency risk.</w:t>
      </w:r>
      <w:r/>
    </w:p>
    <w:p>
      <w:pPr>
        <w:pStyle w:val="963"/>
        <w:pBdr/>
        <w:spacing/>
        <w:ind/>
        <w:rPr/>
      </w:pPr>
      <w:r>
        <w:t xml:space="preserve">These heuristics support design review. Stronger claims about security, resilience, or user trust require audits, operational evidence, or stakeholder feedback.</w:t>
      </w:r>
      <w:r/>
    </w:p>
    <w:p>
      <w:pPr>
        <w:pBdr/>
        <w:spacing/>
        <w:ind/>
        <w:rPr/>
      </w:pPr>
      <w:r>
        <mc:AlternateContent>
          <mc:Choice Requires="wpg">
            <w:drawing>
              <wp:inline xmlns:wp="http://schemas.openxmlformats.org/drawingml/2006/wordprocessingDrawing" distT="0" distB="0" distL="0" distR="0">
                <wp:extent cx="0" cy="19050"/>
                <wp:effectExtent l="0" t="0" r="0" b="0"/>
                <wp:docPr id="4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9" o:spid="_x0000_s39" o:spt="1" type="#_x0000_t1" style="width:0.00pt;height:1.50pt;mso-wrap-distance-left:0.00pt;mso-wrap-distance-top:0.00pt;mso-wrap-distance-right:0.00pt;mso-wrap-distance-bottom:0.00pt;visibility:visible;" fillcolor="#FFFFFF" strokecolor="#000000"/>
            </w:pict>
          </mc:Fallback>
        </mc:AlternateContent>
      </w:r>
      <w:bookmarkEnd w:id="61"/>
      <w:r/>
    </w:p>
    <w:p>
      <w:pPr>
        <w:pStyle w:val="977"/>
        <w:pBdr/>
        <w:spacing/>
        <w:ind/>
        <w:rPr/>
      </w:pPr>
      <w:r/>
      <w:bookmarkStart w:id="62" w:name="user-interface-and-experience-heuristics"/>
      <w:r>
        <w:t xml:space="preserve">3.3.2 User Interface and Experience Heuristics</w:t>
      </w:r>
      <w:r/>
    </w:p>
    <w:p>
      <w:pPr>
        <w:pStyle w:val="963"/>
        <w:pBdr/>
        <w:spacing/>
        <w:ind/>
        <w:rPr/>
      </w:pPr>
      <w:r>
        <w:t xml:space="preserve">In</w:t>
      </w:r>
      <w:r>
        <w:t xml:space="preserve">terface design is where provider values become visible to users. I-VSD therefore treats interface choices, defaults, copywriting, warnings, pricing presentation, and recommendation flows as ethical design decisions rather than neutral presentation details.</w:t>
      </w:r>
      <w:r/>
    </w:p>
    <w:p>
      <w:pPr>
        <w:pStyle w:val="962"/>
        <w:pBdr/>
        <w:spacing/>
        <w:ind/>
        <w:rPr/>
      </w:pPr>
      <w:r>
        <w:rPr>
          <w:b/>
          <w:bCs/>
        </w:rPr>
        <w:t xml:space="preserve">Domain Emphasis:</w:t>
      </w:r>
      <w:r>
        <w:t xml:space="preserve"> Design, Evaluation, Governance, and Strategic domains.</w:t>
      </w:r>
      <w:r/>
    </w:p>
    <w:p>
      <w:pPr>
        <w:pStyle w:val="962"/>
        <w:pBdr/>
        <w:spacing/>
        <w:ind/>
        <w:rPr/>
      </w:pPr>
      <w:r>
        <w:rPr>
          <w:b/>
          <w:bCs/>
        </w:rPr>
        <w:t xml:space="preserve">Heuristic: Eliminate Dark Patterns</w:t>
      </w:r>
      <w:r/>
    </w:p>
    <w:p>
      <w:pPr>
        <w:pStyle w:val="964"/>
        <w:numPr>
          <w:ilvl w:val="0"/>
          <w:numId w:val="42"/>
        </w:numPr>
        <w:pBdr/>
        <w:spacing/>
        <w:ind/>
        <w:rPr/>
      </w:pPr>
      <w:r>
        <w:rPr>
          <w:b/>
          <w:bCs/>
        </w:rPr>
        <w:t xml:space="preserve">Islamic Principle:</w:t>
      </w:r>
      <w:r>
        <w:t xml:space="preserve"> Sidq, avoiding Ghish, Adl</w:t>
      </w:r>
      <w:r/>
    </w:p>
    <w:p>
      <w:pPr>
        <w:pStyle w:val="964"/>
        <w:numPr>
          <w:ilvl w:val="0"/>
          <w:numId w:val="42"/>
        </w:numPr>
        <w:pBdr/>
        <w:spacing/>
        <w:ind/>
        <w:rPr/>
      </w:pPr>
      <w:r>
        <w:rPr>
          <w:b/>
          <w:bCs/>
        </w:rPr>
        <w:t xml:space="preserve">Provider Question:</w:t>
      </w:r>
      <w:r>
        <w:t xml:space="preserve"> Does the interface help users make informed choices, or does it steer them through confusion, pressure, concealment, or friction asymmetry?</w:t>
      </w:r>
      <w:r/>
    </w:p>
    <w:p>
      <w:pPr>
        <w:pStyle w:val="964"/>
        <w:numPr>
          <w:ilvl w:val="0"/>
          <w:numId w:val="42"/>
        </w:numPr>
        <w:pBdr/>
        <w:spacing/>
        <w:ind/>
        <w:rPr/>
      </w:pPr>
      <w:r>
        <w:rPr>
          <w:b/>
          <w:bCs/>
        </w:rPr>
        <w:t xml:space="preserve">Implementation Directions:</w:t>
      </w:r>
      <w:r/>
    </w:p>
    <w:p>
      <w:pPr>
        <w:pStyle w:val="964"/>
        <w:numPr>
          <w:ilvl w:val="1"/>
          <w:numId w:val="43"/>
        </w:numPr>
        <w:pBdr/>
        <w:spacing/>
        <w:ind/>
        <w:rPr/>
      </w:pPr>
      <w:r>
        <w:t xml:space="preserve">Make subscription and cancellation flows comparably clear.</w:t>
      </w:r>
      <w:r/>
    </w:p>
    <w:p>
      <w:pPr>
        <w:pStyle w:val="964"/>
        <w:numPr>
          <w:ilvl w:val="1"/>
          <w:numId w:val="43"/>
        </w:numPr>
        <w:pBdr/>
        <w:spacing/>
        <w:ind/>
        <w:rPr/>
      </w:pPr>
      <w:r>
        <w:t xml:space="preserve">Avoid hidden fees, false urgency, false scarcity, preselected paid options, and manipulative defaults.</w:t>
      </w:r>
      <w:r/>
    </w:p>
    <w:p>
      <w:pPr>
        <w:pStyle w:val="964"/>
        <w:numPr>
          <w:ilvl w:val="1"/>
          <w:numId w:val="43"/>
        </w:numPr>
        <w:pBdr/>
        <w:spacing/>
        <w:ind/>
        <w:rPr/>
      </w:pPr>
      <w:r>
        <w:t xml:space="preserve">Use clear, neutral language for accepting, declining, deleting, cancelling, or changing settings.</w:t>
      </w:r>
      <w:r/>
    </w:p>
    <w:p>
      <w:pPr>
        <w:pStyle w:val="964"/>
        <w:numPr>
          <w:ilvl w:val="1"/>
          <w:numId w:val="43"/>
        </w:numPr>
        <w:pBdr/>
        <w:spacing/>
        <w:ind/>
        <w:rPr/>
      </w:pPr>
      <w:r>
        <w:t xml:space="preserve">Review critical flows from the perspective of a tired, hurried, non-expert, or vulnerable user.</w:t>
      </w:r>
      <w:r/>
    </w:p>
    <w:p>
      <w:pPr>
        <w:pStyle w:val="963"/>
        <w:pBdr/>
        <w:spacing/>
        <w:ind/>
        <w:rPr/>
      </w:pPr>
      <w:r>
        <w:rPr>
          <w:b/>
          <w:bCs/>
        </w:rPr>
        <w:t xml:space="preserve">Heuristic: Present Pricing and Limits Transparently</w:t>
      </w:r>
      <w:r/>
    </w:p>
    <w:p>
      <w:pPr>
        <w:pStyle w:val="964"/>
        <w:numPr>
          <w:ilvl w:val="0"/>
          <w:numId w:val="44"/>
        </w:numPr>
        <w:pBdr/>
        <w:spacing/>
        <w:ind/>
        <w:rPr/>
      </w:pPr>
      <w:r>
        <w:rPr>
          <w:b/>
          <w:bCs/>
        </w:rPr>
        <w:t xml:space="preserve">Islamic Principle:</w:t>
      </w:r>
      <w:r>
        <w:t xml:space="preserve"> Sidq, avoiding Gharar, Wafa</w:t>
      </w:r>
      <w:r/>
    </w:p>
    <w:p>
      <w:pPr>
        <w:pStyle w:val="964"/>
        <w:numPr>
          <w:ilvl w:val="0"/>
          <w:numId w:val="44"/>
        </w:numPr>
        <w:pBdr/>
        <w:spacing/>
        <w:ind/>
        <w:rPr/>
      </w:pPr>
      <w:r>
        <w:rPr>
          <w:b/>
          <w:bCs/>
        </w:rPr>
        <w:t xml:space="preserve">Provider Question:</w:t>
      </w:r>
      <w:r>
        <w:t xml:space="preserve"> Can the user understand what is included, what is excluded, and what may change later?</w:t>
      </w:r>
      <w:r/>
    </w:p>
    <w:p>
      <w:pPr>
        <w:pStyle w:val="964"/>
        <w:numPr>
          <w:ilvl w:val="0"/>
          <w:numId w:val="44"/>
        </w:numPr>
        <w:pBdr/>
        <w:spacing/>
        <w:ind/>
        <w:rPr/>
      </w:pPr>
      <w:r>
        <w:rPr>
          <w:b/>
          <w:bCs/>
        </w:rPr>
        <w:t xml:space="preserve">Implementation Directions:</w:t>
      </w:r>
      <w:r/>
    </w:p>
    <w:p>
      <w:pPr>
        <w:pStyle w:val="964"/>
        <w:numPr>
          <w:ilvl w:val="1"/>
          <w:numId w:val="45"/>
        </w:numPr>
        <w:pBdr/>
        <w:spacing/>
        <w:ind/>
        <w:rPr/>
      </w:pPr>
      <w:r>
        <w:t xml:space="preserve">Show material costs, renewal terms, limits, and dependencies before commitment.</w:t>
      </w:r>
      <w:r/>
    </w:p>
    <w:p>
      <w:pPr>
        <w:pStyle w:val="964"/>
        <w:numPr>
          <w:ilvl w:val="1"/>
          <w:numId w:val="45"/>
        </w:numPr>
        <w:pBdr/>
        <w:spacing/>
        <w:ind/>
        <w:rPr/>
      </w:pPr>
      <w:r>
        <w:t xml:space="preserve">Explain free-tier limits according to real resource or sustainability constraints.</w:t>
      </w:r>
      <w:r/>
    </w:p>
    <w:p>
      <w:pPr>
        <w:pStyle w:val="964"/>
        <w:numPr>
          <w:ilvl w:val="1"/>
          <w:numId w:val="45"/>
        </w:numPr>
        <w:pBdr/>
        <w:spacing/>
        <w:ind/>
        <w:rPr/>
      </w:pPr>
      <w:r>
        <w:t xml:space="preserve">Avoid bait-and-switch paths where a free or low-cost offer is functionally unusable.</w:t>
      </w:r>
      <w:r/>
    </w:p>
    <w:p>
      <w:pPr>
        <w:pStyle w:val="964"/>
        <w:numPr>
          <w:ilvl w:val="1"/>
          <w:numId w:val="45"/>
        </w:numPr>
        <w:pBdr/>
        <w:spacing/>
        <w:ind/>
        <w:rPr/>
      </w:pPr>
      <w:r>
        <w:t xml:space="preserve">Notify users before material pricing, access, or feature changes take effect.</w:t>
      </w:r>
      <w:r/>
    </w:p>
    <w:p>
      <w:pPr>
        <w:pStyle w:val="963"/>
        <w:pBdr/>
        <w:spacing/>
        <w:ind/>
        <w:rPr/>
      </w:pPr>
      <w:r>
        <w:rPr>
          <w:b/>
          <w:bCs/>
        </w:rPr>
        <w:t xml:space="preserve">Heuristic: Respect Cultural and Contextual Fit</w:t>
      </w:r>
      <w:r/>
    </w:p>
    <w:p>
      <w:pPr>
        <w:pStyle w:val="964"/>
        <w:numPr>
          <w:ilvl w:val="0"/>
          <w:numId w:val="46"/>
        </w:numPr>
        <w:pBdr/>
        <w:spacing/>
        <w:ind/>
        <w:rPr/>
      </w:pPr>
      <w:r>
        <w:rPr>
          <w:b/>
          <w:bCs/>
        </w:rPr>
        <w:t xml:space="preserve">Islamic Principle:</w:t>
      </w:r>
      <w:r>
        <w:t xml:space="preserve"> Haya, La Darar, Ihsan</w:t>
      </w:r>
      <w:r/>
    </w:p>
    <w:p>
      <w:pPr>
        <w:pStyle w:val="964"/>
        <w:numPr>
          <w:ilvl w:val="0"/>
          <w:numId w:val="46"/>
        </w:numPr>
        <w:pBdr/>
        <w:spacing/>
        <w:ind/>
        <w:rPr/>
      </w:pPr>
      <w:r>
        <w:rPr>
          <w:b/>
          <w:bCs/>
        </w:rPr>
        <w:t xml:space="preserve">Provider Question:</w:t>
      </w:r>
      <w:r>
        <w:t xml:space="preserve"> Do defaults, imagery, recommendations, and content controls respect the moral context of the intended audience?</w:t>
      </w:r>
      <w:r/>
    </w:p>
    <w:p>
      <w:pPr>
        <w:pStyle w:val="964"/>
        <w:numPr>
          <w:ilvl w:val="0"/>
          <w:numId w:val="46"/>
        </w:numPr>
        <w:pBdr/>
        <w:spacing/>
        <w:ind/>
        <w:rPr/>
      </w:pPr>
      <w:r>
        <w:rPr>
          <w:b/>
          <w:bCs/>
        </w:rPr>
        <w:t xml:space="preserve">Implementation Directions:</w:t>
      </w:r>
      <w:r/>
    </w:p>
    <w:p>
      <w:pPr>
        <w:pStyle w:val="964"/>
        <w:numPr>
          <w:ilvl w:val="1"/>
          <w:numId w:val="47"/>
        </w:numPr>
        <w:pBdr/>
        <w:spacing/>
        <w:ind/>
        <w:rPr/>
      </w:pPr>
      <w:r>
        <w:t xml:space="preserve">Adapt defaults and content controls to the audience’s known values and vulnerabilities.</w:t>
      </w:r>
      <w:r/>
    </w:p>
    <w:p>
      <w:pPr>
        <w:pStyle w:val="964"/>
        <w:numPr>
          <w:ilvl w:val="1"/>
          <w:numId w:val="47"/>
        </w:numPr>
        <w:pBdr/>
        <w:spacing/>
        <w:ind/>
        <w:rPr/>
      </w:pPr>
      <w:r>
        <w:t xml:space="preserve">Avoid treating the most permissive or most profitable global default as morally neutral.</w:t>
      </w:r>
      <w:r/>
    </w:p>
    <w:p>
      <w:pPr>
        <w:pStyle w:val="964"/>
        <w:numPr>
          <w:ilvl w:val="1"/>
          <w:numId w:val="47"/>
        </w:numPr>
        <w:pBdr/>
        <w:spacing/>
        <w:ind/>
        <w:rPr/>
      </w:pPr>
      <w:r>
        <w:t xml:space="preserve">Provide user and community controls where contexts differ.</w:t>
      </w:r>
      <w:r/>
    </w:p>
    <w:p>
      <w:pPr>
        <w:pStyle w:val="964"/>
        <w:numPr>
          <w:ilvl w:val="1"/>
          <w:numId w:val="47"/>
        </w:numPr>
        <w:pBdr/>
        <w:spacing/>
        <w:ind/>
        <w:rPr/>
      </w:pPr>
      <w:r>
        <w:t xml:space="preserve">Treat cultural adaptation as part of design responsibility, not as a late localization task.</w:t>
      </w:r>
      <w:r/>
    </w:p>
    <w:p>
      <w:pPr>
        <w:pStyle w:val="963"/>
        <w:pBdr/>
        <w:spacing/>
        <w:ind/>
        <w:rPr/>
      </w:pPr>
      <w:r>
        <w:rPr>
          <w:b/>
          <w:bCs/>
        </w:rPr>
        <w:t xml:space="preserve">Heuristic: Use Honest Comparative Interfaces</w:t>
      </w:r>
      <w:r/>
    </w:p>
    <w:p>
      <w:pPr>
        <w:pStyle w:val="964"/>
        <w:numPr>
          <w:ilvl w:val="0"/>
          <w:numId w:val="48"/>
        </w:numPr>
        <w:pBdr/>
        <w:spacing/>
        <w:ind/>
        <w:rPr/>
      </w:pPr>
      <w:r>
        <w:rPr>
          <w:b/>
          <w:bCs/>
        </w:rPr>
        <w:t xml:space="preserve">Islamic Principle:</w:t>
      </w:r>
      <w:r>
        <w:t xml:space="preserve"> Sidq, Adl, avoiding manipulation</w:t>
      </w:r>
      <w:r/>
    </w:p>
    <w:p>
      <w:pPr>
        <w:pStyle w:val="964"/>
        <w:numPr>
          <w:ilvl w:val="0"/>
          <w:numId w:val="48"/>
        </w:numPr>
        <w:pBdr/>
        <w:spacing/>
        <w:ind/>
        <w:rPr/>
      </w:pPr>
      <w:r>
        <w:rPr>
          <w:b/>
          <w:bCs/>
        </w:rPr>
        <w:t xml:space="preserve">Provider Question:</w:t>
      </w:r>
      <w:r>
        <w:t xml:space="preserve"> Does a comparison page help the user choose well, or is it an advertisement disguised as decision support?</w:t>
      </w:r>
      <w:r/>
    </w:p>
    <w:p>
      <w:pPr>
        <w:pStyle w:val="964"/>
        <w:numPr>
          <w:ilvl w:val="0"/>
          <w:numId w:val="48"/>
        </w:numPr>
        <w:pBdr/>
        <w:spacing/>
        <w:ind/>
        <w:rPr/>
      </w:pPr>
      <w:r>
        <w:rPr>
          <w:b/>
          <w:bCs/>
        </w:rPr>
        <w:t xml:space="preserve">Implementation Directions:</w:t>
      </w:r>
      <w:r/>
    </w:p>
    <w:p>
      <w:pPr>
        <w:pStyle w:val="964"/>
        <w:numPr>
          <w:ilvl w:val="1"/>
          <w:numId w:val="49"/>
        </w:numPr>
        <w:pBdr/>
        <w:spacing/>
        <w:ind/>
        <w:rPr/>
      </w:pPr>
      <w:r>
        <w:t xml:space="preserve">Disclose comparison scope, date, assumptions, and weighting.</w:t>
      </w:r>
      <w:r/>
    </w:p>
    <w:p>
      <w:pPr>
        <w:pStyle w:val="964"/>
        <w:numPr>
          <w:ilvl w:val="1"/>
          <w:numId w:val="49"/>
        </w:numPr>
        <w:pBdr/>
        <w:spacing/>
        <w:ind/>
        <w:rPr/>
      </w:pPr>
      <w:r>
        <w:t xml:space="preserve">Avoid flattening major and minor differences into identical checkmarks.</w:t>
      </w:r>
      <w:r/>
    </w:p>
    <w:p>
      <w:pPr>
        <w:pStyle w:val="964"/>
        <w:numPr>
          <w:ilvl w:val="1"/>
          <w:numId w:val="49"/>
        </w:numPr>
        <w:pBdr/>
        <w:spacing/>
        <w:ind/>
        <w:rPr/>
      </w:pPr>
      <w:r>
        <w:t xml:space="preserve">Acknowledge competitor strengths where relevant.</w:t>
      </w:r>
      <w:r/>
    </w:p>
    <w:p>
      <w:pPr>
        <w:pStyle w:val="964"/>
        <w:numPr>
          <w:ilvl w:val="1"/>
          <w:numId w:val="49"/>
        </w:numPr>
        <w:pBdr/>
        <w:spacing/>
        <w:ind/>
        <w:rPr/>
      </w:pPr>
      <w:r>
        <w:t xml:space="preserve">Prefer user-need-based matchers or weighted matrices over self-serving static tables.</w:t>
      </w:r>
      <w:r/>
    </w:p>
    <w:p>
      <w:pPr>
        <w:pStyle w:val="963"/>
        <w:pBdr/>
        <w:spacing/>
        <w:ind/>
        <w:rPr/>
      </w:pPr>
      <w:r>
        <w:t xml:space="preserve">These heuristics can guide interface review and usability testing. They should not be used to claim that users experience the design as trustworthy unless user evidence is collected.</w:t>
      </w:r>
      <w:r/>
    </w:p>
    <w:p>
      <w:pPr>
        <w:pBdr/>
        <w:spacing/>
        <w:ind/>
        <w:rPr/>
      </w:pPr>
      <w:r>
        <mc:AlternateContent>
          <mc:Choice Requires="wpg">
            <w:drawing>
              <wp:inline xmlns:wp="http://schemas.openxmlformats.org/drawingml/2006/wordprocessingDrawing" distT="0" distB="0" distL="0" distR="0">
                <wp:extent cx="0" cy="19050"/>
                <wp:effectExtent l="0" t="0" r="0" b="0"/>
                <wp:docPr id="4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0" o:spid="_x0000_s40" o:spt="1" type="#_x0000_t1" style="width:0.00pt;height:1.50pt;mso-wrap-distance-left:0.00pt;mso-wrap-distance-top:0.00pt;mso-wrap-distance-right:0.00pt;mso-wrap-distance-bottom:0.00pt;visibility:visible;" fillcolor="#FFFFFF" strokecolor="#000000"/>
            </w:pict>
          </mc:Fallback>
        </mc:AlternateContent>
      </w:r>
      <w:bookmarkEnd w:id="62"/>
      <w:r/>
    </w:p>
    <w:p>
      <w:pPr>
        <w:pStyle w:val="977"/>
        <w:pBdr/>
        <w:spacing/>
        <w:ind/>
        <w:rPr/>
      </w:pPr>
      <w:r/>
      <w:bookmarkStart w:id="63" w:name="data-governance-heuristics"/>
      <w:r>
        <w:t xml:space="preserve">3.2.3 Data Governance Heuristics</w:t>
      </w:r>
      <w:r/>
    </w:p>
    <w:p>
      <w:pPr>
        <w:pStyle w:val="963"/>
        <w:pBdr/>
        <w:spacing/>
        <w:ind/>
        <w:rPr/>
      </w:pPr>
      <w:r>
        <w:t xml:space="preserve">Data governance defines what a provide</w:t>
      </w:r>
      <w:r>
        <w:t xml:space="preserve">r collects, why it is collected, who may access it, how long it remains, and how users can exercise control. Under I-VSD, data practices are a direct test of Amanah because users entrust the provider with information that can expose, profile, or harm them.</w:t>
      </w:r>
      <w:r/>
    </w:p>
    <w:p>
      <w:pPr>
        <w:pStyle w:val="962"/>
        <w:pBdr/>
        <w:spacing/>
        <w:ind/>
        <w:rPr/>
      </w:pPr>
      <w:r>
        <w:rPr>
          <w:b/>
          <w:bCs/>
        </w:rPr>
        <w:t xml:space="preserve">Domain Emphasis:</w:t>
      </w:r>
      <w:r>
        <w:t xml:space="preserve"> Technical, Operational, Governance, and Evaluation domains.</w:t>
      </w:r>
      <w:r/>
    </w:p>
    <w:p>
      <w:pPr>
        <w:pStyle w:val="962"/>
        <w:pBdr/>
        <w:spacing/>
        <w:ind/>
        <w:rPr/>
      </w:pPr>
      <w:r>
        <w:rPr>
          <w:b/>
          <w:bCs/>
        </w:rPr>
        <w:t xml:space="preserve">Heuristic: Minimize Data Collection</w:t>
      </w:r>
      <w:r/>
    </w:p>
    <w:p>
      <w:pPr>
        <w:pStyle w:val="964"/>
        <w:numPr>
          <w:ilvl w:val="0"/>
          <w:numId w:val="50"/>
        </w:numPr>
        <w:pBdr/>
        <w:spacing/>
        <w:ind/>
        <w:rPr/>
      </w:pPr>
      <w:r>
        <w:rPr>
          <w:b/>
          <w:bCs/>
        </w:rPr>
        <w:t xml:space="preserve">Islamic Principle:</w:t>
      </w:r>
      <w:r>
        <w:t xml:space="preserve"> Amanah, avoiding Tajassus, La Darar</w:t>
      </w:r>
      <w:r/>
    </w:p>
    <w:p>
      <w:pPr>
        <w:pStyle w:val="964"/>
        <w:numPr>
          <w:ilvl w:val="0"/>
          <w:numId w:val="50"/>
        </w:numPr>
        <w:pBdr/>
        <w:spacing/>
        <w:ind/>
        <w:rPr/>
      </w:pPr>
      <w:r>
        <w:rPr>
          <w:b/>
          <w:bCs/>
        </w:rPr>
        <w:t xml:space="preserve">Provider Question:</w:t>
      </w:r>
      <w:r>
        <w:t xml:space="preserve"> Is each data point necessary for the user-requested function, or merely useful for analytics, profiling, marketing, or future possibilities?</w:t>
      </w:r>
      <w:r/>
    </w:p>
    <w:p>
      <w:pPr>
        <w:pStyle w:val="964"/>
        <w:numPr>
          <w:ilvl w:val="0"/>
          <w:numId w:val="50"/>
        </w:numPr>
        <w:pBdr/>
        <w:spacing/>
        <w:ind/>
        <w:rPr/>
      </w:pPr>
      <w:r>
        <w:rPr>
          <w:b/>
          <w:bCs/>
        </w:rPr>
        <w:t xml:space="preserve">Implementation Directions:</w:t>
      </w:r>
      <w:r/>
    </w:p>
    <w:p>
      <w:pPr>
        <w:pStyle w:val="964"/>
        <w:numPr>
          <w:ilvl w:val="1"/>
          <w:numId w:val="51"/>
        </w:numPr>
        <w:pBdr/>
        <w:spacing/>
        <w:ind/>
        <w:rPr/>
      </w:pPr>
      <w:r>
        <w:t xml:space="preserve">Collect only data that has a clear purpose tied to the service.</w:t>
      </w:r>
      <w:r/>
    </w:p>
    <w:p>
      <w:pPr>
        <w:pStyle w:val="964"/>
        <w:numPr>
          <w:ilvl w:val="1"/>
          <w:numId w:val="51"/>
        </w:numPr>
        <w:pBdr/>
        <w:spacing/>
        <w:ind/>
        <w:rPr/>
      </w:pPr>
      <w:r>
        <w:t xml:space="preserve">Document the justification for each sensitive field or signal.</w:t>
      </w:r>
      <w:r/>
    </w:p>
    <w:p>
      <w:pPr>
        <w:pStyle w:val="964"/>
        <w:numPr>
          <w:ilvl w:val="1"/>
          <w:numId w:val="51"/>
        </w:numPr>
        <w:pBdr/>
        <w:spacing/>
        <w:ind/>
        <w:rPr/>
      </w:pPr>
      <w:r>
        <w:t xml:space="preserve">Separate required operational data from optional improvement data.</w:t>
      </w:r>
      <w:r/>
    </w:p>
    <w:p>
      <w:pPr>
        <w:pStyle w:val="964"/>
        <w:numPr>
          <w:ilvl w:val="1"/>
          <w:numId w:val="51"/>
        </w:numPr>
        <w:pBdr/>
        <w:spacing/>
        <w:ind/>
        <w:rPr/>
      </w:pPr>
      <w:r>
        <w:t xml:space="preserve">Review whether the same goal can be achieved with less sensitive information.</w:t>
      </w:r>
      <w:r/>
    </w:p>
    <w:p>
      <w:pPr>
        <w:pStyle w:val="963"/>
        <w:pBdr/>
        <w:spacing/>
        <w:ind/>
        <w:rPr/>
      </w:pPr>
      <w:r>
        <w:rPr>
          <w:b/>
          <w:bCs/>
        </w:rPr>
        <w:t xml:space="preserve">Heuristic: Make Data Use Understandable</w:t>
      </w:r>
      <w:r/>
    </w:p>
    <w:p>
      <w:pPr>
        <w:pStyle w:val="964"/>
        <w:numPr>
          <w:ilvl w:val="0"/>
          <w:numId w:val="52"/>
        </w:numPr>
        <w:pBdr/>
        <w:spacing/>
        <w:ind/>
        <w:rPr/>
      </w:pPr>
      <w:r>
        <w:rPr>
          <w:b/>
          <w:bCs/>
        </w:rPr>
        <w:t xml:space="preserve">Islamic Principle:</w:t>
      </w:r>
      <w:r>
        <w:t xml:space="preserve"> Sidq, Wafa, Amanah</w:t>
      </w:r>
      <w:r/>
    </w:p>
    <w:p>
      <w:pPr>
        <w:pStyle w:val="964"/>
        <w:numPr>
          <w:ilvl w:val="0"/>
          <w:numId w:val="52"/>
        </w:numPr>
        <w:pBdr/>
        <w:spacing/>
        <w:ind/>
        <w:rPr/>
      </w:pPr>
      <w:r>
        <w:rPr>
          <w:b/>
          <w:bCs/>
        </w:rPr>
        <w:t xml:space="preserve">Provider Question:</w:t>
      </w:r>
      <w:r>
        <w:t xml:space="preserve"> Would a reasonable user understand what the provider does with their data before they consent or continue using the service?</w:t>
      </w:r>
      <w:r/>
    </w:p>
    <w:p>
      <w:pPr>
        <w:pStyle w:val="964"/>
        <w:numPr>
          <w:ilvl w:val="0"/>
          <w:numId w:val="52"/>
        </w:numPr>
        <w:pBdr/>
        <w:spacing/>
        <w:ind/>
        <w:rPr/>
      </w:pPr>
      <w:r>
        <w:rPr>
          <w:b/>
          <w:bCs/>
        </w:rPr>
        <w:t xml:space="preserve">Implementation Directions:</w:t>
      </w:r>
      <w:r/>
    </w:p>
    <w:p>
      <w:pPr>
        <w:pStyle w:val="964"/>
        <w:numPr>
          <w:ilvl w:val="1"/>
          <w:numId w:val="53"/>
        </w:numPr>
        <w:pBdr/>
        <w:spacing/>
        <w:ind/>
        <w:rPr/>
      </w:pPr>
      <w:r>
        <w:t xml:space="preserve">Write privacy explanations in plain language.</w:t>
      </w:r>
      <w:r/>
    </w:p>
    <w:p>
      <w:pPr>
        <w:pStyle w:val="964"/>
        <w:numPr>
          <w:ilvl w:val="1"/>
          <w:numId w:val="53"/>
        </w:numPr>
        <w:pBdr/>
        <w:spacing/>
        <w:ind/>
        <w:rPr/>
      </w:pPr>
      <w:r>
        <w:t xml:space="preserve">Explain collection, retention, sharing, analytics, and automated processing separately.</w:t>
      </w:r>
      <w:r/>
    </w:p>
    <w:p>
      <w:pPr>
        <w:pStyle w:val="964"/>
        <w:numPr>
          <w:ilvl w:val="1"/>
          <w:numId w:val="53"/>
        </w:numPr>
        <w:pBdr/>
        <w:spacing/>
        <w:ind/>
        <w:rPr/>
      </w:pPr>
      <w:r>
        <w:t xml:space="preserve">Make privacy settings easy to find and meaningful to use.</w:t>
      </w:r>
      <w:r/>
    </w:p>
    <w:p>
      <w:pPr>
        <w:pStyle w:val="964"/>
        <w:numPr>
          <w:ilvl w:val="1"/>
          <w:numId w:val="53"/>
        </w:numPr>
        <w:pBdr/>
        <w:spacing/>
        <w:ind/>
        <w:rPr/>
      </w:pPr>
      <w:r>
        <w:t xml:space="preserve">Review notices when product behavior changes.</w:t>
      </w:r>
      <w:r/>
    </w:p>
    <w:p>
      <w:pPr>
        <w:pStyle w:val="963"/>
        <w:pBdr/>
        <w:spacing/>
        <w:ind/>
        <w:rPr/>
      </w:pPr>
      <w:r>
        <w:rPr>
          <w:b/>
          <w:bCs/>
        </w:rPr>
        <w:t xml:space="preserve">Heuristic: Restrict Data Sharing and Preserve Portability</w:t>
      </w:r>
      <w:r/>
    </w:p>
    <w:p>
      <w:pPr>
        <w:pStyle w:val="964"/>
        <w:numPr>
          <w:ilvl w:val="0"/>
          <w:numId w:val="54"/>
        </w:numPr>
        <w:pBdr/>
        <w:spacing/>
        <w:ind/>
        <w:rPr/>
      </w:pPr>
      <w:r>
        <w:rPr>
          <w:b/>
          <w:bCs/>
        </w:rPr>
        <w:t xml:space="preserve">Islamic Principle:</w:t>
      </w:r>
      <w:r>
        <w:t xml:space="preserve"> Amanah, Adl, Wafa</w:t>
      </w:r>
      <w:r/>
    </w:p>
    <w:p>
      <w:pPr>
        <w:pStyle w:val="964"/>
        <w:numPr>
          <w:ilvl w:val="0"/>
          <w:numId w:val="54"/>
        </w:numPr>
        <w:pBdr/>
        <w:spacing/>
        <w:ind/>
        <w:rPr/>
      </w:pPr>
      <w:r>
        <w:rPr>
          <w:b/>
          <w:bCs/>
        </w:rPr>
        <w:t xml:space="preserve">Provider Question:</w:t>
      </w:r>
      <w:r>
        <w:t xml:space="preserve"> Does data sharing serve the user’s interest and remain within the trust originally granted?</w:t>
      </w:r>
      <w:r/>
    </w:p>
    <w:p>
      <w:pPr>
        <w:pStyle w:val="964"/>
        <w:numPr>
          <w:ilvl w:val="0"/>
          <w:numId w:val="54"/>
        </w:numPr>
        <w:pBdr/>
        <w:spacing/>
        <w:ind/>
        <w:rPr/>
      </w:pPr>
      <w:r>
        <w:rPr>
          <w:b/>
          <w:bCs/>
        </w:rPr>
        <w:t xml:space="preserve">Implementation Directions:</w:t>
      </w:r>
      <w:r/>
    </w:p>
    <w:p>
      <w:pPr>
        <w:pStyle w:val="964"/>
        <w:numPr>
          <w:ilvl w:val="1"/>
          <w:numId w:val="55"/>
        </w:numPr>
        <w:pBdr/>
        <w:spacing/>
        <w:ind/>
        <w:rPr/>
      </w:pPr>
      <w:r>
        <w:t xml:space="preserve">Avoid third-party sharing without explicit and specific user consent.</w:t>
      </w:r>
      <w:r/>
    </w:p>
    <w:p>
      <w:pPr>
        <w:pStyle w:val="964"/>
        <w:numPr>
          <w:ilvl w:val="1"/>
          <w:numId w:val="55"/>
        </w:numPr>
        <w:pBdr/>
        <w:spacing/>
        <w:ind/>
        <w:rPr/>
      </w:pPr>
      <w:r>
        <w:t xml:space="preserve">Verify recipient trustworthiness and downstream obligations.</w:t>
      </w:r>
      <w:r/>
    </w:p>
    <w:p>
      <w:pPr>
        <w:pStyle w:val="964"/>
        <w:numPr>
          <w:ilvl w:val="1"/>
          <w:numId w:val="55"/>
        </w:numPr>
        <w:pBdr/>
        <w:spacing/>
        <w:ind/>
        <w:rPr/>
      </w:pPr>
      <w:r>
        <w:t xml:space="preserve">Provide export, deletion, and account-transfer paths where feasible.</w:t>
      </w:r>
      <w:r/>
    </w:p>
    <w:p>
      <w:pPr>
        <w:pStyle w:val="964"/>
        <w:numPr>
          <w:ilvl w:val="1"/>
          <w:numId w:val="55"/>
        </w:numPr>
        <w:pBdr/>
        <w:spacing/>
        <w:ind/>
        <w:rPr/>
      </w:pPr>
      <w:r>
        <w:t xml:space="preserve">Avoid using portability barriers to trap users in the service.</w:t>
      </w:r>
      <w:r/>
    </w:p>
    <w:p>
      <w:pPr>
        <w:pStyle w:val="963"/>
        <w:pBdr/>
        <w:spacing/>
        <w:ind/>
        <w:rPr/>
      </w:pPr>
      <w:r>
        <w:rPr>
          <w:b/>
          <w:bCs/>
        </w:rPr>
        <w:t xml:space="preserve">Heuristic: Review Intrusive Signals Separately</w:t>
      </w:r>
      <w:r/>
    </w:p>
    <w:p>
      <w:pPr>
        <w:pStyle w:val="964"/>
        <w:numPr>
          <w:ilvl w:val="0"/>
          <w:numId w:val="56"/>
        </w:numPr>
        <w:pBdr/>
        <w:spacing/>
        <w:ind/>
        <w:rPr/>
      </w:pPr>
      <w:r>
        <w:rPr>
          <w:b/>
          <w:bCs/>
        </w:rPr>
        <w:t xml:space="preserve">Islamic Principle:</w:t>
      </w:r>
      <w:r>
        <w:t xml:space="preserve"> Avoiding Tajassus, La Darar, Amanah</w:t>
      </w:r>
      <w:r/>
    </w:p>
    <w:p>
      <w:pPr>
        <w:pStyle w:val="964"/>
        <w:numPr>
          <w:ilvl w:val="0"/>
          <w:numId w:val="56"/>
        </w:numPr>
        <w:pBdr/>
        <w:spacing/>
        <w:ind/>
        <w:rPr/>
      </w:pPr>
      <w:r>
        <w:rPr>
          <w:b/>
          <w:bCs/>
        </w:rPr>
        <w:t xml:space="preserve">Provider Question:</w:t>
      </w:r>
      <w:r>
        <w:t xml:space="preserve"> Does the system request device, location, contact, wallet, file-system, browser, installed-app, biometric, or environmental signals that exceed the user’s reasonable expectation?</w:t>
      </w:r>
      <w:r/>
    </w:p>
    <w:p>
      <w:pPr>
        <w:pStyle w:val="964"/>
        <w:numPr>
          <w:ilvl w:val="0"/>
          <w:numId w:val="56"/>
        </w:numPr>
        <w:pBdr/>
        <w:spacing/>
        <w:ind/>
        <w:rPr/>
      </w:pPr>
      <w:r>
        <w:rPr>
          <w:b/>
          <w:bCs/>
        </w:rPr>
        <w:t xml:space="preserve">Implementation Directions:</w:t>
      </w:r>
      <w:r/>
    </w:p>
    <w:p>
      <w:pPr>
        <w:pStyle w:val="964"/>
        <w:numPr>
          <w:ilvl w:val="1"/>
          <w:numId w:val="57"/>
        </w:numPr>
        <w:pBdr/>
        <w:spacing/>
        <w:ind/>
        <w:rPr/>
      </w:pPr>
      <w:r>
        <w:t xml:space="preserve">Treat highly intrusive signals as requiring separate justification and disclosure.</w:t>
      </w:r>
      <w:r/>
    </w:p>
    <w:p>
      <w:pPr>
        <w:pStyle w:val="964"/>
        <w:numPr>
          <w:ilvl w:val="1"/>
          <w:numId w:val="57"/>
        </w:numPr>
        <w:pBdr/>
        <w:spacing/>
        <w:ind/>
        <w:rPr/>
      </w:pPr>
      <w:r>
        <w:t xml:space="preserve">Avoid broad device fingerprinting or environment scanning unless proportionate to a clear safety need.</w:t>
      </w:r>
      <w:r/>
    </w:p>
    <w:p>
      <w:pPr>
        <w:pStyle w:val="964"/>
        <w:numPr>
          <w:ilvl w:val="1"/>
          <w:numId w:val="57"/>
        </w:numPr>
        <w:pBdr/>
        <w:spacing/>
        <w:ind/>
        <w:rPr/>
      </w:pPr>
      <w:r>
        <w:t xml:space="preserve">Make optional collection genuinely optional where possible.</w:t>
      </w:r>
      <w:r/>
    </w:p>
    <w:p>
      <w:pPr>
        <w:pStyle w:val="964"/>
        <w:numPr>
          <w:ilvl w:val="1"/>
          <w:numId w:val="57"/>
        </w:numPr>
        <w:pBdr/>
        <w:spacing/>
        <w:ind/>
        <w:rPr/>
      </w:pPr>
      <w:r>
        <w:t xml:space="preserve">Record why less intrusive controls are insufficient.</w:t>
      </w:r>
      <w:r/>
    </w:p>
    <w:p>
      <w:pPr>
        <w:pStyle w:val="963"/>
        <w:pBdr/>
        <w:spacing/>
        <w:ind/>
        <w:rPr/>
      </w:pPr>
      <w:r>
        <w:rPr>
          <w:b/>
          <w:bCs/>
        </w:rPr>
        <w:t xml:space="preserve">Heuristic: Govern Retention and Access</w:t>
      </w:r>
      <w:r/>
    </w:p>
    <w:p>
      <w:pPr>
        <w:pStyle w:val="964"/>
        <w:numPr>
          <w:ilvl w:val="0"/>
          <w:numId w:val="58"/>
        </w:numPr>
        <w:pBdr/>
        <w:spacing/>
        <w:ind/>
        <w:rPr/>
      </w:pPr>
      <w:r>
        <w:rPr>
          <w:b/>
          <w:bCs/>
        </w:rPr>
        <w:t xml:space="preserve">Islamic Principle:</w:t>
      </w:r>
      <w:r>
        <w:t xml:space="preserve"> Amanah, Ihsan, La Darar</w:t>
      </w:r>
      <w:r/>
    </w:p>
    <w:p>
      <w:pPr>
        <w:pStyle w:val="964"/>
        <w:numPr>
          <w:ilvl w:val="0"/>
          <w:numId w:val="58"/>
        </w:numPr>
        <w:pBdr/>
        <w:spacing/>
        <w:ind/>
        <w:rPr/>
      </w:pPr>
      <w:r>
        <w:rPr>
          <w:b/>
          <w:bCs/>
        </w:rPr>
        <w:t xml:space="preserve">Provider Question:</w:t>
      </w:r>
      <w:r>
        <w:t xml:space="preserve"> Who inside or outside the provider can access user data, and for how long?</w:t>
      </w:r>
      <w:r/>
    </w:p>
    <w:p>
      <w:pPr>
        <w:pStyle w:val="964"/>
        <w:numPr>
          <w:ilvl w:val="0"/>
          <w:numId w:val="58"/>
        </w:numPr>
        <w:pBdr/>
        <w:spacing/>
        <w:ind/>
        <w:rPr/>
      </w:pPr>
      <w:r>
        <w:rPr>
          <w:b/>
          <w:bCs/>
        </w:rPr>
        <w:t xml:space="preserve">Implementation Directions:</w:t>
      </w:r>
      <w:r/>
    </w:p>
    <w:p>
      <w:pPr>
        <w:pStyle w:val="964"/>
        <w:numPr>
          <w:ilvl w:val="1"/>
          <w:numId w:val="59"/>
        </w:numPr>
        <w:pBdr/>
        <w:spacing/>
        <w:ind/>
        <w:rPr/>
      </w:pPr>
      <w:r>
        <w:t xml:space="preserve">Define retention periods and deletion procedures.</w:t>
      </w:r>
      <w:r/>
    </w:p>
    <w:p>
      <w:pPr>
        <w:pStyle w:val="964"/>
        <w:numPr>
          <w:ilvl w:val="1"/>
          <w:numId w:val="59"/>
        </w:numPr>
        <w:pBdr/>
        <w:spacing/>
        <w:ind/>
        <w:rPr/>
      </w:pPr>
      <w:r>
        <w:t xml:space="preserve">Restrict administrative access according to role and need.</w:t>
      </w:r>
      <w:r/>
    </w:p>
    <w:p>
      <w:pPr>
        <w:pStyle w:val="964"/>
        <w:numPr>
          <w:ilvl w:val="1"/>
          <w:numId w:val="59"/>
        </w:numPr>
        <w:pBdr/>
        <w:spacing/>
        <w:ind/>
        <w:rPr/>
      </w:pPr>
      <w:r>
        <w:t xml:space="preserve">Log and review privileged access for sensitive systems.</w:t>
      </w:r>
      <w:r/>
    </w:p>
    <w:p>
      <w:pPr>
        <w:pStyle w:val="964"/>
        <w:numPr>
          <w:ilvl w:val="1"/>
          <w:numId w:val="59"/>
        </w:numPr>
        <w:pBdr/>
        <w:spacing/>
        <w:ind/>
        <w:rPr/>
      </w:pPr>
      <w:r>
        <w:t xml:space="preserve">Include privacy incidents in operational review and future evaluation.</w:t>
      </w:r>
      <w:r/>
    </w:p>
    <w:p>
      <w:pPr>
        <w:pStyle w:val="963"/>
        <w:pBdr/>
        <w:spacing/>
        <w:ind/>
        <w:rPr/>
      </w:pPr>
      <w:r>
        <w:t xml:space="preserve">These heuristics support stronger privacy-by-design reasoning than mere legal compliance. Claims about actual privacy outcomes require audits, incident history, user research, or operational evidence.</w:t>
      </w:r>
      <w:r/>
    </w:p>
    <w:p>
      <w:pPr>
        <w:pBdr/>
        <w:spacing/>
        <w:ind/>
        <w:rPr/>
      </w:pPr>
      <w:r>
        <mc:AlternateContent>
          <mc:Choice Requires="wpg">
            <w:drawing>
              <wp:inline xmlns:wp="http://schemas.openxmlformats.org/drawingml/2006/wordprocessingDrawing" distT="0" distB="0" distL="0" distR="0">
                <wp:extent cx="0" cy="19050"/>
                <wp:effectExtent l="0" t="0" r="0" b="0"/>
                <wp:docPr id="4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1" o:spid="_x0000_s41" o:spt="1" type="#_x0000_t1" style="width:0.00pt;height:1.50pt;mso-wrap-distance-left:0.00pt;mso-wrap-distance-top:0.00pt;mso-wrap-distance-right:0.00pt;mso-wrap-distance-bottom:0.00pt;visibility:visible;" fillcolor="#FFFFFF" strokecolor="#000000"/>
            </w:pict>
          </mc:Fallback>
        </mc:AlternateContent>
      </w:r>
      <w:bookmarkEnd w:id="63"/>
      <w:r/>
    </w:p>
    <w:p>
      <w:pPr>
        <w:pStyle w:val="977"/>
        <w:pBdr/>
        <w:spacing/>
        <w:ind/>
        <w:rPr/>
      </w:pPr>
      <w:r/>
      <w:bookmarkStart w:id="64" w:name="content-moderation-heuristics"/>
      <w:r>
        <w:t xml:space="preserve">3.2.4 Content Moderation Heuristics</w:t>
      </w:r>
      <w:r/>
    </w:p>
    <w:p>
      <w:pPr>
        <w:pStyle w:val="963"/>
        <w:pBdr/>
        <w:spacing/>
        <w:ind/>
        <w:rPr/>
      </w:pPr>
      <w:r>
        <w:t xml:space="preserve">Provider-mediated platforms often host, rank, recommend, sell, distribute, or legitimize user-generated and third-party content. I-VSD therefore treats moderation as a governance and harm-prevention responsibility, not only as a community-management task.</w:t>
      </w:r>
      <w:r/>
    </w:p>
    <w:p>
      <w:pPr>
        <w:pStyle w:val="962"/>
        <w:pBdr/>
        <w:spacing/>
        <w:ind/>
        <w:rPr/>
      </w:pPr>
      <w:r>
        <w:rPr>
          <w:b/>
          <w:bCs/>
        </w:rPr>
        <w:t xml:space="preserve">Domain Emphasis:</w:t>
      </w:r>
      <w:r>
        <w:t xml:space="preserve"> Governance, Operational, Design, and Evaluation domains.</w:t>
      </w:r>
      <w:r/>
    </w:p>
    <w:p>
      <w:pPr>
        <w:pStyle w:val="962"/>
        <w:pBdr/>
        <w:spacing/>
        <w:ind/>
        <w:rPr/>
      </w:pPr>
      <w:r>
        <w:rPr>
          <w:b/>
          <w:bCs/>
        </w:rPr>
        <w:t xml:space="preserve">Heuristic: Apply Standards Consistently</w:t>
      </w:r>
      <w:r/>
    </w:p>
    <w:p>
      <w:pPr>
        <w:pStyle w:val="964"/>
        <w:numPr>
          <w:ilvl w:val="0"/>
          <w:numId w:val="60"/>
        </w:numPr>
        <w:pBdr/>
        <w:spacing/>
        <w:ind/>
        <w:rPr/>
      </w:pPr>
      <w:r>
        <w:rPr>
          <w:b/>
          <w:bCs/>
        </w:rPr>
        <w:t xml:space="preserve">Islamic Principle:</w:t>
      </w:r>
      <w:r>
        <w:t xml:space="preserve"> Adl, Amanah, Wafa</w:t>
      </w:r>
      <w:r/>
    </w:p>
    <w:p>
      <w:pPr>
        <w:pStyle w:val="964"/>
        <w:numPr>
          <w:ilvl w:val="0"/>
          <w:numId w:val="60"/>
        </w:numPr>
        <w:pBdr/>
        <w:spacing/>
        <w:ind/>
        <w:rPr/>
      </w:pPr>
      <w:r>
        <w:rPr>
          <w:b/>
          <w:bCs/>
        </w:rPr>
        <w:t xml:space="preserve">Provider Question:</w:t>
      </w:r>
      <w:r>
        <w:t xml:space="preserve"> Are moderation rules knowable, consistently applied, and reviewable when mistakes occur?</w:t>
      </w:r>
      <w:r/>
    </w:p>
    <w:p>
      <w:pPr>
        <w:pStyle w:val="964"/>
        <w:numPr>
          <w:ilvl w:val="0"/>
          <w:numId w:val="60"/>
        </w:numPr>
        <w:pBdr/>
        <w:spacing/>
        <w:ind/>
        <w:rPr/>
      </w:pPr>
      <w:r>
        <w:rPr>
          <w:b/>
          <w:bCs/>
        </w:rPr>
        <w:t xml:space="preserve">Implementation Directions:</w:t>
      </w:r>
      <w:r/>
    </w:p>
    <w:p>
      <w:pPr>
        <w:pStyle w:val="964"/>
        <w:numPr>
          <w:ilvl w:val="1"/>
          <w:numId w:val="61"/>
        </w:numPr>
        <w:pBdr/>
        <w:spacing/>
        <w:ind/>
        <w:rPr/>
      </w:pPr>
      <w:r>
        <w:t xml:space="preserve">Publish clear moderation rules appropriate to the product context.</w:t>
      </w:r>
      <w:r/>
    </w:p>
    <w:p>
      <w:pPr>
        <w:pStyle w:val="964"/>
        <w:numPr>
          <w:ilvl w:val="1"/>
          <w:numId w:val="61"/>
        </w:numPr>
        <w:pBdr/>
        <w:spacing/>
        <w:ind/>
        <w:rPr/>
      </w:pPr>
      <w:r>
        <w:t xml:space="preserve">Use consistent escalation criteria for similar cases.</w:t>
      </w:r>
      <w:r/>
    </w:p>
    <w:p>
      <w:pPr>
        <w:pStyle w:val="964"/>
        <w:numPr>
          <w:ilvl w:val="1"/>
          <w:numId w:val="61"/>
        </w:numPr>
        <w:pBdr/>
        <w:spacing/>
        <w:ind/>
        <w:rPr/>
      </w:pPr>
      <w:r>
        <w:t xml:space="preserve">Document moderation decisions where the stakes are significant.</w:t>
      </w:r>
      <w:r/>
    </w:p>
    <w:p>
      <w:pPr>
        <w:pStyle w:val="964"/>
        <w:numPr>
          <w:ilvl w:val="1"/>
          <w:numId w:val="61"/>
        </w:numPr>
        <w:pBdr/>
        <w:spacing/>
        <w:ind/>
        <w:rPr/>
      </w:pPr>
      <w:r>
        <w:t xml:space="preserve">Provide appeal or correction paths for affected users.</w:t>
      </w:r>
      <w:r/>
    </w:p>
    <w:p>
      <w:pPr>
        <w:pStyle w:val="963"/>
        <w:pBdr/>
        <w:spacing/>
        <w:ind/>
        <w:rPr/>
      </w:pPr>
      <w:r>
        <w:rPr>
          <w:b/>
          <w:bCs/>
        </w:rPr>
        <w:t xml:space="preserve">Heuristic: Rank Harm by Severity and Urgency</w:t>
      </w:r>
      <w:r/>
    </w:p>
    <w:p>
      <w:pPr>
        <w:pStyle w:val="964"/>
        <w:numPr>
          <w:ilvl w:val="0"/>
          <w:numId w:val="62"/>
        </w:numPr>
        <w:pBdr/>
        <w:spacing/>
        <w:ind/>
        <w:rPr/>
      </w:pPr>
      <w:r>
        <w:rPr>
          <w:b/>
          <w:bCs/>
        </w:rPr>
        <w:t xml:space="preserve">Islamic Principle:</w:t>
      </w:r>
      <w:r>
        <w:t xml:space="preserve"> La Darar, Amanah, Ihsan</w:t>
      </w:r>
      <w:r/>
    </w:p>
    <w:p>
      <w:pPr>
        <w:pStyle w:val="964"/>
        <w:numPr>
          <w:ilvl w:val="0"/>
          <w:numId w:val="62"/>
        </w:numPr>
        <w:pBdr/>
        <w:spacing/>
        <w:ind/>
        <w:rPr/>
      </w:pPr>
      <w:r>
        <w:rPr>
          <w:b/>
          <w:bCs/>
        </w:rPr>
        <w:t xml:space="preserve">Provider Question:</w:t>
      </w:r>
      <w:r>
        <w:t xml:space="preserve"> Which content categories create the greatest foreseeable harm if the provider delays or ignores reports?</w:t>
      </w:r>
      <w:r/>
    </w:p>
    <w:p>
      <w:pPr>
        <w:pStyle w:val="964"/>
        <w:numPr>
          <w:ilvl w:val="0"/>
          <w:numId w:val="62"/>
        </w:numPr>
        <w:pBdr/>
        <w:spacing/>
        <w:ind/>
        <w:rPr/>
      </w:pPr>
      <w:r>
        <w:rPr>
          <w:b/>
          <w:bCs/>
        </w:rPr>
        <w:t xml:space="preserve">Implementation Directions:</w:t>
      </w:r>
      <w:r/>
    </w:p>
    <w:p>
      <w:pPr>
        <w:pStyle w:val="964"/>
        <w:numPr>
          <w:ilvl w:val="1"/>
          <w:numId w:val="63"/>
        </w:numPr>
        <w:pBdr/>
        <w:spacing/>
        <w:ind/>
        <w:rPr/>
      </w:pPr>
      <w:r>
        <w:t xml:space="preserve">Prioritize scams, impersonation, credential theft, harassment, exploitation, and security abuse.</w:t>
      </w:r>
      <w:r/>
    </w:p>
    <w:p>
      <w:pPr>
        <w:pStyle w:val="964"/>
        <w:numPr>
          <w:ilvl w:val="1"/>
          <w:numId w:val="63"/>
        </w:numPr>
        <w:pBdr/>
        <w:spacing/>
        <w:ind/>
        <w:rPr/>
      </w:pPr>
      <w:r>
        <w:t xml:space="preserve">Treat credible abuse reports as safety signals requiring review.</w:t>
      </w:r>
      <w:r/>
    </w:p>
    <w:p>
      <w:pPr>
        <w:pStyle w:val="964"/>
        <w:numPr>
          <w:ilvl w:val="1"/>
          <w:numId w:val="63"/>
        </w:numPr>
        <w:pBdr/>
        <w:spacing/>
        <w:ind/>
        <w:rPr/>
      </w:pPr>
      <w:r>
        <w:t xml:space="preserve">Define response expectations for high-harm categories.</w:t>
      </w:r>
      <w:r/>
    </w:p>
    <w:p>
      <w:pPr>
        <w:pStyle w:val="964"/>
        <w:numPr>
          <w:ilvl w:val="1"/>
          <w:numId w:val="63"/>
        </w:numPr>
        <w:pBdr/>
        <w:spacing/>
        <w:ind/>
        <w:rPr/>
      </w:pPr>
      <w:r>
        <w:t xml:space="preserve">Avoid monetizing or ranking content that is under credible harm review.</w:t>
      </w:r>
      <w:r/>
    </w:p>
    <w:p>
      <w:pPr>
        <w:pStyle w:val="963"/>
        <w:pBdr/>
        <w:spacing/>
        <w:ind/>
        <w:rPr/>
      </w:pPr>
      <w:r>
        <w:rPr>
          <w:b/>
          <w:bCs/>
        </w:rPr>
        <w:t xml:space="preserve">Heuristic: Protect Community Values Without Arbitrary Enforcement</w:t>
      </w:r>
      <w:r/>
    </w:p>
    <w:p>
      <w:pPr>
        <w:pStyle w:val="964"/>
        <w:numPr>
          <w:ilvl w:val="0"/>
          <w:numId w:val="64"/>
        </w:numPr>
        <w:pBdr/>
        <w:spacing/>
        <w:ind/>
        <w:rPr/>
      </w:pPr>
      <w:r>
        <w:rPr>
          <w:b/>
          <w:bCs/>
        </w:rPr>
        <w:t xml:space="preserve">Islamic Principle:</w:t>
      </w:r>
      <w:r>
        <w:t xml:space="preserve"> Haya, Adl, avoiding Ghish</w:t>
      </w:r>
      <w:r/>
    </w:p>
    <w:p>
      <w:pPr>
        <w:pStyle w:val="964"/>
        <w:numPr>
          <w:ilvl w:val="0"/>
          <w:numId w:val="64"/>
        </w:numPr>
        <w:pBdr/>
        <w:spacing/>
        <w:ind/>
        <w:rPr/>
      </w:pPr>
      <w:r>
        <w:rPr>
          <w:b/>
          <w:bCs/>
        </w:rPr>
        <w:t xml:space="preserve">Provider Question:</w:t>
      </w:r>
      <w:r>
        <w:t xml:space="preserve"> Does moderation protect the intended community without hiding standards, shifting rules, or selectively enforcing policy?</w:t>
      </w:r>
      <w:r/>
    </w:p>
    <w:p>
      <w:pPr>
        <w:pStyle w:val="964"/>
        <w:numPr>
          <w:ilvl w:val="0"/>
          <w:numId w:val="64"/>
        </w:numPr>
        <w:pBdr/>
        <w:spacing/>
        <w:ind/>
        <w:rPr/>
      </w:pPr>
      <w:r>
        <w:rPr>
          <w:b/>
          <w:bCs/>
        </w:rPr>
        <w:t xml:space="preserve">Implementation Directions:</w:t>
      </w:r>
      <w:r/>
    </w:p>
    <w:p>
      <w:pPr>
        <w:pStyle w:val="964"/>
        <w:numPr>
          <w:ilvl w:val="1"/>
          <w:numId w:val="65"/>
        </w:numPr>
        <w:pBdr/>
        <w:spacing/>
        <w:ind/>
        <w:rPr/>
      </w:pPr>
      <w:r>
        <w:t xml:space="preserve">Explain restrictions on explicit, violent, fraudulent, or religiously inappropriate content.</w:t>
      </w:r>
      <w:r/>
    </w:p>
    <w:p>
      <w:pPr>
        <w:pStyle w:val="964"/>
        <w:numPr>
          <w:ilvl w:val="1"/>
          <w:numId w:val="65"/>
        </w:numPr>
        <w:pBdr/>
        <w:spacing/>
        <w:ind/>
        <w:rPr/>
      </w:pPr>
      <w:r>
        <w:t xml:space="preserve">Distinguish user controls from provider-level enforcement.</w:t>
      </w:r>
      <w:r/>
    </w:p>
    <w:p>
      <w:pPr>
        <w:pStyle w:val="964"/>
        <w:numPr>
          <w:ilvl w:val="1"/>
          <w:numId w:val="65"/>
        </w:numPr>
        <w:pBdr/>
        <w:spacing/>
        <w:ind/>
        <w:rPr/>
      </w:pPr>
      <w:r>
        <w:t xml:space="preserve">Avoid vague rules that allow arbitrary suppression or favoritism.</w:t>
      </w:r>
      <w:r/>
    </w:p>
    <w:p>
      <w:pPr>
        <w:pStyle w:val="964"/>
        <w:numPr>
          <w:ilvl w:val="1"/>
          <w:numId w:val="65"/>
        </w:numPr>
        <w:pBdr/>
        <w:spacing/>
        <w:ind/>
        <w:rPr/>
      </w:pPr>
      <w:r>
        <w:t xml:space="preserve">Make age, safety, and context controls visible where relevant.</w:t>
      </w:r>
      <w:r/>
    </w:p>
    <w:p>
      <w:pPr>
        <w:pStyle w:val="963"/>
        <w:pBdr/>
        <w:spacing/>
        <w:ind/>
        <w:rPr/>
      </w:pPr>
      <w:r>
        <w:rPr>
          <w:b/>
          <w:bCs/>
        </w:rPr>
        <w:t xml:space="preserve">Heuristic: Evaluate Moderation Outcomes</w:t>
      </w:r>
      <w:r/>
    </w:p>
    <w:p>
      <w:pPr>
        <w:pStyle w:val="964"/>
        <w:numPr>
          <w:ilvl w:val="0"/>
          <w:numId w:val="66"/>
        </w:numPr>
        <w:pBdr/>
        <w:spacing/>
        <w:ind/>
        <w:rPr/>
      </w:pPr>
      <w:r>
        <w:rPr>
          <w:b/>
          <w:bCs/>
        </w:rPr>
        <w:t xml:space="preserve">Islamic Principle:</w:t>
      </w:r>
      <w:r>
        <w:t xml:space="preserve"> Ihsan, Adl, La Darar</w:t>
      </w:r>
      <w:r/>
    </w:p>
    <w:p>
      <w:pPr>
        <w:pStyle w:val="964"/>
        <w:numPr>
          <w:ilvl w:val="0"/>
          <w:numId w:val="66"/>
        </w:numPr>
        <w:pBdr/>
        <w:spacing/>
        <w:ind/>
        <w:rPr/>
      </w:pPr>
      <w:r>
        <w:rPr>
          <w:b/>
          <w:bCs/>
        </w:rPr>
        <w:t xml:space="preserve">Provider Question:</w:t>
      </w:r>
      <w:r>
        <w:t xml:space="preserve"> How does the provider learn from moderation mistakes, delayed responses, or inconsistent enforcement?</w:t>
      </w:r>
      <w:r/>
    </w:p>
    <w:p>
      <w:pPr>
        <w:pStyle w:val="964"/>
        <w:numPr>
          <w:ilvl w:val="0"/>
          <w:numId w:val="66"/>
        </w:numPr>
        <w:pBdr/>
        <w:spacing/>
        <w:ind/>
        <w:rPr/>
      </w:pPr>
      <w:r>
        <w:rPr>
          <w:b/>
          <w:bCs/>
        </w:rPr>
        <w:t xml:space="preserve">Implementation Directions:</w:t>
      </w:r>
      <w:r/>
    </w:p>
    <w:p>
      <w:pPr>
        <w:pStyle w:val="964"/>
        <w:numPr>
          <w:ilvl w:val="1"/>
          <w:numId w:val="67"/>
        </w:numPr>
        <w:pBdr/>
        <w:spacing/>
        <w:ind/>
        <w:rPr/>
      </w:pPr>
      <w:r>
        <w:t xml:space="preserve">Review appeals, repeat abuse patterns, and high-harm incident categories.</w:t>
      </w:r>
      <w:r/>
    </w:p>
    <w:p>
      <w:pPr>
        <w:pStyle w:val="964"/>
        <w:numPr>
          <w:ilvl w:val="1"/>
          <w:numId w:val="67"/>
        </w:numPr>
        <w:pBdr/>
        <w:spacing/>
        <w:ind/>
        <w:rPr/>
      </w:pPr>
      <w:r>
        <w:t xml:space="preserve">Track whether reporting paths are usable and responsive.</w:t>
      </w:r>
      <w:r/>
    </w:p>
    <w:p>
      <w:pPr>
        <w:pStyle w:val="964"/>
        <w:numPr>
          <w:ilvl w:val="1"/>
          <w:numId w:val="67"/>
        </w:numPr>
        <w:pBdr/>
        <w:spacing/>
        <w:ind/>
        <w:rPr/>
      </w:pPr>
      <w:r>
        <w:t xml:space="preserve">Audit moderation rules for predictable bias or loopholes.</w:t>
      </w:r>
      <w:r/>
    </w:p>
    <w:p>
      <w:pPr>
        <w:pStyle w:val="964"/>
        <w:numPr>
          <w:ilvl w:val="1"/>
          <w:numId w:val="67"/>
        </w:numPr>
        <w:pBdr/>
        <w:spacing/>
        <w:ind/>
        <w:rPr/>
      </w:pPr>
      <w:r>
        <w:t xml:space="preserve">Update rules when product features create new abuse patterns.</w:t>
      </w:r>
      <w:r/>
    </w:p>
    <w:p>
      <w:pPr>
        <w:pStyle w:val="963"/>
        <w:pBdr/>
        <w:spacing/>
        <w:ind/>
        <w:rPr/>
      </w:pPr>
      <w:r>
        <w:t xml:space="preserve">These heuristics frame moderation as provider responsibility. They do not claim that a moderation system is fair or safe without enforcement data, appeals data, user feedback, or independent review.</w:t>
      </w:r>
      <w:r/>
    </w:p>
    <w:p>
      <w:pPr>
        <w:pBdr/>
        <w:spacing/>
        <w:ind/>
        <w:rPr/>
      </w:pPr>
      <w:r>
        <mc:AlternateContent>
          <mc:Choice Requires="wpg">
            <w:drawing>
              <wp:inline xmlns:wp="http://schemas.openxmlformats.org/drawingml/2006/wordprocessingDrawing" distT="0" distB="0" distL="0" distR="0">
                <wp:extent cx="0" cy="19050"/>
                <wp:effectExtent l="0" t="0" r="0" b="0"/>
                <wp:docPr id="4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2" o:spid="_x0000_s42" o:spt="1" type="#_x0000_t1" style="width:0.00pt;height:1.50pt;mso-wrap-distance-left:0.00pt;mso-wrap-distance-top:0.00pt;mso-wrap-distance-right:0.00pt;mso-wrap-distance-bottom:0.00pt;visibility:visible;" fillcolor="#FFFFFF" strokecolor="#000000"/>
            </w:pict>
          </mc:Fallback>
        </mc:AlternateContent>
      </w:r>
      <w:bookmarkEnd w:id="64"/>
      <w:r/>
    </w:p>
    <w:p>
      <w:pPr>
        <w:pStyle w:val="977"/>
        <w:pBdr/>
        <w:spacing/>
        <w:ind/>
        <w:rPr/>
      </w:pPr>
      <w:r/>
      <w:bookmarkStart w:id="65" w:name="ai-and-algorithmic-heuristics"/>
      <w:r>
        <w:t xml:space="preserve">3.2.5 AI and Algorithmic Heuristics</w:t>
      </w:r>
      <w:r/>
    </w:p>
    <w:p>
      <w:pPr>
        <w:pStyle w:val="963"/>
        <w:pBdr/>
        <w:spacing/>
        <w:ind/>
        <w:rPr/>
      </w:pPr>
      <w:r>
        <w:t xml:space="preserve">Algorithmic and AI-mediated features can shape what users see, believe, buy, trust, and remember. I-VSD therefore requires providers to treat ranking, recommendation, classification, generation, and automation as ethically significant design choices.</w:t>
      </w:r>
      <w:r/>
    </w:p>
    <w:p>
      <w:pPr>
        <w:pStyle w:val="962"/>
        <w:pBdr/>
        <w:spacing/>
        <w:ind/>
        <w:rPr/>
      </w:pPr>
      <w:r>
        <w:rPr>
          <w:b/>
          <w:bCs/>
        </w:rPr>
        <w:t xml:space="preserve">Domain Emphasis:</w:t>
      </w:r>
      <w:r>
        <w:t xml:space="preserve"> Technical, Design, Governance, and Evaluation domains.</w:t>
      </w:r>
      <w:r/>
    </w:p>
    <w:p>
      <w:pPr>
        <w:pStyle w:val="962"/>
        <w:pBdr/>
        <w:spacing/>
        <w:ind/>
        <w:rPr/>
      </w:pPr>
      <w:r>
        <w:rPr>
          <w:b/>
          <w:bCs/>
        </w:rPr>
        <w:t xml:space="preserve">Heuristic: Disclose AI and Automation Limits</w:t>
      </w:r>
      <w:r/>
    </w:p>
    <w:p>
      <w:pPr>
        <w:pStyle w:val="964"/>
        <w:numPr>
          <w:ilvl w:val="0"/>
          <w:numId w:val="68"/>
        </w:numPr>
        <w:pBdr/>
        <w:spacing/>
        <w:ind/>
        <w:rPr/>
      </w:pPr>
      <w:r>
        <w:rPr>
          <w:b/>
          <w:bCs/>
        </w:rPr>
        <w:t xml:space="preserve">Islamic Principle:</w:t>
      </w:r>
      <w:r>
        <w:t xml:space="preserve"> Sidq, Amanah, La Darar</w:t>
      </w:r>
      <w:r/>
    </w:p>
    <w:p>
      <w:pPr>
        <w:pStyle w:val="964"/>
        <w:numPr>
          <w:ilvl w:val="0"/>
          <w:numId w:val="68"/>
        </w:numPr>
        <w:pBdr/>
        <w:spacing/>
        <w:ind/>
        <w:rPr/>
      </w:pPr>
      <w:r>
        <w:rPr>
          <w:b/>
          <w:bCs/>
        </w:rPr>
        <w:t xml:space="preserve">Provider Question:</w:t>
      </w:r>
      <w:r>
        <w:t xml:space="preserve"> Does the user know when they are relying on automation, and do they understand its limits?</w:t>
      </w:r>
      <w:r/>
    </w:p>
    <w:p>
      <w:pPr>
        <w:pStyle w:val="964"/>
        <w:numPr>
          <w:ilvl w:val="0"/>
          <w:numId w:val="68"/>
        </w:numPr>
        <w:pBdr/>
        <w:spacing/>
        <w:ind/>
        <w:rPr/>
      </w:pPr>
      <w:r>
        <w:rPr>
          <w:b/>
          <w:bCs/>
        </w:rPr>
        <w:t xml:space="preserve">Implementation Directions:</w:t>
      </w:r>
      <w:r/>
    </w:p>
    <w:p>
      <w:pPr>
        <w:pStyle w:val="964"/>
        <w:numPr>
          <w:ilvl w:val="1"/>
          <w:numId w:val="69"/>
        </w:numPr>
        <w:pBdr/>
        <w:spacing/>
        <w:ind/>
        <w:rPr/>
      </w:pPr>
      <w:r>
        <w:t xml:space="preserve">Label AI-generated, AI-ranked, or automatically classified outputs where this affects trust.</w:t>
      </w:r>
      <w:r/>
    </w:p>
    <w:p>
      <w:pPr>
        <w:pStyle w:val="964"/>
        <w:numPr>
          <w:ilvl w:val="1"/>
          <w:numId w:val="69"/>
        </w:numPr>
        <w:pBdr/>
        <w:spacing/>
        <w:ind/>
        <w:rPr/>
      </w:pPr>
      <w:r>
        <w:t xml:space="preserve">Disclose uncertainty, hallucination risk, training limitations, and known failure modes.</w:t>
      </w:r>
      <w:r/>
    </w:p>
    <w:p>
      <w:pPr>
        <w:pStyle w:val="964"/>
        <w:numPr>
          <w:ilvl w:val="1"/>
          <w:numId w:val="69"/>
        </w:numPr>
        <w:pBdr/>
        <w:spacing/>
        <w:ind/>
        <w:rPr/>
      </w:pPr>
      <w:r>
        <w:t xml:space="preserve">Warn against decision-critical use where the system is not designed for that purpose.</w:t>
      </w:r>
      <w:r/>
    </w:p>
    <w:p>
      <w:pPr>
        <w:pStyle w:val="964"/>
        <w:numPr>
          <w:ilvl w:val="1"/>
          <w:numId w:val="69"/>
        </w:numPr>
        <w:pBdr/>
        <w:spacing/>
        <w:ind/>
        <w:rPr/>
      </w:pPr>
      <w:r>
        <w:t xml:space="preserve">Provide human review or escalation for high-impact decisions.</w:t>
      </w:r>
      <w:r/>
    </w:p>
    <w:p>
      <w:pPr>
        <w:pStyle w:val="963"/>
        <w:pBdr/>
        <w:spacing/>
        <w:ind/>
        <w:rPr/>
      </w:pPr>
      <w:r>
        <w:rPr>
          <w:b/>
          <w:bCs/>
        </w:rPr>
        <w:t xml:space="preserve">Heuristic: Preserve Source Integrity</w:t>
      </w:r>
      <w:r/>
    </w:p>
    <w:p>
      <w:pPr>
        <w:pStyle w:val="964"/>
        <w:numPr>
          <w:ilvl w:val="0"/>
          <w:numId w:val="70"/>
        </w:numPr>
        <w:pBdr/>
        <w:spacing/>
        <w:ind/>
        <w:rPr/>
      </w:pPr>
      <w:r>
        <w:rPr>
          <w:b/>
          <w:bCs/>
        </w:rPr>
        <w:t xml:space="preserve">Islamic Principle:</w:t>
      </w:r>
      <w:r>
        <w:t xml:space="preserve"> Amanah, Sidq, avoiding Ghish</w:t>
      </w:r>
      <w:r/>
    </w:p>
    <w:p>
      <w:pPr>
        <w:pStyle w:val="964"/>
        <w:numPr>
          <w:ilvl w:val="0"/>
          <w:numId w:val="70"/>
        </w:numPr>
        <w:pBdr/>
        <w:spacing/>
        <w:ind/>
        <w:rPr/>
      </w:pPr>
      <w:r>
        <w:rPr>
          <w:b/>
          <w:bCs/>
        </w:rPr>
        <w:t xml:space="preserve">Provider Question:</w:t>
      </w:r>
      <w:r>
        <w:t xml:space="preserve"> Can users distinguish exact source material, summary, inference, recommendation, and generated output?</w:t>
      </w:r>
      <w:r/>
    </w:p>
    <w:p>
      <w:pPr>
        <w:pStyle w:val="964"/>
        <w:numPr>
          <w:ilvl w:val="0"/>
          <w:numId w:val="70"/>
        </w:numPr>
        <w:pBdr/>
        <w:spacing/>
        <w:ind/>
        <w:rPr/>
      </w:pPr>
      <w:r>
        <w:rPr>
          <w:b/>
          <w:bCs/>
        </w:rPr>
        <w:t xml:space="preserve">Implementation Directions:</w:t>
      </w:r>
      <w:r/>
    </w:p>
    <w:p>
      <w:pPr>
        <w:pStyle w:val="964"/>
        <w:numPr>
          <w:ilvl w:val="1"/>
          <w:numId w:val="71"/>
        </w:numPr>
        <w:pBdr/>
        <w:spacing/>
        <w:ind/>
        <w:rPr/>
      </w:pPr>
      <w:r>
        <w:t xml:space="preserve">Cite sources for factual, religious, legal, medical, or decision-critical claims.</w:t>
      </w:r>
      <w:r/>
    </w:p>
    <w:p>
      <w:pPr>
        <w:pStyle w:val="964"/>
        <w:numPr>
          <w:ilvl w:val="1"/>
          <w:numId w:val="71"/>
        </w:numPr>
        <w:pBdr/>
        <w:spacing/>
        <w:ind/>
        <w:rPr/>
      </w:pPr>
      <w:r>
        <w:t xml:space="preserve">Separate quotations from summaries and interpretations.</w:t>
      </w:r>
      <w:r/>
    </w:p>
    <w:p>
      <w:pPr>
        <w:pStyle w:val="964"/>
        <w:numPr>
          <w:ilvl w:val="1"/>
          <w:numId w:val="71"/>
        </w:numPr>
        <w:pBdr/>
        <w:spacing/>
        <w:ind/>
        <w:rPr/>
      </w:pPr>
      <w:r>
        <w:t xml:space="preserve">Avoid presenting probabilistic similarity as certainty.</w:t>
      </w:r>
      <w:r/>
    </w:p>
    <w:p>
      <w:pPr>
        <w:pStyle w:val="964"/>
        <w:numPr>
          <w:ilvl w:val="1"/>
          <w:numId w:val="71"/>
        </w:numPr>
        <w:pBdr/>
        <w:spacing/>
        <w:ind/>
        <w:rPr/>
      </w:pPr>
      <w:r>
        <w:t xml:space="preserve">Show confidence, provenance, or retrieval basis where appropriate.</w:t>
      </w:r>
      <w:r/>
    </w:p>
    <w:p>
      <w:pPr>
        <w:pStyle w:val="963"/>
        <w:pBdr/>
        <w:spacing/>
        <w:ind/>
        <w:rPr/>
      </w:pPr>
      <w:r>
        <w:rPr>
          <w:b/>
          <w:bCs/>
        </w:rPr>
        <w:t xml:space="preserve">Heuristic: Review Bias and Disparate Harm</w:t>
      </w:r>
      <w:r/>
    </w:p>
    <w:p>
      <w:pPr>
        <w:pStyle w:val="964"/>
        <w:numPr>
          <w:ilvl w:val="0"/>
          <w:numId w:val="72"/>
        </w:numPr>
        <w:pBdr/>
        <w:spacing/>
        <w:ind/>
        <w:rPr/>
      </w:pPr>
      <w:r>
        <w:rPr>
          <w:b/>
          <w:bCs/>
        </w:rPr>
        <w:t xml:space="preserve">Islamic Principle:</w:t>
      </w:r>
      <w:r>
        <w:t xml:space="preserve"> Adl, La Darar, Ihsan</w:t>
      </w:r>
      <w:r/>
    </w:p>
    <w:p>
      <w:pPr>
        <w:pStyle w:val="964"/>
        <w:numPr>
          <w:ilvl w:val="0"/>
          <w:numId w:val="72"/>
        </w:numPr>
        <w:pBdr/>
        <w:spacing/>
        <w:ind/>
        <w:rPr/>
      </w:pPr>
      <w:r>
        <w:rPr>
          <w:b/>
          <w:bCs/>
        </w:rPr>
        <w:t xml:space="preserve">Provider Question:</w:t>
      </w:r>
      <w:r>
        <w:t xml:space="preserve"> Does the system predictably disadvantage, misrepresent, or expose certain users or communities?</w:t>
      </w:r>
      <w:r/>
    </w:p>
    <w:p>
      <w:pPr>
        <w:pStyle w:val="964"/>
        <w:numPr>
          <w:ilvl w:val="0"/>
          <w:numId w:val="72"/>
        </w:numPr>
        <w:pBdr/>
        <w:spacing/>
        <w:ind/>
        <w:rPr/>
      </w:pPr>
      <w:r>
        <w:rPr>
          <w:b/>
          <w:bCs/>
        </w:rPr>
        <w:t xml:space="preserve">Implementation Directions:</w:t>
      </w:r>
      <w:r/>
    </w:p>
    <w:p>
      <w:pPr>
        <w:pStyle w:val="964"/>
        <w:numPr>
          <w:ilvl w:val="1"/>
          <w:numId w:val="73"/>
        </w:numPr>
        <w:pBdr/>
        <w:spacing/>
        <w:ind/>
        <w:rPr/>
      </w:pPr>
      <w:r>
        <w:t xml:space="preserve">Test outputs and rankings across relevant user groups, languages, and contexts.</w:t>
      </w:r>
      <w:r/>
    </w:p>
    <w:p>
      <w:pPr>
        <w:pStyle w:val="964"/>
        <w:numPr>
          <w:ilvl w:val="1"/>
          <w:numId w:val="73"/>
        </w:numPr>
        <w:pBdr/>
        <w:spacing/>
        <w:ind/>
        <w:rPr/>
      </w:pPr>
      <w:r>
        <w:t xml:space="preserve">Review training data, evaluation data, and feedback loops for bias.</w:t>
      </w:r>
      <w:r/>
    </w:p>
    <w:p>
      <w:pPr>
        <w:pStyle w:val="964"/>
        <w:numPr>
          <w:ilvl w:val="1"/>
          <w:numId w:val="73"/>
        </w:numPr>
        <w:pBdr/>
        <w:spacing/>
        <w:ind/>
        <w:rPr/>
      </w:pPr>
      <w:r>
        <w:t xml:space="preserve">Provide correction paths for harmful classifications or recommendations.</w:t>
      </w:r>
      <w:r/>
    </w:p>
    <w:p>
      <w:pPr>
        <w:pStyle w:val="964"/>
        <w:numPr>
          <w:ilvl w:val="1"/>
          <w:numId w:val="73"/>
        </w:numPr>
        <w:pBdr/>
        <w:spacing/>
        <w:ind/>
        <w:rPr/>
      </w:pPr>
      <w:r>
        <w:t xml:space="preserve">Re-evaluate models when product context or user population changes.</w:t>
      </w:r>
      <w:r/>
    </w:p>
    <w:p>
      <w:pPr>
        <w:pStyle w:val="963"/>
        <w:pBdr/>
        <w:spacing/>
        <w:ind/>
        <w:rPr/>
      </w:pPr>
      <w:r>
        <w:rPr>
          <w:b/>
          <w:bCs/>
        </w:rPr>
        <w:t xml:space="preserve">Heuristic: Evaluate Source Openness by Risk Context</w:t>
      </w:r>
      <w:r/>
    </w:p>
    <w:p>
      <w:pPr>
        <w:pStyle w:val="964"/>
        <w:numPr>
          <w:ilvl w:val="0"/>
          <w:numId w:val="74"/>
        </w:numPr>
        <w:pBdr/>
        <w:spacing/>
        <w:ind/>
        <w:rPr/>
      </w:pPr>
      <w:r>
        <w:rPr>
          <w:b/>
          <w:bCs/>
        </w:rPr>
        <w:t xml:space="preserve">Islamic Principle:</w:t>
      </w:r>
      <w:r>
        <w:t xml:space="preserve"> Amanah, Wafa, La Darar</w:t>
      </w:r>
      <w:r/>
    </w:p>
    <w:p>
      <w:pPr>
        <w:pStyle w:val="964"/>
        <w:numPr>
          <w:ilvl w:val="0"/>
          <w:numId w:val="74"/>
        </w:numPr>
        <w:pBdr/>
        <w:spacing/>
        <w:ind/>
        <w:rPr/>
      </w:pPr>
      <w:r>
        <w:rPr>
          <w:b/>
          <w:bCs/>
        </w:rPr>
        <w:t xml:space="preserve">Provider Question:</w:t>
      </w:r>
      <w:r>
        <w:t xml:space="preserve"> Would openness improve accountability and user freedom, or would immediate disclosure create disproportionate risk?</w:t>
      </w:r>
      <w:r/>
    </w:p>
    <w:p>
      <w:pPr>
        <w:pStyle w:val="964"/>
        <w:numPr>
          <w:ilvl w:val="0"/>
          <w:numId w:val="74"/>
        </w:numPr>
        <w:pBdr/>
        <w:spacing/>
        <w:ind/>
        <w:rPr/>
      </w:pPr>
      <w:r>
        <w:rPr>
          <w:b/>
          <w:bCs/>
        </w:rPr>
        <w:t xml:space="preserve">Implementation Directions:</w:t>
      </w:r>
      <w:r/>
    </w:p>
    <w:p>
      <w:pPr>
        <w:pStyle w:val="964"/>
        <w:numPr>
          <w:ilvl w:val="1"/>
          <w:numId w:val="75"/>
        </w:numPr>
        <w:pBdr/>
        <w:spacing/>
        <w:ind/>
        <w:rPr/>
      </w:pPr>
      <w:r>
        <w:t xml:space="preserve">Treat openness as a strong default for auditability, user freedom, and community resilience.</w:t>
      </w:r>
      <w:r/>
    </w:p>
    <w:p>
      <w:pPr>
        <w:pStyle w:val="964"/>
        <w:numPr>
          <w:ilvl w:val="1"/>
          <w:numId w:val="75"/>
        </w:numPr>
        <w:pBdr/>
        <w:spacing/>
        <w:ind/>
        <w:rPr/>
      </w:pPr>
      <w:r>
        <w:t xml:space="preserve">Use staged disclosure, responsible vulnerability handling, or limited source access when immediate full release would create serious harm.</w:t>
      </w:r>
      <w:r/>
    </w:p>
    <w:p>
      <w:pPr>
        <w:pStyle w:val="964"/>
        <w:numPr>
          <w:ilvl w:val="1"/>
          <w:numId w:val="75"/>
        </w:numPr>
        <w:pBdr/>
        <w:spacing/>
        <w:ind/>
        <w:rPr/>
      </w:pPr>
      <w:r>
        <w:t xml:space="preserve">Require honest justification when software remains closed source.</w:t>
      </w:r>
      <w:r/>
    </w:p>
    <w:p>
      <w:pPr>
        <w:pStyle w:val="964"/>
        <w:numPr>
          <w:ilvl w:val="1"/>
          <w:numId w:val="75"/>
        </w:numPr>
        <w:pBdr/>
        <w:spacing/>
        <w:ind/>
        <w:rPr/>
      </w:pPr>
      <w:r>
        <w:t xml:space="preserve">Reassess closure if users relied on openness as part of the product promise.</w:t>
      </w:r>
      <w:r/>
    </w:p>
    <w:p>
      <w:pPr>
        <w:pStyle w:val="963"/>
        <w:pBdr/>
        <w:spacing/>
        <w:ind/>
        <w:rPr/>
      </w:pPr>
      <w:r>
        <w:rPr>
          <w:b/>
          <w:bCs/>
        </w:rPr>
        <w:t xml:space="preserve">Heuristic: Protect User Autonomy in Recommendations</w:t>
      </w:r>
      <w:r/>
    </w:p>
    <w:p>
      <w:pPr>
        <w:pStyle w:val="964"/>
        <w:numPr>
          <w:ilvl w:val="0"/>
          <w:numId w:val="76"/>
        </w:numPr>
        <w:pBdr/>
        <w:spacing/>
        <w:ind/>
        <w:rPr/>
      </w:pPr>
      <w:r>
        <w:rPr>
          <w:b/>
          <w:bCs/>
        </w:rPr>
        <w:t xml:space="preserve">Islamic Principle:</w:t>
      </w:r>
      <w:r>
        <w:t xml:space="preserve"> Haya, Ihsan, avoiding Ghish</w:t>
      </w:r>
      <w:r/>
    </w:p>
    <w:p>
      <w:pPr>
        <w:pStyle w:val="964"/>
        <w:numPr>
          <w:ilvl w:val="0"/>
          <w:numId w:val="76"/>
        </w:numPr>
        <w:pBdr/>
        <w:spacing/>
        <w:ind/>
        <w:rPr/>
      </w:pPr>
      <w:r>
        <w:rPr>
          <w:b/>
          <w:bCs/>
        </w:rPr>
        <w:t xml:space="preserve">Provider Question:</w:t>
      </w:r>
      <w:r>
        <w:t xml:space="preserve"> Does the recommendation system support user benefit, or does it optimize dependency, compulsion, outrage, or excessive consumption?</w:t>
      </w:r>
      <w:r/>
    </w:p>
    <w:p>
      <w:pPr>
        <w:pStyle w:val="964"/>
        <w:numPr>
          <w:ilvl w:val="0"/>
          <w:numId w:val="76"/>
        </w:numPr>
        <w:pBdr/>
        <w:spacing/>
        <w:ind/>
        <w:rPr/>
      </w:pPr>
      <w:r>
        <w:rPr>
          <w:b/>
          <w:bCs/>
        </w:rPr>
        <w:t xml:space="preserve">Implementation Directions:</w:t>
      </w:r>
      <w:r/>
    </w:p>
    <w:p>
      <w:pPr>
        <w:pStyle w:val="964"/>
        <w:numPr>
          <w:ilvl w:val="1"/>
          <w:numId w:val="77"/>
        </w:numPr>
        <w:pBdr/>
        <w:spacing/>
        <w:ind/>
        <w:rPr/>
      </w:pPr>
      <w:r>
        <w:t xml:space="preserve">Let users understand and adjust recommendation criteria where feasible.</w:t>
      </w:r>
      <w:r/>
    </w:p>
    <w:p>
      <w:pPr>
        <w:pStyle w:val="964"/>
        <w:numPr>
          <w:ilvl w:val="1"/>
          <w:numId w:val="77"/>
        </w:numPr>
        <w:pBdr/>
        <w:spacing/>
        <w:ind/>
        <w:rPr/>
      </w:pPr>
      <w:r>
        <w:t xml:space="preserve">Avoid engagement loops that exploit weakness, anger, loneliness, or religious anxiety.</w:t>
      </w:r>
      <w:r/>
    </w:p>
    <w:p>
      <w:pPr>
        <w:pStyle w:val="964"/>
        <w:numPr>
          <w:ilvl w:val="1"/>
          <w:numId w:val="77"/>
        </w:numPr>
        <w:pBdr/>
        <w:spacing/>
        <w:ind/>
        <w:rPr/>
      </w:pPr>
      <w:r>
        <w:t xml:space="preserve">Provide reset, mute, chronological, or non-personalized alternatives when appropriate.</w:t>
      </w:r>
      <w:r/>
    </w:p>
    <w:p>
      <w:pPr>
        <w:pStyle w:val="964"/>
        <w:numPr>
          <w:ilvl w:val="1"/>
          <w:numId w:val="77"/>
        </w:numPr>
        <w:pBdr/>
        <w:spacing/>
        <w:ind/>
        <w:rPr/>
      </w:pPr>
      <w:r>
        <w:t xml:space="preserve">Evaluate whether success metrics reward harmful attention capture.</w:t>
      </w:r>
      <w:r/>
    </w:p>
    <w:p>
      <w:pPr>
        <w:pStyle w:val="963"/>
        <w:pBdr/>
        <w:spacing/>
        <w:ind/>
        <w:rPr/>
      </w:pPr>
      <w:r>
        <w:t xml:space="preserve">These heuristics support technical and governance review. Empirical claims about fairness, safety, or accuracy require testing, audits, deployment data, or stakeholder feedback.</w:t>
      </w:r>
      <w:r/>
    </w:p>
    <w:p>
      <w:pPr>
        <w:pBdr/>
        <w:spacing/>
        <w:ind/>
        <w:rPr/>
      </w:pPr>
      <w:r>
        <mc:AlternateContent>
          <mc:Choice Requires="wpg">
            <w:drawing>
              <wp:inline xmlns:wp="http://schemas.openxmlformats.org/drawingml/2006/wordprocessingDrawing" distT="0" distB="0" distL="0" distR="0">
                <wp:extent cx="0" cy="19050"/>
                <wp:effectExtent l="0" t="0" r="0" b="0"/>
                <wp:docPr id="4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3" o:spid="_x0000_s43" o:spt="1" type="#_x0000_t1" style="width:0.00pt;height:1.50pt;mso-wrap-distance-left:0.00pt;mso-wrap-distance-top:0.00pt;mso-wrap-distance-right:0.00pt;mso-wrap-distance-bottom:0.00pt;visibility:visible;" fillcolor="#FFFFFF" strokecolor="#000000"/>
            </w:pict>
          </mc:Fallback>
        </mc:AlternateContent>
      </w:r>
      <w:bookmarkEnd w:id="65"/>
      <w:r/>
    </w:p>
    <w:p>
      <w:pPr>
        <w:pStyle w:val="977"/>
        <w:pBdr/>
        <w:spacing/>
        <w:ind/>
        <w:rPr/>
      </w:pPr>
      <w:r/>
      <w:bookmarkStart w:id="66" w:name="marketing-and-communication-heuristics"/>
      <w:r>
        <w:t xml:space="preserve">3.2.6 Marketing and Communication Heuristics</w:t>
      </w:r>
      <w:r/>
    </w:p>
    <w:p>
      <w:pPr>
        <w:pStyle w:val="963"/>
        <w:pBdr/>
        <w:spacing/>
        <w:ind/>
        <w:rPr/>
      </w:pPr>
      <w:r>
        <w:t xml:space="preserve">Marketing, onboarding, support copy, product claims</w:t>
      </w:r>
      <w:r>
        <w:t xml:space="preserve">, and public communication shape user expectations before and during use. I-VSD therefore treats communication as part of the provider’s moral design responsibility, especially when claims influence trust, payment, religious confidence, or user dependency.</w:t>
      </w:r>
      <w:r/>
    </w:p>
    <w:p>
      <w:pPr>
        <w:pStyle w:val="962"/>
        <w:pBdr/>
        <w:spacing/>
        <w:ind/>
        <w:rPr/>
      </w:pPr>
      <w:r>
        <w:rPr>
          <w:b/>
          <w:bCs/>
        </w:rPr>
        <w:t xml:space="preserve">Domain Emphasis:</w:t>
      </w:r>
      <w:r>
        <w:t xml:space="preserve"> Strategic, Design, Governance, and Evaluation domains.</w:t>
      </w:r>
      <w:r/>
    </w:p>
    <w:p>
      <w:pPr>
        <w:pStyle w:val="962"/>
        <w:pBdr/>
        <w:spacing/>
        <w:ind/>
        <w:rPr/>
      </w:pPr>
      <w:r>
        <w:rPr>
          <w:b/>
          <w:bCs/>
        </w:rPr>
        <w:t xml:space="preserve">Heuristic: Make Product Claims Truthful and Bounded</w:t>
      </w:r>
      <w:r/>
    </w:p>
    <w:p>
      <w:pPr>
        <w:pStyle w:val="964"/>
        <w:numPr>
          <w:ilvl w:val="0"/>
          <w:numId w:val="78"/>
        </w:numPr>
        <w:pBdr/>
        <w:spacing/>
        <w:ind/>
        <w:rPr/>
      </w:pPr>
      <w:r>
        <w:rPr>
          <w:b/>
          <w:bCs/>
        </w:rPr>
        <w:t xml:space="preserve">Islamic Principle:</w:t>
      </w:r>
      <w:r>
        <w:t xml:space="preserve"> Sidq, avoiding Ghish, Wafa</w:t>
      </w:r>
      <w:r/>
    </w:p>
    <w:p>
      <w:pPr>
        <w:pStyle w:val="964"/>
        <w:numPr>
          <w:ilvl w:val="0"/>
          <w:numId w:val="78"/>
        </w:numPr>
        <w:pBdr/>
        <w:spacing/>
        <w:ind/>
        <w:rPr/>
      </w:pPr>
      <w:r>
        <w:rPr>
          <w:b/>
          <w:bCs/>
        </w:rPr>
        <w:t xml:space="preserve">Provider Question:</w:t>
      </w:r>
      <w:r>
        <w:t xml:space="preserve"> Can each public claim be supported by the product’s actual behavior, evidence, and limitations?</w:t>
      </w:r>
      <w:r/>
    </w:p>
    <w:p>
      <w:pPr>
        <w:pStyle w:val="964"/>
        <w:numPr>
          <w:ilvl w:val="0"/>
          <w:numId w:val="78"/>
        </w:numPr>
        <w:pBdr/>
        <w:spacing/>
        <w:ind/>
        <w:rPr/>
      </w:pPr>
      <w:r>
        <w:rPr>
          <w:b/>
          <w:bCs/>
        </w:rPr>
        <w:t xml:space="preserve">Implementation Directions:</w:t>
      </w:r>
      <w:r/>
    </w:p>
    <w:p>
      <w:pPr>
        <w:pStyle w:val="964"/>
        <w:numPr>
          <w:ilvl w:val="1"/>
          <w:numId w:val="79"/>
        </w:numPr>
        <w:pBdr/>
        <w:spacing/>
        <w:ind/>
        <w:rPr/>
      </w:pPr>
      <w:r>
        <w:t xml:space="preserve">Avoid exaggerated capability claims and vague superiority claims.</w:t>
      </w:r>
      <w:r/>
    </w:p>
    <w:p>
      <w:pPr>
        <w:pStyle w:val="964"/>
        <w:numPr>
          <w:ilvl w:val="1"/>
          <w:numId w:val="79"/>
        </w:numPr>
        <w:pBdr/>
        <w:spacing/>
        <w:ind/>
        <w:rPr/>
      </w:pPr>
      <w:r>
        <w:t xml:space="preserve">Distinguish released features from planned or experimental features.</w:t>
      </w:r>
      <w:r/>
    </w:p>
    <w:p>
      <w:pPr>
        <w:pStyle w:val="964"/>
        <w:numPr>
          <w:ilvl w:val="1"/>
          <w:numId w:val="79"/>
        </w:numPr>
        <w:pBdr/>
        <w:spacing/>
        <w:ind/>
        <w:rPr/>
      </w:pPr>
      <w:r>
        <w:t xml:space="preserve">Disclose important limits, dependencies, and known failure cases.</w:t>
      </w:r>
      <w:r/>
    </w:p>
    <w:p>
      <w:pPr>
        <w:pStyle w:val="964"/>
        <w:numPr>
          <w:ilvl w:val="1"/>
          <w:numId w:val="79"/>
        </w:numPr>
        <w:pBdr/>
        <w:spacing/>
        <w:ind/>
        <w:rPr/>
      </w:pPr>
      <w:r>
        <w:t xml:space="preserve">Keep a claim-evidence register for high-stakes marketing or religious/knowledge claims.</w:t>
      </w:r>
      <w:r/>
    </w:p>
    <w:p>
      <w:pPr>
        <w:pStyle w:val="963"/>
        <w:pBdr/>
        <w:spacing/>
        <w:ind/>
        <w:rPr/>
      </w:pPr>
      <w:r>
        <w:rPr>
          <w:b/>
          <w:bCs/>
        </w:rPr>
        <w:t xml:space="preserve">Heuristic: Respect User Attention</w:t>
      </w:r>
      <w:r/>
    </w:p>
    <w:p>
      <w:pPr>
        <w:pStyle w:val="964"/>
        <w:numPr>
          <w:ilvl w:val="0"/>
          <w:numId w:val="80"/>
        </w:numPr>
        <w:pBdr/>
        <w:spacing/>
        <w:ind/>
        <w:rPr/>
      </w:pPr>
      <w:r>
        <w:rPr>
          <w:b/>
          <w:bCs/>
        </w:rPr>
        <w:t xml:space="preserve">Islamic Principle:</w:t>
      </w:r>
      <w:r>
        <w:t xml:space="preserve"> Ihsan, Haya, La Darar</w:t>
      </w:r>
      <w:r/>
    </w:p>
    <w:p>
      <w:pPr>
        <w:pStyle w:val="964"/>
        <w:numPr>
          <w:ilvl w:val="0"/>
          <w:numId w:val="80"/>
        </w:numPr>
        <w:pBdr/>
        <w:spacing/>
        <w:ind/>
        <w:rPr/>
      </w:pPr>
      <w:r>
        <w:rPr>
          <w:b/>
          <w:bCs/>
        </w:rPr>
        <w:t xml:space="preserve">Provider Question:</w:t>
      </w:r>
      <w:r>
        <w:t xml:space="preserve"> Does communication help the user, or does it pressure, distract, shame, or manipulate?</w:t>
      </w:r>
      <w:r/>
    </w:p>
    <w:p>
      <w:pPr>
        <w:pStyle w:val="964"/>
        <w:numPr>
          <w:ilvl w:val="0"/>
          <w:numId w:val="80"/>
        </w:numPr>
        <w:pBdr/>
        <w:spacing/>
        <w:ind/>
        <w:rPr/>
      </w:pPr>
      <w:r>
        <w:rPr>
          <w:b/>
          <w:bCs/>
        </w:rPr>
        <w:t xml:space="preserve">Implementation Directions:</w:t>
      </w:r>
      <w:r/>
    </w:p>
    <w:p>
      <w:pPr>
        <w:pStyle w:val="964"/>
        <w:numPr>
          <w:ilvl w:val="1"/>
          <w:numId w:val="81"/>
        </w:numPr>
        <w:pBdr/>
        <w:spacing/>
        <w:ind/>
        <w:rPr/>
      </w:pPr>
      <w:r>
        <w:t xml:space="preserve">Use opt-in communication for non-essential marketing.</w:t>
      </w:r>
      <w:r/>
    </w:p>
    <w:p>
      <w:pPr>
        <w:pStyle w:val="964"/>
        <w:numPr>
          <w:ilvl w:val="1"/>
          <w:numId w:val="81"/>
        </w:numPr>
        <w:pBdr/>
        <w:spacing/>
        <w:ind/>
        <w:rPr/>
      </w:pPr>
      <w:r>
        <w:t xml:space="preserve">Make unsubscribe and preference controls easy to use.</w:t>
      </w:r>
      <w:r/>
    </w:p>
    <w:p>
      <w:pPr>
        <w:pStyle w:val="964"/>
        <w:numPr>
          <w:ilvl w:val="1"/>
          <w:numId w:val="81"/>
        </w:numPr>
        <w:pBdr/>
        <w:spacing/>
        <w:ind/>
        <w:rPr/>
      </w:pPr>
      <w:r>
        <w:t xml:space="preserve">Avoid guilt-driven, fear-driven, or spiritually manipulative messaging.</w:t>
      </w:r>
      <w:r/>
    </w:p>
    <w:p>
      <w:pPr>
        <w:pStyle w:val="964"/>
        <w:numPr>
          <w:ilvl w:val="1"/>
          <w:numId w:val="81"/>
        </w:numPr>
        <w:pBdr/>
        <w:spacing/>
        <w:ind/>
        <w:rPr/>
      </w:pPr>
      <w:r>
        <w:t xml:space="preserve">Separate operational notices from promotional communication.</w:t>
      </w:r>
      <w:r/>
    </w:p>
    <w:p>
      <w:pPr>
        <w:pStyle w:val="963"/>
        <w:pBdr/>
        <w:spacing/>
        <w:ind/>
        <w:rPr/>
      </w:pPr>
      <w:r>
        <w:rPr>
          <w:b/>
          <w:bCs/>
        </w:rPr>
        <w:t xml:space="preserve">Heuristic: Communicate Changes Before They Harm Trust</w:t>
      </w:r>
      <w:r/>
    </w:p>
    <w:p>
      <w:pPr>
        <w:pStyle w:val="964"/>
        <w:numPr>
          <w:ilvl w:val="0"/>
          <w:numId w:val="82"/>
        </w:numPr>
        <w:pBdr/>
        <w:spacing/>
        <w:ind/>
        <w:rPr/>
      </w:pPr>
      <w:r>
        <w:rPr>
          <w:b/>
          <w:bCs/>
        </w:rPr>
        <w:t xml:space="preserve">Islamic Principle:</w:t>
      </w:r>
      <w:r>
        <w:t xml:space="preserve"> Wafa, Amanah, Sidq</w:t>
      </w:r>
      <w:r/>
    </w:p>
    <w:p>
      <w:pPr>
        <w:pStyle w:val="964"/>
        <w:numPr>
          <w:ilvl w:val="0"/>
          <w:numId w:val="82"/>
        </w:numPr>
        <w:pBdr/>
        <w:spacing/>
        <w:ind/>
        <w:rPr/>
      </w:pPr>
      <w:r>
        <w:rPr>
          <w:b/>
          <w:bCs/>
        </w:rPr>
        <w:t xml:space="preserve">Provider Question:</w:t>
      </w:r>
      <w:r>
        <w:t xml:space="preserve"> Are users informed before changes affect access, price, data handling, feature availability, or community rules?</w:t>
      </w:r>
      <w:r/>
    </w:p>
    <w:p>
      <w:pPr>
        <w:pStyle w:val="964"/>
        <w:numPr>
          <w:ilvl w:val="0"/>
          <w:numId w:val="82"/>
        </w:numPr>
        <w:pBdr/>
        <w:spacing/>
        <w:ind/>
        <w:rPr/>
      </w:pPr>
      <w:r>
        <w:rPr>
          <w:b/>
          <w:bCs/>
        </w:rPr>
        <w:t xml:space="preserve">Implementation Directions:</w:t>
      </w:r>
      <w:r/>
    </w:p>
    <w:p>
      <w:pPr>
        <w:pStyle w:val="964"/>
        <w:numPr>
          <w:ilvl w:val="1"/>
          <w:numId w:val="83"/>
        </w:numPr>
        <w:pBdr/>
        <w:spacing/>
        <w:ind/>
        <w:rPr/>
      </w:pPr>
      <w:r>
        <w:t xml:space="preserve">Announce material changes in advance where feasible.</w:t>
      </w:r>
      <w:r/>
    </w:p>
    <w:p>
      <w:pPr>
        <w:pStyle w:val="964"/>
        <w:numPr>
          <w:ilvl w:val="1"/>
          <w:numId w:val="83"/>
        </w:numPr>
        <w:pBdr/>
        <w:spacing/>
        <w:ind/>
        <w:rPr/>
      </w:pPr>
      <w:r>
        <w:t xml:space="preserve">Explain why changes are needed and who is affected.</w:t>
      </w:r>
      <w:r/>
    </w:p>
    <w:p>
      <w:pPr>
        <w:pStyle w:val="964"/>
        <w:numPr>
          <w:ilvl w:val="1"/>
          <w:numId w:val="83"/>
        </w:numPr>
        <w:pBdr/>
        <w:spacing/>
        <w:ind/>
        <w:rPr/>
      </w:pPr>
      <w:r>
        <w:t xml:space="preserve">Preserve reasonable expectations for existing users when terms change.</w:t>
      </w:r>
      <w:r/>
    </w:p>
    <w:p>
      <w:pPr>
        <w:pStyle w:val="964"/>
        <w:numPr>
          <w:ilvl w:val="1"/>
          <w:numId w:val="83"/>
        </w:numPr>
        <w:pBdr/>
        <w:spacing/>
        <w:ind/>
        <w:rPr/>
      </w:pPr>
      <w:r>
        <w:t xml:space="preserve">Provide export, downgrade, or exit paths when changes are substantial.</w:t>
      </w:r>
      <w:r/>
    </w:p>
    <w:p>
      <w:pPr>
        <w:pStyle w:val="963"/>
        <w:pBdr/>
        <w:spacing/>
        <w:ind/>
        <w:rPr/>
      </w:pPr>
      <w:r>
        <w:rPr>
          <w:b/>
          <w:bCs/>
        </w:rPr>
        <w:t xml:space="preserve">Heuristic: Compete and Compare Honestly</w:t>
      </w:r>
      <w:r/>
    </w:p>
    <w:p>
      <w:pPr>
        <w:pStyle w:val="964"/>
        <w:numPr>
          <w:ilvl w:val="0"/>
          <w:numId w:val="84"/>
        </w:numPr>
        <w:pBdr/>
        <w:spacing/>
        <w:ind/>
        <w:rPr/>
      </w:pPr>
      <w:r>
        <w:rPr>
          <w:b/>
          <w:bCs/>
        </w:rPr>
        <w:t xml:space="preserve">Islamic Principle:</w:t>
      </w:r>
      <w:r>
        <w:t xml:space="preserve"> Adl, Sidq, avoiding Ghish</w:t>
      </w:r>
      <w:r/>
    </w:p>
    <w:p>
      <w:pPr>
        <w:pStyle w:val="964"/>
        <w:numPr>
          <w:ilvl w:val="0"/>
          <w:numId w:val="84"/>
        </w:numPr>
        <w:pBdr/>
        <w:spacing/>
        <w:ind/>
        <w:rPr/>
      </w:pPr>
      <w:r>
        <w:rPr>
          <w:b/>
          <w:bCs/>
        </w:rPr>
        <w:t xml:space="preserve">Provider Question:</w:t>
      </w:r>
      <w:r>
        <w:t xml:space="preserve"> Does public comparison clarify real differences, or does it mislead users about competitors and alternatives?</w:t>
      </w:r>
      <w:r/>
    </w:p>
    <w:p>
      <w:pPr>
        <w:pStyle w:val="964"/>
        <w:numPr>
          <w:ilvl w:val="0"/>
          <w:numId w:val="84"/>
        </w:numPr>
        <w:pBdr/>
        <w:spacing/>
        <w:ind/>
        <w:rPr/>
      </w:pPr>
      <w:r>
        <w:rPr>
          <w:b/>
          <w:bCs/>
        </w:rPr>
        <w:t xml:space="preserve">Implementation Directions:</w:t>
      </w:r>
      <w:r/>
    </w:p>
    <w:p>
      <w:pPr>
        <w:pStyle w:val="964"/>
        <w:numPr>
          <w:ilvl w:val="1"/>
          <w:numId w:val="85"/>
        </w:numPr>
        <w:pBdr/>
        <w:spacing/>
        <w:ind/>
        <w:rPr/>
      </w:pPr>
      <w:r>
        <w:t xml:space="preserve">Make comparisons accurate, dated, scoped, and proportionate.</w:t>
      </w:r>
      <w:r/>
    </w:p>
    <w:p>
      <w:pPr>
        <w:pStyle w:val="964"/>
        <w:numPr>
          <w:ilvl w:val="1"/>
          <w:numId w:val="85"/>
        </w:numPr>
        <w:pBdr/>
        <w:spacing/>
        <w:ind/>
        <w:rPr/>
      </w:pPr>
      <w:r>
        <w:t xml:space="preserve">Avoid selective metrics that hide relevant competitor strengths.</w:t>
      </w:r>
      <w:r/>
    </w:p>
    <w:p>
      <w:pPr>
        <w:pStyle w:val="964"/>
        <w:numPr>
          <w:ilvl w:val="1"/>
          <w:numId w:val="85"/>
        </w:numPr>
        <w:pBdr/>
        <w:spacing/>
        <w:ind/>
        <w:rPr/>
      </w:pPr>
      <w:r>
        <w:t xml:space="preserve">Do not attack competitors through rumor, insinuation, or unverifiable claims.</w:t>
      </w:r>
      <w:r/>
    </w:p>
    <w:p>
      <w:pPr>
        <w:pStyle w:val="964"/>
        <w:numPr>
          <w:ilvl w:val="1"/>
          <w:numId w:val="85"/>
        </w:numPr>
        <w:pBdr/>
        <w:spacing/>
        <w:ind/>
        <w:rPr/>
      </w:pPr>
      <w:r>
        <w:t xml:space="preserve">Explain which users should not choose the product.</w:t>
      </w:r>
      <w:r/>
    </w:p>
    <w:p>
      <w:pPr>
        <w:pStyle w:val="963"/>
        <w:pBdr/>
        <w:spacing/>
        <w:ind/>
        <w:rPr/>
      </w:pPr>
      <w:r>
        <w:t xml:space="preserve">These heuristics keep communication subordinate to truthful service. Claims that communication increases user trust or changes outcomes require user evidence and review of actual communication outcomes.</w:t>
      </w:r>
      <w:r/>
    </w:p>
    <w:p>
      <w:pPr>
        <w:pBdr/>
        <w:spacing/>
        <w:ind/>
        <w:rPr/>
      </w:pPr>
      <w:r>
        <mc:AlternateContent>
          <mc:Choice Requires="wpg">
            <w:drawing>
              <wp:inline xmlns:wp="http://schemas.openxmlformats.org/drawingml/2006/wordprocessingDrawing" distT="0" distB="0" distL="0" distR="0">
                <wp:extent cx="0" cy="19050"/>
                <wp:effectExtent l="0" t="0" r="0" b="0"/>
                <wp:docPr id="4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4" o:spid="_x0000_s44" o:spt="1" type="#_x0000_t1" style="width:0.00pt;height:1.50pt;mso-wrap-distance-left:0.00pt;mso-wrap-distance-top:0.00pt;mso-wrap-distance-right:0.00pt;mso-wrap-distance-bottom:0.00pt;visibility:visible;" fillcolor="#FFFFFF" strokecolor="#000000"/>
            </w:pict>
          </mc:Fallback>
        </mc:AlternateContent>
      </w:r>
      <w:bookmarkEnd w:id="66"/>
      <w:r/>
    </w:p>
    <w:p>
      <w:pPr>
        <w:pStyle w:val="977"/>
        <w:pBdr/>
        <w:spacing/>
        <w:ind/>
        <w:rPr/>
      </w:pPr>
      <w:r/>
      <w:bookmarkStart w:id="67" w:name="business-model-heuristics"/>
      <w:r>
        <w:t xml:space="preserve">3.2.7 Business Model Heuristics</w:t>
      </w:r>
      <w:r/>
    </w:p>
    <w:p>
      <w:pPr>
        <w:pStyle w:val="963"/>
        <w:pBdr/>
        <w:spacing/>
        <w:ind/>
        <w:rPr/>
      </w:pPr>
      <w:r>
        <w:t xml:space="preserve">Business-mod</w:t>
      </w:r>
      <w:r>
        <w:t xml:space="preserve">el choices influence which design pressures a provider creates for itself. Funding, pricing, ownership, partnerships, monetization, and sustainability can either support ethical design or create incentives toward extraction, lock-in, deception, or neglect.</w:t>
      </w:r>
      <w:r/>
    </w:p>
    <w:p>
      <w:pPr>
        <w:pStyle w:val="962"/>
        <w:pBdr/>
        <w:spacing/>
        <w:ind/>
        <w:rPr/>
      </w:pPr>
      <w:r>
        <w:rPr>
          <w:b/>
          <w:bCs/>
        </w:rPr>
        <w:t xml:space="preserve">Domain Emphasis:</w:t>
      </w:r>
      <w:r>
        <w:t xml:space="preserve"> Strategic, Governance, Operational, and Evaluation domains.</w:t>
      </w:r>
      <w:r/>
    </w:p>
    <w:p>
      <w:pPr>
        <w:pStyle w:val="962"/>
        <w:pBdr/>
        <w:spacing/>
        <w:ind/>
        <w:rPr/>
      </w:pPr>
      <w:r>
        <w:rPr>
          <w:b/>
          <w:bCs/>
        </w:rPr>
        <w:t xml:space="preserve">Heuristic: Avoid Riba-Based and Ethically Compromising Funding Where Applicable</w:t>
      </w:r>
      <w:r/>
    </w:p>
    <w:p>
      <w:pPr>
        <w:pStyle w:val="964"/>
        <w:numPr>
          <w:ilvl w:val="0"/>
          <w:numId w:val="86"/>
        </w:numPr>
        <w:pBdr/>
        <w:spacing/>
        <w:ind/>
        <w:rPr/>
      </w:pPr>
      <w:r>
        <w:rPr>
          <w:b/>
          <w:bCs/>
        </w:rPr>
        <w:t xml:space="preserve">Islamic Principle:</w:t>
      </w:r>
      <w:r>
        <w:t xml:space="preserve"> Avoiding Riba, Amanah, Wafa</w:t>
      </w:r>
      <w:r/>
    </w:p>
    <w:p>
      <w:pPr>
        <w:pStyle w:val="964"/>
        <w:numPr>
          <w:ilvl w:val="0"/>
          <w:numId w:val="86"/>
        </w:numPr>
        <w:pBdr/>
        <w:spacing/>
        <w:ind/>
        <w:rPr/>
      </w:pPr>
      <w:r>
        <w:rPr>
          <w:b/>
          <w:bCs/>
        </w:rPr>
        <w:t xml:space="preserve">Provider Question:</w:t>
      </w:r>
      <w:r>
        <w:t xml:space="preserve"> Does the funding model create obligations or incentives that push the provider toward prohibited, exploitative, or deceptive behavior?</w:t>
      </w:r>
      <w:r/>
    </w:p>
    <w:p>
      <w:pPr>
        <w:pStyle w:val="964"/>
        <w:numPr>
          <w:ilvl w:val="0"/>
          <w:numId w:val="86"/>
        </w:numPr>
        <w:pBdr/>
        <w:spacing/>
        <w:ind/>
        <w:rPr/>
      </w:pPr>
      <w:r>
        <w:rPr>
          <w:b/>
          <w:bCs/>
        </w:rPr>
        <w:t xml:space="preserve">Implementation Directions:</w:t>
      </w:r>
      <w:r/>
    </w:p>
    <w:p>
      <w:pPr>
        <w:pStyle w:val="964"/>
        <w:numPr>
          <w:ilvl w:val="1"/>
          <w:numId w:val="87"/>
        </w:numPr>
        <w:pBdr/>
        <w:spacing/>
        <w:ind/>
        <w:rPr/>
      </w:pPr>
      <w:r>
        <w:t xml:space="preserve">Seek qualified advice for financing questions involving riba or complex contracts.</w:t>
      </w:r>
      <w:r/>
    </w:p>
    <w:p>
      <w:pPr>
        <w:pStyle w:val="964"/>
        <w:numPr>
          <w:ilvl w:val="1"/>
          <w:numId w:val="87"/>
        </w:numPr>
        <w:pBdr/>
        <w:spacing/>
        <w:ind/>
        <w:rPr/>
      </w:pPr>
      <w:r>
        <w:t xml:space="preserve">Prefer funding structures compatible with the provider’s stated ethical commitments.</w:t>
      </w:r>
      <w:r/>
    </w:p>
    <w:p>
      <w:pPr>
        <w:pStyle w:val="964"/>
        <w:numPr>
          <w:ilvl w:val="1"/>
          <w:numId w:val="87"/>
        </w:numPr>
        <w:pBdr/>
        <w:spacing/>
        <w:ind/>
        <w:rPr/>
      </w:pPr>
      <w:r>
        <w:t xml:space="preserve">Document tradeoffs when accepting investors, grants, ads, sponsorships, or partnerships.</w:t>
      </w:r>
      <w:r/>
    </w:p>
    <w:p>
      <w:pPr>
        <w:pStyle w:val="964"/>
        <w:numPr>
          <w:ilvl w:val="1"/>
          <w:numId w:val="87"/>
        </w:numPr>
        <w:pBdr/>
        <w:spacing/>
        <w:ind/>
        <w:rPr/>
      </w:pPr>
      <w:r>
        <w:t xml:space="preserve">Avoid financial commitments that predictably force harmful monetization later.</w:t>
      </w:r>
      <w:r/>
    </w:p>
    <w:p>
      <w:pPr>
        <w:pStyle w:val="963"/>
        <w:pBdr/>
        <w:spacing/>
        <w:ind/>
        <w:rPr/>
      </w:pPr>
      <w:r>
        <w:rPr>
          <w:b/>
          <w:bCs/>
        </w:rPr>
        <w:t xml:space="preserve">Heuristic: Reduce Gharar in Pricing and Terms</w:t>
      </w:r>
      <w:r/>
    </w:p>
    <w:p>
      <w:pPr>
        <w:pStyle w:val="964"/>
        <w:numPr>
          <w:ilvl w:val="0"/>
          <w:numId w:val="88"/>
        </w:numPr>
        <w:pBdr/>
        <w:spacing/>
        <w:ind/>
        <w:rPr/>
      </w:pPr>
      <w:r>
        <w:rPr>
          <w:b/>
          <w:bCs/>
        </w:rPr>
        <w:t xml:space="preserve">Islamic Principle:</w:t>
      </w:r>
      <w:r>
        <w:t xml:space="preserve"> Avoiding Gharar, Sidq, Wafa</w:t>
      </w:r>
      <w:r/>
    </w:p>
    <w:p>
      <w:pPr>
        <w:pStyle w:val="964"/>
        <w:numPr>
          <w:ilvl w:val="0"/>
          <w:numId w:val="88"/>
        </w:numPr>
        <w:pBdr/>
        <w:spacing/>
        <w:ind/>
        <w:rPr/>
      </w:pPr>
      <w:r>
        <w:rPr>
          <w:b/>
          <w:bCs/>
        </w:rPr>
        <w:t xml:space="preserve">Provider Question:</w:t>
      </w:r>
      <w:r>
        <w:t xml:space="preserve"> Are price, access, obligations, limits, renewal terms, and cancellation paths clear before commitment?</w:t>
      </w:r>
      <w:r/>
    </w:p>
    <w:p>
      <w:pPr>
        <w:pStyle w:val="964"/>
        <w:numPr>
          <w:ilvl w:val="0"/>
          <w:numId w:val="88"/>
        </w:numPr>
        <w:pBdr/>
        <w:spacing/>
        <w:ind/>
        <w:rPr/>
      </w:pPr>
      <w:r>
        <w:rPr>
          <w:b/>
          <w:bCs/>
        </w:rPr>
        <w:t xml:space="preserve">Implementation Directions:</w:t>
      </w:r>
      <w:r/>
    </w:p>
    <w:p>
      <w:pPr>
        <w:pStyle w:val="964"/>
        <w:numPr>
          <w:ilvl w:val="1"/>
          <w:numId w:val="89"/>
        </w:numPr>
        <w:pBdr/>
        <w:spacing/>
        <w:ind/>
        <w:rPr/>
      </w:pPr>
      <w:r>
        <w:t xml:space="preserve">Make material terms visible before signup or payment.</w:t>
      </w:r>
      <w:r/>
    </w:p>
    <w:p>
      <w:pPr>
        <w:pStyle w:val="964"/>
        <w:numPr>
          <w:ilvl w:val="1"/>
          <w:numId w:val="89"/>
        </w:numPr>
        <w:pBdr/>
        <w:spacing/>
        <w:ind/>
        <w:rPr/>
      </w:pPr>
      <w:r>
        <w:t xml:space="preserve">Avoid vague promises such as</w:t>
      </w:r>
      <w:r>
        <w:t xml:space="preserve"> </w:t>
      </w:r>
      <w:r>
        <w:t xml:space="preserve">“lifetime,”</w:t>
      </w:r>
      <w:r>
        <w:t xml:space="preserve"> </w:t>
      </w:r>
      <w:r>
        <w:t xml:space="preserve">“unlimited,”</w:t>
      </w:r>
      <w:r>
        <w:t xml:space="preserve"> </w:t>
      </w:r>
      <w:r>
        <w:t xml:space="preserve">or</w:t>
      </w:r>
      <w:r>
        <w:t xml:space="preserve"> </w:t>
      </w:r>
      <w:r>
        <w:t xml:space="preserve">“free forever”</w:t>
      </w:r>
      <w:r>
        <w:t xml:space="preserve"> </w:t>
      </w:r>
      <w:r>
        <w:t xml:space="preserve">unless they are clearly defined and sustainable.</w:t>
      </w:r>
      <w:r/>
    </w:p>
    <w:p>
      <w:pPr>
        <w:pStyle w:val="964"/>
        <w:numPr>
          <w:ilvl w:val="1"/>
          <w:numId w:val="89"/>
        </w:numPr>
        <w:pBdr/>
        <w:spacing/>
        <w:ind/>
        <w:rPr/>
      </w:pPr>
      <w:r>
        <w:t xml:space="preserve">Explain usage limits, fair-use rules, and dependency costs.</w:t>
      </w:r>
      <w:r/>
    </w:p>
    <w:p>
      <w:pPr>
        <w:pStyle w:val="964"/>
        <w:numPr>
          <w:ilvl w:val="1"/>
          <w:numId w:val="89"/>
        </w:numPr>
        <w:pBdr/>
        <w:spacing/>
        <w:ind/>
        <w:rPr/>
      </w:pPr>
      <w:r>
        <w:t xml:space="preserve">Review terms when infrastructure or third-party costs change.</w:t>
      </w:r>
      <w:r/>
    </w:p>
    <w:p>
      <w:pPr>
        <w:pStyle w:val="963"/>
        <w:pBdr/>
        <w:spacing/>
        <w:ind/>
        <w:rPr/>
      </w:pPr>
      <w:r>
        <w:rPr>
          <w:b/>
          <w:bCs/>
        </w:rPr>
        <w:t xml:space="preserve">Heuristic: Avoid Exploitative Monetization</w:t>
      </w:r>
      <w:r/>
    </w:p>
    <w:p>
      <w:pPr>
        <w:pStyle w:val="964"/>
        <w:numPr>
          <w:ilvl w:val="0"/>
          <w:numId w:val="90"/>
        </w:numPr>
        <w:pBdr/>
        <w:spacing/>
        <w:ind/>
        <w:rPr/>
      </w:pPr>
      <w:r>
        <w:rPr>
          <w:b/>
          <w:bCs/>
        </w:rPr>
        <w:t xml:space="preserve">Islamic Principle:</w:t>
      </w:r>
      <w:r>
        <w:t xml:space="preserve"> Adl, La Darar, avoiding Ghish</w:t>
      </w:r>
      <w:r/>
    </w:p>
    <w:p>
      <w:pPr>
        <w:pStyle w:val="964"/>
        <w:numPr>
          <w:ilvl w:val="0"/>
          <w:numId w:val="90"/>
        </w:numPr>
        <w:pBdr/>
        <w:spacing/>
        <w:ind/>
        <w:rPr/>
      </w:pPr>
      <w:r>
        <w:rPr>
          <w:b/>
          <w:bCs/>
        </w:rPr>
        <w:t xml:space="preserve">Provider Question:</w:t>
      </w:r>
      <w:r>
        <w:t xml:space="preserve"> Does revenue depend on confusing, trapping, addicting, surveilling, or exploiting users?</w:t>
      </w:r>
      <w:r/>
    </w:p>
    <w:p>
      <w:pPr>
        <w:pStyle w:val="964"/>
        <w:numPr>
          <w:ilvl w:val="0"/>
          <w:numId w:val="90"/>
        </w:numPr>
        <w:pBdr/>
        <w:spacing/>
        <w:ind/>
        <w:rPr/>
      </w:pPr>
      <w:r>
        <w:rPr>
          <w:b/>
          <w:bCs/>
        </w:rPr>
        <w:t xml:space="preserve">Implementation Directions:</w:t>
      </w:r>
      <w:r/>
    </w:p>
    <w:p>
      <w:pPr>
        <w:pStyle w:val="964"/>
        <w:numPr>
          <w:ilvl w:val="1"/>
          <w:numId w:val="91"/>
        </w:numPr>
        <w:pBdr/>
        <w:spacing/>
        <w:ind/>
        <w:rPr/>
      </w:pPr>
      <w:r>
        <w:t xml:space="preserve">Avoid manipulative upsells, artificial scarcity, hidden fees, and dark-pattern subscriptions.</w:t>
      </w:r>
      <w:r/>
    </w:p>
    <w:p>
      <w:pPr>
        <w:pStyle w:val="964"/>
        <w:numPr>
          <w:ilvl w:val="1"/>
          <w:numId w:val="91"/>
        </w:numPr>
        <w:pBdr/>
        <w:spacing/>
        <w:ind/>
        <w:rPr/>
      </w:pPr>
      <w:r>
        <w:t xml:space="preserve">Avoid monetization that requires excessive data extraction or attention capture.</w:t>
      </w:r>
      <w:r/>
    </w:p>
    <w:p>
      <w:pPr>
        <w:pStyle w:val="964"/>
        <w:numPr>
          <w:ilvl w:val="1"/>
          <w:numId w:val="91"/>
        </w:numPr>
        <w:pBdr/>
        <w:spacing/>
        <w:ind/>
        <w:rPr/>
      </w:pPr>
      <w:r>
        <w:t xml:space="preserve">Review pricing impact on vulnerable users and communities.</w:t>
      </w:r>
      <w:r/>
    </w:p>
    <w:p>
      <w:pPr>
        <w:pStyle w:val="964"/>
        <w:numPr>
          <w:ilvl w:val="1"/>
          <w:numId w:val="91"/>
        </w:numPr>
        <w:pBdr/>
        <w:spacing/>
        <w:ind/>
        <w:rPr/>
      </w:pPr>
      <w:r>
        <w:t xml:space="preserve">Do not use monopoly position or dependency to impose unfair terms.</w:t>
      </w:r>
      <w:r/>
    </w:p>
    <w:p>
      <w:pPr>
        <w:pStyle w:val="963"/>
        <w:pBdr/>
        <w:spacing/>
        <w:ind/>
        <w:rPr/>
      </w:pPr>
      <w:r>
        <w:rPr>
          <w:b/>
          <w:bCs/>
        </w:rPr>
        <w:t xml:space="preserve">Heuristic: Preserve Commitments During Business Change</w:t>
      </w:r>
      <w:r/>
    </w:p>
    <w:p>
      <w:pPr>
        <w:pStyle w:val="964"/>
        <w:numPr>
          <w:ilvl w:val="0"/>
          <w:numId w:val="92"/>
        </w:numPr>
        <w:pBdr/>
        <w:spacing/>
        <w:ind/>
        <w:rPr/>
      </w:pPr>
      <w:r>
        <w:rPr>
          <w:b/>
          <w:bCs/>
        </w:rPr>
        <w:t xml:space="preserve">Islamic Principle:</w:t>
      </w:r>
      <w:r>
        <w:t xml:space="preserve"> Wafa, Amanah, Ihsan</w:t>
      </w:r>
      <w:r/>
    </w:p>
    <w:p>
      <w:pPr>
        <w:pStyle w:val="964"/>
        <w:numPr>
          <w:ilvl w:val="0"/>
          <w:numId w:val="92"/>
        </w:numPr>
        <w:pBdr/>
        <w:spacing/>
        <w:ind/>
        <w:rPr/>
      </w:pPr>
      <w:r>
        <w:rPr>
          <w:b/>
          <w:bCs/>
        </w:rPr>
        <w:t xml:space="preserve">Provider Question:</w:t>
      </w:r>
      <w:r>
        <w:t xml:space="preserve"> What happens to users when the provider pivots, raises prices, removes features, sells the product, or shuts down?</w:t>
      </w:r>
      <w:r/>
    </w:p>
    <w:p>
      <w:pPr>
        <w:pStyle w:val="964"/>
        <w:numPr>
          <w:ilvl w:val="0"/>
          <w:numId w:val="92"/>
        </w:numPr>
        <w:pBdr/>
        <w:spacing/>
        <w:ind/>
        <w:rPr/>
      </w:pPr>
      <w:r>
        <w:rPr>
          <w:b/>
          <w:bCs/>
        </w:rPr>
        <w:t xml:space="preserve">Implementation Directions:</w:t>
      </w:r>
      <w:r/>
    </w:p>
    <w:p>
      <w:pPr>
        <w:pStyle w:val="964"/>
        <w:numPr>
          <w:ilvl w:val="1"/>
          <w:numId w:val="93"/>
        </w:numPr>
        <w:pBdr/>
        <w:spacing/>
        <w:ind/>
        <w:rPr/>
      </w:pPr>
      <w:r>
        <w:t xml:space="preserve">Honor existing commitments where feasible, especially paid access and relied-upon features.</w:t>
      </w:r>
      <w:r/>
    </w:p>
    <w:p>
      <w:pPr>
        <w:pStyle w:val="964"/>
        <w:numPr>
          <w:ilvl w:val="1"/>
          <w:numId w:val="93"/>
        </w:numPr>
        <w:pBdr/>
        <w:spacing/>
        <w:ind/>
        <w:rPr/>
      </w:pPr>
      <w:r>
        <w:t xml:space="preserve">Provide notice, migration, export, refund, or grandfathering paths when commitments change.</w:t>
      </w:r>
      <w:r/>
    </w:p>
    <w:p>
      <w:pPr>
        <w:pStyle w:val="964"/>
        <w:numPr>
          <w:ilvl w:val="1"/>
          <w:numId w:val="93"/>
        </w:numPr>
        <w:pBdr/>
        <w:spacing/>
        <w:ind/>
        <w:rPr/>
      </w:pPr>
      <w:r>
        <w:t xml:space="preserve">Avoid marketing stability that the provider has no credible plan to sustain.</w:t>
      </w:r>
      <w:r/>
    </w:p>
    <w:p>
      <w:pPr>
        <w:pStyle w:val="964"/>
        <w:numPr>
          <w:ilvl w:val="1"/>
          <w:numId w:val="93"/>
        </w:numPr>
        <w:pBdr/>
        <w:spacing/>
        <w:ind/>
        <w:rPr/>
      </w:pPr>
      <w:r>
        <w:t xml:space="preserve">Include shutdown and stewardship planning in business-model review.</w:t>
      </w:r>
      <w:r/>
    </w:p>
    <w:p>
      <w:pPr>
        <w:pStyle w:val="963"/>
        <w:pBdr/>
        <w:spacing/>
        <w:ind/>
        <w:rPr/>
      </w:pPr>
      <w:r>
        <w:rPr>
          <w:b/>
          <w:bCs/>
        </w:rPr>
        <w:t xml:space="preserve">Heuristic: Evaluate Success Beyond Revenue</w:t>
      </w:r>
      <w:r/>
    </w:p>
    <w:p>
      <w:pPr>
        <w:pStyle w:val="964"/>
        <w:numPr>
          <w:ilvl w:val="0"/>
          <w:numId w:val="94"/>
        </w:numPr>
        <w:pBdr/>
        <w:spacing/>
        <w:ind/>
        <w:rPr/>
      </w:pPr>
      <w:r>
        <w:rPr>
          <w:b/>
          <w:bCs/>
        </w:rPr>
        <w:t xml:space="preserve">Islamic Principle:</w:t>
      </w:r>
      <w:r>
        <w:t xml:space="preserve"> Ihsan, La Darar, Amanah</w:t>
      </w:r>
      <w:r/>
    </w:p>
    <w:p>
      <w:pPr>
        <w:pStyle w:val="964"/>
        <w:numPr>
          <w:ilvl w:val="0"/>
          <w:numId w:val="94"/>
        </w:numPr>
        <w:pBdr/>
        <w:spacing/>
        <w:ind/>
        <w:rPr/>
      </w:pPr>
      <w:r>
        <w:rPr>
          <w:b/>
          <w:bCs/>
        </w:rPr>
        <w:t xml:space="preserve">Provider Question:</w:t>
      </w:r>
      <w:r>
        <w:t xml:space="preserve"> Do success metrics reward ethical service, or only growth, engagement, and revenue?</w:t>
      </w:r>
      <w:r/>
    </w:p>
    <w:p>
      <w:pPr>
        <w:pStyle w:val="964"/>
        <w:numPr>
          <w:ilvl w:val="0"/>
          <w:numId w:val="94"/>
        </w:numPr>
        <w:pBdr/>
        <w:spacing/>
        <w:ind/>
        <w:rPr/>
      </w:pPr>
      <w:r>
        <w:rPr>
          <w:b/>
          <w:bCs/>
        </w:rPr>
        <w:t xml:space="preserve">Implementation Directions:</w:t>
      </w:r>
      <w:r/>
    </w:p>
    <w:p>
      <w:pPr>
        <w:pStyle w:val="964"/>
        <w:numPr>
          <w:ilvl w:val="1"/>
          <w:numId w:val="95"/>
        </w:numPr>
        <w:pBdr/>
        <w:spacing/>
        <w:ind/>
        <w:rPr/>
      </w:pPr>
      <w:r>
        <w:t xml:space="preserve">Track harm reports, support burden, user dependency, complaint patterns, and trust-risk indicators.</w:t>
      </w:r>
      <w:r/>
    </w:p>
    <w:p>
      <w:pPr>
        <w:pStyle w:val="964"/>
        <w:numPr>
          <w:ilvl w:val="1"/>
          <w:numId w:val="95"/>
        </w:numPr>
        <w:pBdr/>
        <w:spacing/>
        <w:ind/>
        <w:rPr/>
      </w:pPr>
      <w:r>
        <w:t xml:space="preserve">Balance financial sustainability with user benefit and community welfare.</w:t>
      </w:r>
      <w:r/>
    </w:p>
    <w:p>
      <w:pPr>
        <w:pStyle w:val="964"/>
        <w:numPr>
          <w:ilvl w:val="1"/>
          <w:numId w:val="95"/>
        </w:numPr>
        <w:pBdr/>
        <w:spacing/>
        <w:ind/>
        <w:rPr/>
      </w:pPr>
      <w:r>
        <w:t xml:space="preserve">Review whether growth metrics create pressure for dark patterns or over-collection.</w:t>
      </w:r>
      <w:r/>
    </w:p>
    <w:p>
      <w:pPr>
        <w:pStyle w:val="964"/>
        <w:numPr>
          <w:ilvl w:val="1"/>
          <w:numId w:val="95"/>
        </w:numPr>
        <w:pBdr/>
        <w:spacing/>
        <w:ind/>
        <w:rPr/>
      </w:pPr>
      <w:r>
        <w:t xml:space="preserve">Treat financial performance as one evaluation dimension, not as the only sign of success.</w:t>
      </w:r>
      <w:r/>
    </w:p>
    <w:p>
      <w:pPr>
        <w:pStyle w:val="963"/>
        <w:pBdr/>
        <w:spacing/>
        <w:ind/>
        <w:rPr/>
      </w:pPr>
      <w:r>
        <w:t xml:space="preserve">These heuristics are design and governance prompts. They do not replace Islamic legal judgement on finance, and they do not empirically establish sustainability without operational and financial evidence.</w:t>
      </w:r>
      <w:r/>
    </w:p>
    <w:p>
      <w:pPr>
        <w:pBdr/>
        <w:spacing/>
        <w:ind/>
        <w:rPr/>
      </w:pPr>
      <w:r>
        <mc:AlternateContent>
          <mc:Choice Requires="wpg">
            <w:drawing>
              <wp:inline xmlns:wp="http://schemas.openxmlformats.org/drawingml/2006/wordprocessingDrawing" distT="0" distB="0" distL="0" distR="0">
                <wp:extent cx="0" cy="19050"/>
                <wp:effectExtent l="0" t="0" r="0" b="0"/>
                <wp:docPr id="4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5" o:spid="_x0000_s45" o:spt="1" type="#_x0000_t1" style="width:0.00pt;height:1.50pt;mso-wrap-distance-left:0.00pt;mso-wrap-distance-top:0.00pt;mso-wrap-distance-right:0.00pt;mso-wrap-distance-bottom:0.00pt;visibility:visible;" fillcolor="#FFFFFF" strokecolor="#000000"/>
            </w:pict>
          </mc:Fallback>
        </mc:AlternateContent>
      </w:r>
      <w:bookmarkEnd w:id="67"/>
      <w:bookmarkEnd w:id="68"/>
      <w:bookmarkEnd w:id="69"/>
      <w:r/>
    </w:p>
    <w:p>
      <w:pPr>
        <w:pStyle w:val="975"/>
        <w:pBdr/>
        <w:spacing/>
        <w:ind/>
        <w:rPr/>
      </w:pPr>
      <w:r/>
      <w:bookmarkStart w:id="102" w:name="Xb632729694e549e5ce2fb99e6341c7c4fd1088a"/>
      <w:r>
        <w:t xml:space="preserve">4. Case Study: ISLAMU Event as an Illustrative Application</w:t>
      </w:r>
      <w:r/>
    </w:p>
    <w:p>
      <w:pPr>
        <w:pStyle w:val="963"/>
        <w:pBdr/>
        <w:spacing/>
        <w:ind/>
        <w:rPr/>
      </w:pPr>
      <w:r>
        <w:t xml:space="preserve">This chapter applies the I-VSD framework</w:t>
      </w:r>
      <w:r>
        <w:t xml:space="preserve"> to ISLAMU Event as a worked example. The case shows how the general framework can structure ethical design reasoning in one provider-mediated software solution; it is not presented as full empirical support of the framework across all software categories.</w:t>
      </w:r>
      <w:r/>
    </w:p>
    <w:p>
      <w:pPr>
        <w:pStyle w:val="962"/>
        <w:pBdr/>
        <w:spacing/>
        <w:ind/>
        <w:rPr/>
      </w:pPr>
      <w:r>
        <w:t xml:space="preserve">The chapter therefore separates reusable I-VSD heuristics from Event-spe</w:t>
      </w:r>
      <w:r>
        <w:t xml:space="preserve">cific design choices. Where the chapter discusses trust, sustainability, user benefit, or harm prevention, those claims are treated as design intentions or future evaluation areas unless supported by operational, stakeholder, audit, or deployment evidence.</w:t>
      </w:r>
      <w:r/>
    </w:p>
    <w:p>
      <w:pPr>
        <w:pBdr/>
        <w:spacing/>
        <w:ind/>
        <w:rPr/>
      </w:pPr>
      <w:r>
        <mc:AlternateContent>
          <mc:Choice Requires="wpg">
            <w:drawing>
              <wp:inline xmlns:wp="http://schemas.openxmlformats.org/drawingml/2006/wordprocessingDrawing" distT="0" distB="0" distL="0" distR="0">
                <wp:extent cx="0" cy="19050"/>
                <wp:effectExtent l="0" t="0" r="0" b="0"/>
                <wp:docPr id="4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6" o:spid="_x0000_s46"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74" w:name="Xaad629c91e95e2384ccb46ca21863e092c5cc25"/>
      <w:r>
        <w:t xml:space="preserve">4.1 Context: The ISLAMU Non-Profit Organization</w:t>
      </w:r>
      <w:r/>
    </w:p>
    <w:p>
      <w:pPr>
        <w:pStyle w:val="963"/>
        <w:pBdr/>
        <w:spacing/>
        <w:ind/>
        <w:rPr/>
      </w:pPr>
      <w:r>
        <w:t xml:space="preserve">This section introduces ISLAMU ASBL as the organizational and governance context for the case study. The thesis uses ISLAMU to examine how I-VSD can structure decisions about mission, stewardship, funding, softwa</w:t>
      </w:r>
      <w:r>
        <w:t xml:space="preserve">re ownership, community trust, and infrastructure choices. This context is necessary because the Event case is not only a software artifact; it is also a provider-mediated service shaped by the organization that builds, hosts, governs, and communicates it.</w:t>
      </w:r>
      <w:r/>
    </w:p>
    <w:p>
      <w:pPr>
        <w:pStyle w:val="962"/>
        <w:pBdr/>
        <w:spacing/>
        <w:ind/>
        <w:rPr/>
      </w:pPr>
      <w:r>
        <w:t xml:space="preserve">The claims in this section are contextual and design-oriented. ISLAMU ASBL is presented as a concrete se</w:t>
      </w:r>
      <w:r>
        <w:t xml:space="preserve">tting for the framework’s questions about Amanah, Sidq, Adl, Ihsan, privacy, stewardship, and community benefit, while broader evaluation of framework effectiveness, organizational reach, and nonprofit governance remains outside the evidence supplied here.</w:t>
      </w:r>
      <w:r/>
    </w:p>
    <w:p>
      <w:pPr>
        <w:pBdr/>
        <w:spacing/>
        <w:ind/>
        <w:rPr/>
      </w:pPr>
      <w:r>
        <mc:AlternateContent>
          <mc:Choice Requires="wpg">
            <w:drawing>
              <wp:inline xmlns:wp="http://schemas.openxmlformats.org/drawingml/2006/wordprocessingDrawing" distT="0" distB="0" distL="0" distR="0">
                <wp:extent cx="0" cy="19050"/>
                <wp:effectExtent l="0" t="0" r="0" b="0"/>
                <wp:docPr id="4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7" o:spid="_x0000_s47"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70" w:name="organizational-mission"/>
      <w:r>
        <w:t xml:space="preserve">4.1.1 Organizational Mission</w:t>
      </w:r>
      <w:r/>
    </w:p>
    <w:p>
      <w:pPr>
        <w:pStyle w:val="963"/>
        <w:pBdr/>
        <w:spacing/>
        <w:ind/>
        <w:rPr/>
      </w:pPr>
      <w:r>
        <w:t xml:space="preserve">ISLAMU ASB</w:t>
      </w:r>
      <w:r>
        <w:t xml:space="preserve">L is presented in this thesis as an emerging non-profit organizational context for building value-sensitive digital tools for Muslim communities. Internal project material describes ISLAMU as the “Islamic Software Lighthouse Alliance of the Muslim Ummah” a</w:t>
      </w:r>
      <w:r>
        <w:t xml:space="preserve">nd frames its purpose around service to the Ummah through free and open software. In thesis terms, this is evidence of organizational intent and mission orientation, while actual outcomes and theological authority remain outside the evidence supplied here.</w:t>
      </w:r>
      <w:r/>
    </w:p>
    <w:p>
      <w:pPr>
        <w:pStyle w:val="962"/>
        <w:pBdr/>
        <w:spacing/>
        <w:ind/>
        <w:rPr/>
      </w:pPr>
      <w:r>
        <w:t xml:space="preserve">An internal values note expresses the maxim: “The Vision is bigger than the Organization” and “The Organization is bigger than the individual.” Used</w:t>
      </w:r>
      <w:r>
        <w:t xml:space="preserve"> cautiously, this maxim helps frame organizational humility: ISLAMU should be treated as a vehicle for a broader vision of beneficial, value-aligned digital infrastructure, not as the embodiment of that vision or a representative of all Muslim communities.</w:t>
      </w:r>
      <w:r/>
    </w:p>
    <w:p>
      <w:pPr>
        <w:pStyle w:val="962"/>
        <w:pBdr/>
        <w:spacing/>
        <w:ind/>
        <w:rPr/>
      </w:pPr>
      <w:r>
        <w:rPr>
          <w:b/>
          <w:bCs/>
        </w:rPr>
        <w:t xml:space="preserve">Organizational commitments used in this case:</w:t>
      </w:r>
      <w:r/>
    </w:p>
    <w:p>
      <w:pPr>
        <w:pStyle w:val="964"/>
        <w:numPr>
          <w:ilvl w:val="0"/>
          <w:numId w:val="96"/>
        </w:numPr>
        <w:pBdr/>
        <w:spacing/>
        <w:ind/>
        <w:rPr/>
      </w:pPr>
      <w:r>
        <w:t xml:space="preserve">Service to Muslim communities without claiming to represent the whole Ummah</w:t>
      </w:r>
      <w:r/>
    </w:p>
    <w:p>
      <w:pPr>
        <w:pStyle w:val="964"/>
        <w:numPr>
          <w:ilvl w:val="0"/>
          <w:numId w:val="96"/>
        </w:numPr>
        <w:pBdr/>
        <w:spacing/>
        <w:ind/>
        <w:rPr/>
      </w:pPr>
      <w:r>
        <w:t xml:space="preserve">Transparency and inspectability in governance, funding, and software behavior</w:t>
      </w:r>
      <w:r/>
    </w:p>
    <w:p>
      <w:pPr>
        <w:pStyle w:val="964"/>
        <w:numPr>
          <w:ilvl w:val="0"/>
          <w:numId w:val="96"/>
        </w:numPr>
        <w:pBdr/>
        <w:spacing/>
        <w:ind/>
        <w:rPr/>
      </w:pPr>
      <w:r>
        <w:t xml:space="preserve">Open-source and free-access orientation where feasible</w:t>
      </w:r>
      <w:r/>
    </w:p>
    <w:p>
      <w:pPr>
        <w:pStyle w:val="964"/>
        <w:numPr>
          <w:ilvl w:val="0"/>
          <w:numId w:val="96"/>
        </w:numPr>
        <w:pBdr/>
        <w:spacing/>
        <w:ind/>
        <w:rPr/>
      </w:pPr>
      <w:r>
        <w:t xml:space="preserve">Sunni Islamic moral framing as the thesis’s selected design lens, with individual organizational decisions still requiring separate reasoning and review</w:t>
      </w:r>
      <w:r/>
    </w:p>
    <w:p>
      <w:pPr>
        <w:pStyle w:val="963"/>
        <w:pBdr/>
        <w:spacing/>
        <w:ind/>
        <w:rPr/>
      </w:pPr>
      <w:r>
        <w:t xml:space="preserve">These commitments matter for I-VSD because they shape what the provider is willi</w:t>
      </w:r>
      <w:r>
        <w:t xml:space="preserve">ng to optimize for, what tradeoffs it refuses, and what forms of accountability must remain visible. They remain commitments requiring continued evaluation through governance practice, stakeholder feedback, financial transparency, and operational evidence.</w:t>
      </w:r>
      <w:r/>
    </w:p>
    <w:p>
      <w:pPr>
        <w:pBdr/>
        <w:spacing/>
        <w:ind/>
        <w:rPr/>
      </w:pPr>
      <w:r>
        <mc:AlternateContent>
          <mc:Choice Requires="wpg">
            <w:drawing>
              <wp:inline xmlns:wp="http://schemas.openxmlformats.org/drawingml/2006/wordprocessingDrawing" distT="0" distB="0" distL="0" distR="0">
                <wp:extent cx="0" cy="19050"/>
                <wp:effectExtent l="0" t="0" r="0" b="0"/>
                <wp:docPr id="4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8" o:spid="_x0000_s48" o:spt="1" type="#_x0000_t1" style="width:0.00pt;height:1.50pt;mso-wrap-distance-left:0.00pt;mso-wrap-distance-top:0.00pt;mso-wrap-distance-right:0.00pt;mso-wrap-distance-bottom:0.00pt;visibility:visible;" fillcolor="#FFFFFF" strokecolor="#000000"/>
            </w:pict>
          </mc:Fallback>
        </mc:AlternateContent>
      </w:r>
      <w:bookmarkEnd w:id="70"/>
      <w:r/>
    </w:p>
    <w:p>
      <w:pPr>
        <w:pStyle w:val="977"/>
        <w:pBdr/>
        <w:spacing/>
        <w:ind/>
        <w:rPr/>
      </w:pPr>
      <w:r/>
      <w:bookmarkStart w:id="71" w:name="the-islamu-ecosystem"/>
      <w:r>
        <w:t xml:space="preserve">4.1.2 The ISLAMU Ecosystem</w:t>
      </w:r>
      <w:r/>
    </w:p>
    <w:p>
      <w:pPr>
        <w:pStyle w:val="963"/>
        <w:pBdr/>
        <w:spacing/>
        <w:ind/>
        <w:rPr/>
      </w:pPr>
      <w:r>
        <w:t xml:space="preserve">The ISLAMU ecosystem is presented as a set of organizational and software initiatives intended to explore value-aligned digital infrastructure for specific Muslim community con</w:t>
      </w:r>
      <w:r>
        <w:t xml:space="preserve">texts. This framing is narrower than claiming to satisfy all Muslim digital needs. It treats ISLAMU as a case through which I-VSD can examine stewardship, open-source governance, funding transparency, infrastructure dependency, and provider responsibility.</w:t>
      </w:r>
      <w:r/>
    </w:p>
    <w:p>
      <w:pPr>
        <w:pStyle w:val="962"/>
        <w:pBdr/>
        <w:spacing/>
        <w:ind/>
        <w:rPr/>
      </w:pPr>
      <w:r>
        <w:t xml:space="preserve">Internal strategic note</w:t>
      </w:r>
      <w:r>
        <w:t xml:space="preserve">s frame ISLAMU Event not simply as an event application, but as free and open event infrastructure for Muslim communities: a self-hostable, white-label event discovery and management platform that could support a public community instance, self-hosters, an</w:t>
      </w:r>
      <w:r>
        <w:t xml:space="preserve">d future service providers. In this thesis, those notes support organizational intent and design rationale. They should not be read as public impact evidence, revenue validation, provider-program maturity, or proof that the organization is already trusted.</w:t>
      </w:r>
      <w:r/>
    </w:p>
    <w:p>
      <w:pPr>
        <w:pStyle w:val="962"/>
        <w:pBdr/>
        <w:spacing/>
        <w:ind/>
        <w:rPr/>
      </w:pPr>
      <w:r>
        <w:rPr>
          <w:b/>
          <w:bCs/>
        </w:rPr>
        <w:t xml:space="preserve">Nonprofit Revenue Ethic</w:t>
      </w:r>
      <w:r/>
    </w:p>
    <w:p>
      <w:pPr>
        <w:pStyle w:val="962"/>
        <w:pBdr/>
        <w:spacing/>
        <w:ind/>
        <w:rPr/>
      </w:pPr>
      <w:r>
        <w:t xml:space="preserve">The ISLAMU ecosys</w:t>
      </w:r>
      <w:r>
        <w:t xml:space="preserve">tem is not intended to function as a subscription service that sells moral superiority. Its nonprofit logic is closer to transparent stewardship: funds should visibly support the causes, infrastructure, and community services for which they are collected, </w:t>
      </w:r>
      <w:r>
        <w:t xml:space="preserve">while any operational share retained by the organization should be reasonable, disclosed, and understandable to donors and users. This matters because ethical branding can itself become exploitative if it uses moral language to obscure ordinary extraction.</w:t>
      </w:r>
      <w:r/>
    </w:p>
    <w:p>
      <w:pPr>
        <w:pStyle w:val="962"/>
        <w:pBdr/>
        <w:spacing/>
        <w:ind/>
        <w:rPr/>
      </w:pPr>
      <w:r>
        <w:t xml:space="preserve">In I-VSD terms, the organization must make the flow of money legible. Users should be able to distinguish donations, sponsorships, operational costs, and project support, and they should know when ISLAMU or </w:t>
      </w:r>
      <w:r>
        <w:t xml:space="preserve">an operator takes a necessary administrative share. The moral claim is not “we are better than commercial providers,” but “our financial structure is transparent enough that the community can evaluate whether money is used according to its stated purpose.”</w:t>
      </w:r>
      <w:r/>
    </w:p>
    <w:p>
      <w:pPr>
        <w:pStyle w:val="962"/>
        <w:pBdr/>
        <w:spacing/>
        <w:ind/>
        <w:rPr/>
      </w:pPr>
      <w:r>
        <w:rPr>
          <w:b/>
          <w:bCs/>
        </w:rPr>
        <w:t xml:space="preserve">Infrastructure and Provider Rationale</w:t>
      </w:r>
      <w:r/>
    </w:p>
    <w:p>
      <w:pPr>
        <w:pStyle w:val="962"/>
        <w:pBdr/>
        <w:spacing/>
        <w:ind/>
        <w:rPr/>
      </w:pPr>
      <w:r>
        <w:t xml:space="preserve">User-provided planning input identifies privacy-conscious and Europe-based infrastructure choices such as a reputable domain regi</w:t>
      </w:r>
      <w:r>
        <w:t xml:space="preserve">strar, encrypted mailbox provider, European VPS hosting, and open-source-oriented server management tooling. Unless independently sourced in the thesis, these details should be treated as author-provided organizational context rather than external evidence</w:t>
      </w:r>
      <w:r>
        <w:t xml:space="preserve">. Their thesis relevance is not that particular vendors prove ethical operation, but that provider selection becomes part of value-sensitive design: infrastructure choices affect data exposure, dependency, auditability, operational control, and user trust.</w:t>
      </w:r>
      <w:r/>
    </w:p>
    <w:p>
      <w:pPr>
        <w:pStyle w:val="962"/>
        <w:pBdr/>
        <w:spacing/>
        <w:ind/>
        <w:rPr/>
      </w:pPr>
      <w:r>
        <w:rPr>
          <w:b/>
          <w:bCs/>
        </w:rPr>
        <w:t xml:space="preserve">Manifesto Boundary</w:t>
      </w:r>
      <w:r/>
    </w:p>
    <w:p>
      <w:pPr>
        <w:pStyle w:val="962"/>
        <w:pBdr/>
        <w:spacing/>
        <w:ind/>
        <w:rPr/>
      </w:pPr>
      <w:r>
        <w:t xml:space="preserve">The thesis may later inspire a public manifesto for ISLAMU, but the manifesto should not replace the academic argument. A manifesto can be more concise, motivational, and public-faci</w:t>
      </w:r>
      <w:r>
        <w:t xml:space="preserve">ng; the thesis must remain careful, sourced, and limited by its research question. This distinction protects both genres: the thesis provides the reasoning and constraints, while any future manifesto translates those commitments only after separate review.</w:t>
      </w:r>
      <w:r/>
    </w:p>
    <w:p>
      <w:pPr>
        <w:pStyle w:val="962"/>
        <w:pBdr/>
        <w:spacing/>
        <w:ind/>
        <w:rPr/>
      </w:pPr>
      <w:r>
        <w:rPr>
          <w:b/>
          <w:bCs/>
        </w:rPr>
        <w:t xml:space="preserve">Stewardship Instead of Moral Status Sales</w:t>
      </w:r>
      <w:r/>
    </w:p>
    <w:p>
      <w:pPr>
        <w:pStyle w:val="962"/>
        <w:pBdr/>
        <w:spacing/>
        <w:ind/>
        <w:rPr/>
      </w:pPr>
      <w:r>
        <w:t xml:space="preserve">The nonprofit revenue ethic also requires humility in language. ISLAMU should not sell subscriptions as a way for users to feel morally superior. The stronger claim is stewardship: money sh</w:t>
      </w:r>
      <w:r>
        <w:t xml:space="preserve">ould go to the stated cause, operational costs should be reasonable and disclosed, and users should understand what portion supports infrastructure, community work, staff, or reserves. This keeps ethical branding from becoming another extraction mechanism.</w:t>
      </w:r>
      <w:r/>
    </w:p>
    <w:p>
      <w:pPr>
        <w:pBdr/>
        <w:spacing/>
        <w:ind/>
        <w:rPr/>
      </w:pPr>
      <w:r>
        <mc:AlternateContent>
          <mc:Choice Requires="wpg">
            <w:drawing>
              <wp:inline xmlns:wp="http://schemas.openxmlformats.org/drawingml/2006/wordprocessingDrawing" distT="0" distB="0" distL="0" distR="0">
                <wp:extent cx="0" cy="19050"/>
                <wp:effectExtent l="0" t="0" r="0" b="0"/>
                <wp:docPr id="5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49" o:spid="_x0000_s49" o:spt="1" type="#_x0000_t1" style="width:0.00pt;height:1.50pt;mso-wrap-distance-left:0.00pt;mso-wrap-distance-top:0.00pt;mso-wrap-distance-right:0.00pt;mso-wrap-distance-bottom:0.00pt;visibility:visible;" fillcolor="#FFFFFF" strokecolor="#000000"/>
            </w:pict>
          </mc:Fallback>
        </mc:AlternateContent>
      </w:r>
      <w:bookmarkEnd w:id="71"/>
      <w:r/>
    </w:p>
    <w:p>
      <w:pPr>
        <w:pStyle w:val="977"/>
        <w:pBdr/>
        <w:spacing/>
        <w:ind/>
        <w:rPr/>
      </w:pPr>
      <w:r/>
      <w:bookmarkStart w:id="73" w:name="current-state-of-the-muslim-ummah"/>
      <w:r>
        <w:t xml:space="preserve">4.1.3 Current State of the Muslim Ummah</w:t>
      </w:r>
      <w:r/>
    </w:p>
    <w:p>
      <w:pPr>
        <w:pStyle w:val="963"/>
        <w:pBdr/>
        <w:spacing/>
        <w:ind/>
        <w:rPr/>
      </w:pPr>
      <w:r>
        <w:t xml:space="preserve">The global Muslim community faces significant challeng</w:t>
      </w:r>
      <w:r>
        <w:t xml:space="preserve">es in the digital sphere. Mainstream social media and platform infrastructures often optimize for engagement, advertising value, and data extraction rather than community welfare. These patterns are ethically relevant to the thesis because they can conflic</w:t>
      </w:r>
      <w:r>
        <w:t xml:space="preserve">t with the selected I-VSD concerns of truthfulness, privacy, harm reduction, and community benefit. This claim should be read as a problem-space framing, not as a claim that one organization or one software project can solve Muslim digital life as a whole.</w:t>
      </w:r>
      <w:r/>
    </w:p>
    <w:p>
      <w:pPr>
        <w:pStyle w:val="962"/>
        <w:pBdr/>
        <w:spacing/>
        <w:ind/>
        <w:rPr/>
      </w:pPr>
      <w:r>
        <w:rPr>
          <w:b/>
          <w:bCs/>
        </w:rPr>
        <w:t xml:space="preserve">Systemic Discrimination Against Muslim Organizations</w:t>
      </w:r>
      <w:r/>
    </w:p>
    <w:p>
      <w:pPr>
        <w:pStyle w:val="962"/>
        <w:pBdr/>
        <w:spacing/>
        <w:ind/>
        <w:rPr/>
      </w:pPr>
      <w:r>
        <w:t xml:space="preserve">Beyond general platform risks, some Muslim organizations face obstacles that make infrastructure dependency a governance concern. A January 2025 report from the Muslim Charities Forum (MCF) documents that more than four in ten Brit</w:t>
      </w:r>
      <w:r>
        <w:t xml:space="preserve">ish Muslim charities surveyed had their banking services withdrawn entirely. The report found that 68 percent of Muslim charities surveyed experienced difficulties opening bank accounts, while 42 percent experienced complete withdrawal of banking services.</w:t>
      </w:r>
      <w:r/>
    </w:p>
    <w:p>
      <w:pPr>
        <w:pStyle w:val="962"/>
        <w:pBdr/>
        <w:spacing/>
        <w:ind/>
        <w:rPr/>
      </w:pPr>
      <w:r>
        <w:t xml:space="preserve">The consequences of this</w:t>
      </w:r>
      <w:r>
        <w:t xml:space="preserve"> </w:t>
      </w:r>
      <w:r>
        <w:t xml:space="preserve">“de-banking”</w:t>
      </w:r>
      <w:r>
        <w:t xml:space="preserve"> </w:t>
      </w:r>
      <w:r>
        <w:t xml:space="preserve">and</w:t>
      </w:r>
      <w:r>
        <w:t xml:space="preserve"> </w:t>
      </w:r>
      <w:r>
        <w:t xml:space="preserve">“de-risking”</w:t>
      </w:r>
      <w:r>
        <w:t xml:space="preserve"> </w:t>
      </w:r>
      <w:r>
        <w:t xml:space="preserve">are severe. One charity operating a hospital was unable to pay doctors and nurses for two months. Another organization operating in the Middle East reported that delays in fund transfers meant</w:t>
      </w:r>
      <w:r>
        <w:t xml:space="preserve"> </w:t>
      </w:r>
      <w:r>
        <w:t xml:space="preserve">“local vendors would come to our field offices demanding payment at gunpoint, putting the lives of our workers at risk.”</w:t>
      </w:r>
      <w:r>
        <w:t xml:space="preserve"> </w:t>
      </w:r>
      <w:r>
        <w:t xml:space="preserve">These examples show that infrastructure exclusion can have practical and moral consequences for Muslim organizations.</w:t>
      </w:r>
      <w:r/>
    </w:p>
    <w:p>
      <w:pPr>
        <w:pStyle w:val="962"/>
        <w:pBdr/>
        <w:spacing/>
        <w:ind/>
        <w:rPr/>
      </w:pPr>
      <w:r>
        <w:t xml:space="preserve">The MCF report identifies</w:t>
      </w:r>
      <w:r>
        <w:t xml:space="preserve"> </w:t>
      </w:r>
      <w:r>
        <w:t xml:space="preserve">“structural Islamophobia”</w:t>
      </w:r>
      <w:r>
        <w:t xml:space="preserve"> </w:t>
      </w:r>
      <w:r>
        <w:t xml:space="preserve">as a root cause in the banking context, arguing that Muslim charities can be unfairly targeted without evidence of wrongdoing. This external evidence should be used carefully: it directly supports claims about Bri</w:t>
      </w:r>
      <w:r>
        <w:t xml:space="preserve">tish Muslim charity banking experiences, and it indirectly motivates why dependency, control, and due process matter in digital infrastructure design. It does not by itself prove that ISLAMU, community-owned software, or self-hosting solves discrimination.</w:t>
      </w:r>
      <w:r/>
    </w:p>
    <w:p>
      <w:pPr>
        <w:pStyle w:val="962"/>
        <w:pBdr/>
        <w:spacing/>
        <w:ind/>
        <w:rPr/>
      </w:pPr>
      <w:r>
        <w:t xml:space="preserve">This pattern of exclusion from mainstream financial infrastructure helps explain why some Muslim organizations may value alternatives that reduce dep</w:t>
      </w:r>
      <w:r>
        <w:t xml:space="preserve">endency on opaque external providers. Community-controlled or self-hostable technology may reduce some forms of dependency and make governance choices more inspectable, while leaving legal, financial, operational, adoption, and moderation risks unresolved.</w:t>
      </w:r>
      <w:r/>
    </w:p>
    <w:p>
      <w:pPr>
        <w:pStyle w:val="962"/>
        <w:pBdr/>
        <w:spacing/>
        <w:ind/>
        <w:rPr/>
      </w:pPr>
      <w:r>
        <w:rPr>
          <w:b/>
          <w:bCs/>
        </w:rPr>
        <w:t xml:space="preserve">Source:</w:t>
      </w:r>
      <w:r>
        <w:t xml:space="preserve"> Muslim Charities Forum (2025).</w:t>
      </w:r>
      <w:r>
        <w:t xml:space="preserve"> </w:t>
      </w:r>
      <w:r>
        <w:t xml:space="preserve">“The Landscape of Debanking within Muslim Charities and its Impact on Charitable Activities.”</w:t>
      </w:r>
      <w:r>
        <w:t xml:space="preserve"> </w:t>
      </w:r>
      <w:hyperlink r:id="rId14" w:tooltip="https://www.muslimcharitiesforum.org.uk/resources/" w:history="1">
        <w:r>
          <w:rPr>
            <w:rStyle w:val="1008"/>
          </w:rPr>
          <w:t xml:space="preserve">https://www.muslimcharitiesforum.org.uk/resources/</w:t>
        </w:r>
      </w:hyperlink>
      <w:r/>
      <w:r/>
    </w:p>
    <w:p>
      <w:pPr>
        <w:pStyle w:val="962"/>
        <w:pBdr/>
        <w:spacing/>
        <w:ind/>
        <w:rPr/>
      </w:pPr>
      <w:r>
        <w:rPr>
          <w:b/>
          <w:bCs/>
        </w:rPr>
        <w:t xml:space="preserve">The Need for Ethical, Value-Aligned Technology</w:t>
      </w:r>
      <w:r/>
    </w:p>
    <w:p>
      <w:pPr>
        <w:pStyle w:val="962"/>
        <w:pBdr/>
        <w:spacing/>
        <w:ind/>
        <w:rPr/>
      </w:pPr>
      <w:r>
        <w:t xml:space="preserve">Some Muslim organizations may benefit from tools designed with their organizational, educa</w:t>
      </w:r>
      <w:r>
        <w:t xml:space="preserve">tional, privacy, and community needs in mind. For an event platform, those needs can include clear organizer identity, trustworthy curation, language support, prayer-aware scheduling where appropriate, privacy-conscious registration, and business-model cho</w:t>
      </w:r>
      <w:r>
        <w:t xml:space="preserve">ices shaped by the thesis’s selected Islamic ethical principles. These are design requirements and evaluation questions, not evidence that the resulting platform has already achieved community trust, accessibility, sustainability, or broad ethical success.</w:t>
      </w:r>
      <w:r/>
    </w:p>
    <w:p>
      <w:pPr>
        <w:pBdr/>
        <w:spacing/>
        <w:ind/>
        <w:rPr/>
      </w:pPr>
      <w:r>
        <mc:AlternateContent>
          <mc:Choice Requires="wpg">
            <w:drawing>
              <wp:inline xmlns:wp="http://schemas.openxmlformats.org/drawingml/2006/wordprocessingDrawing" distT="0" distB="0" distL="0" distR="0">
                <wp:extent cx="0" cy="19050"/>
                <wp:effectExtent l="0" t="0" r="0" b="0"/>
                <wp:docPr id="5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0" o:spid="_x0000_s50" o:spt="1" type="#_x0000_t1" style="width:0.00pt;height:1.50pt;mso-wrap-distance-left:0.00pt;mso-wrap-distance-top:0.00pt;mso-wrap-distance-right:0.00pt;mso-wrap-distance-bottom:0.00pt;visibility:visible;" fillcolor="#FFFFFF" strokecolor="#000000"/>
            </w:pict>
          </mc:Fallback>
        </mc:AlternateContent>
      </w:r>
      <w:bookmarkEnd w:id="73"/>
      <w:bookmarkEnd w:id="74"/>
      <w:r/>
    </w:p>
    <w:p>
      <w:pPr>
        <w:pStyle w:val="976"/>
        <w:pBdr/>
        <w:spacing/>
        <w:ind/>
        <w:rPr/>
      </w:pPr>
      <w:r/>
      <w:bookmarkStart w:id="84" w:name="X953d9661fb3bca5470be7ac3f13d901d1359927"/>
      <w:r>
        <w:t xml:space="preserve">4.2 Applying the I-VSD Framework to ISLAMU Event</w:t>
      </w:r>
      <w:r/>
    </w:p>
    <w:p>
      <w:pPr>
        <w:pStyle w:val="963"/>
        <w:pBdr/>
        <w:spacing/>
        <w:ind/>
        <w:rPr/>
      </w:pPr>
      <w:r>
        <w:t xml:space="preserve">ISLAMU Event is the selected illustrative case for applying the I-VSD framework. It is a usefu</w:t>
      </w:r>
      <w:r>
        <w:t xml:space="preserve">l case because an event platform involves curation, payments, identity, moderation, privacy, discovery, accessibility, federation, and long-term maintenance. These concerns make ethical reasoning visible without making Event the object of the whole thesis.</w:t>
      </w:r>
      <w:r/>
    </w:p>
    <w:p>
      <w:pPr>
        <w:pStyle w:val="962"/>
        <w:pBdr/>
        <w:spacing/>
        <w:ind/>
        <w:rPr/>
      </w:pPr>
      <w:r>
        <w:t xml:space="preserve">ISLAMU Event is used here as an implementation-traceability case: it shows how I-VSD reasoning can be connected to concrete product, governance, architecture, privacy, a</w:t>
      </w:r>
      <w:r>
        <w:t xml:space="preserve">ccessibility, localization, self-hosting, and operational design choices in a current pre-1.0 software project. This strengthens the practical case-study material without turning Event into empirical validation of the framework or promotion of the product.</w:t>
      </w:r>
      <w:r/>
    </w:p>
    <w:p>
      <w:pPr>
        <w:pStyle w:val="962"/>
        <w:pBdr/>
        <w:spacing/>
        <w:ind/>
        <w:rPr/>
      </w:pPr>
      <w:r>
        <w:t xml:space="preserve">Each case subsection follows the same structure: a general I-VSD heuristic, the Event-specific decision, the current evidence level, and the limitation or open risk. This keeps the chap</w:t>
      </w:r>
      <w:r>
        <w:t xml:space="preserve">ter focused on design reasoning rather than product promotion. The case can show how I-VSD structures decisions; it does not by itself establish user trust, long-term sustainability, security success, accessibility compliance, or general framework utility.</w:t>
      </w:r>
      <w:r/>
    </w:p>
    <w:p>
      <w:pPr>
        <w:pBdr/>
        <w:spacing/>
        <w:ind/>
        <w:rPr/>
      </w:pPr>
      <w:r>
        <mc:AlternateContent>
          <mc:Choice Requires="wpg">
            <w:drawing>
              <wp:inline xmlns:wp="http://schemas.openxmlformats.org/drawingml/2006/wordprocessingDrawing" distT="0" distB="0" distL="0" distR="0">
                <wp:extent cx="0" cy="19050"/>
                <wp:effectExtent l="0" t="0" r="0" b="0"/>
                <wp:docPr id="5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1" o:spid="_x0000_s51"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75" w:name="project-overview"/>
      <w:r>
        <w:t xml:space="preserve">4.2.1 Project Overview</w:t>
      </w:r>
      <w:r/>
    </w:p>
    <w:p>
      <w:pPr>
        <w:pStyle w:val="963"/>
        <w:pBdr/>
        <w:spacing/>
        <w:ind/>
        <w:rPr/>
      </w:pPr>
      <w:r>
        <w:rPr>
          <w:b/>
          <w:bCs/>
        </w:rPr>
        <w:t xml:space="preserve">Project Name:</w:t>
      </w:r>
      <w:r>
        <w:t xml:space="preserve"> ISLAMU Event</w:t>
      </w:r>
      <w:r/>
    </w:p>
    <w:p>
      <w:pPr>
        <w:pStyle w:val="962"/>
        <w:pBdr/>
        <w:spacing/>
        <w:ind/>
        <w:rPr/>
      </w:pPr>
      <w:r>
        <w:rPr>
          <w:b/>
          <w:bCs/>
        </w:rPr>
        <w:t xml:space="preserve">Purpose:</w:t>
      </w:r>
      <w:r>
        <w:t xml:space="preserve"> A</w:t>
      </w:r>
      <w:r>
        <w:t xml:space="preserve"> federated, ethical, and community-owned event discovery ecosystem for the global Muslim Ummah. The platform is designed to facilitate community gatherings, knowledge exchange, and social cohesion through digital infrastructure aligned with Islamic values.</w:t>
      </w:r>
      <w:r/>
    </w:p>
    <w:p>
      <w:pPr>
        <w:pStyle w:val="962"/>
        <w:pBdr/>
        <w:spacing/>
        <w:ind/>
        <w:rPr/>
      </w:pPr>
      <w:r>
        <w:rPr>
          <w:b/>
          <w:bCs/>
        </w:rPr>
        <w:t xml:space="preserve">Strategic Vision:</w:t>
      </w:r>
      <w:r>
        <w:t xml:space="preserve"> ISLAMU Event aims to establish Digital S</w:t>
      </w:r>
      <w:r>
        <w:t xml:space="preserve">overeignty for the Muslim community. This vision encompasses three core principles. First, Autonomy: organizations own their audience relationships and data, free from platform lock-in. Second, Federation: mosques, universities, and charities can run indep</w:t>
      </w:r>
      <w:r>
        <w:t xml:space="preserve">endent instances that are intended to interoperate through documented protocols as federation work matures. Third, Alignment: technology adapts to the user’s lifestyle (prayer times, modesty requirements) rather than forcing users to adapt to the platform.</w:t>
      </w:r>
      <w:r/>
    </w:p>
    <w:p>
      <w:pPr>
        <w:pStyle w:val="962"/>
        <w:pBdr/>
        <w:spacing/>
        <w:ind/>
        <w:rPr/>
      </w:pPr>
      <w:r>
        <w:rPr>
          <w:b/>
          <w:bCs/>
        </w:rPr>
        <w:t xml:space="preserve">Target Users:</w:t>
      </w:r>
      <w:r>
        <w:t xml:space="preserve"> The platform </w:t>
      </w:r>
      <w:r>
        <w:t xml:space="preserve">serves Muslims seeking Islamic events such as lectures, conferences, and community gatherings. It also serves Islamic organizations hosting events, mosques and Islamic centers managing their programming, and Muslim community groups coordinating activities.</w:t>
      </w:r>
      <w:r/>
    </w:p>
    <w:p>
      <w:pPr>
        <w:pStyle w:val="962"/>
        <w:pBdr/>
        <w:spacing/>
        <w:ind/>
        <w:rPr/>
      </w:pPr>
      <w:r>
        <w:rPr>
          <w:b/>
          <w:bCs/>
        </w:rPr>
        <w:t xml:space="preserve">Core Problem Being Solved:</w:t>
      </w:r>
      <w:r>
        <w:t xml:space="preserve"> For decades, faith-based organizations have relied on fragmented methods, word of mouth,</w:t>
      </w:r>
      <w:r>
        <w:t xml:space="preserve"> paper posters, WhatsApp blasts, or centralized commercial platforms to facilitate gatherings. ISLAMU Event addresses the limitations of these methods by providing a purpose-built alternative that respects liturgical time (events linked to prayer times tha</w:t>
      </w:r>
      <w:r>
        <w:t xml:space="preserve">t change daily), community trust through verification labels, reporting paths, and governance controls intended to reduce fraud and misinformation risks, and data ethics (protecting community data from surveillance capitalism and third-party exploitation).</w:t>
      </w:r>
      <w:r/>
    </w:p>
    <w:p>
      <w:pPr>
        <w:pStyle w:val="962"/>
        <w:pBdr/>
        <w:spacing/>
        <w:ind/>
        <w:rPr/>
      </w:pPr>
      <w:r>
        <w:rPr>
          <w:b/>
          <w:bCs/>
        </w:rPr>
        <w:t xml:space="preserve">The Ecosystem Model:</w:t>
      </w:r>
      <w:r>
        <w:t xml:space="preserve"> The strategic model is self-hostable and federation-oriented, similar in aspiration to projects such as PeerTube or Mastodon but specialized for community organization. It should not be described as a mature public federation network yet. Indepen</w:t>
      </w:r>
      <w:r>
        <w:t xml:space="preserve">dent instances are intended to operate separately and interoperate as federation work matures, reducing centralization as a design direction while leaving real interoperability, moderation, abuse handling, and operational reliability for future evaluation.</w:t>
      </w:r>
      <w:r/>
    </w:p>
    <w:p>
      <w:pPr>
        <w:pStyle w:val="962"/>
        <w:pBdr/>
        <w:spacing/>
        <w:ind/>
        <w:rPr/>
      </w:pPr>
      <w:r>
        <w:rPr>
          <w:b/>
          <w:bCs/>
        </w:rPr>
        <w:t xml:space="preserve">Project Vision:</w:t>
      </w:r>
      <w:r>
        <w:t xml:space="preserve"> </w:t>
      </w:r>
      <w:r>
        <w:t xml:space="preserve">“Help the Muslim community socialize and learn through accessible, ethical, and community-owned event discovery.”</w:t>
      </w:r>
      <w:r/>
    </w:p>
    <w:p>
      <w:pPr>
        <w:pBdr/>
        <w:spacing/>
        <w:ind/>
        <w:rPr/>
      </w:pPr>
      <w:r>
        <mc:AlternateContent>
          <mc:Choice Requires="wpg">
            <w:drawing>
              <wp:inline xmlns:wp="http://schemas.openxmlformats.org/drawingml/2006/wordprocessingDrawing" distT="0" distB="0" distL="0" distR="0">
                <wp:extent cx="0" cy="19050"/>
                <wp:effectExtent l="0" t="0" r="0" b="0"/>
                <wp:docPr id="5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2" o:spid="_x0000_s52" o:spt="1" type="#_x0000_t1" style="width:0.00pt;height:1.50pt;mso-wrap-distance-left:0.00pt;mso-wrap-distance-top:0.00pt;mso-wrap-distance-right:0.00pt;mso-wrap-distance-bottom:0.00pt;visibility:visible;" fillcolor="#FFFFFF" strokecolor="#000000"/>
            </w:pict>
          </mc:Fallback>
        </mc:AlternateContent>
      </w:r>
      <w:bookmarkEnd w:id="75"/>
      <w:r/>
    </w:p>
    <w:p>
      <w:pPr>
        <w:pStyle w:val="977"/>
        <w:pBdr/>
        <w:spacing/>
        <w:ind/>
        <w:rPr/>
      </w:pPr>
      <w:r/>
      <w:bookmarkStart w:id="76" w:name="competitive-analysis-through-i-vsd-lens"/>
      <w:r>
        <w:t xml:space="preserve">4.2.2 Competitive Analysis Through I-VSD Lens</w:t>
      </w:r>
      <w:r/>
    </w:p>
    <w:p>
      <w:pPr>
        <w:pStyle w:val="963"/>
        <w:pBdr/>
        <w:spacing/>
        <w:ind/>
        <w:rPr/>
      </w:pPr>
      <w:r>
        <w:rPr>
          <w:b/>
          <w:bCs/>
        </w:rPr>
        <w:t xml:space="preserve">Comparison with Mobilizon as an ethical alternative:</w:t>
      </w:r>
      <w:r/>
    </w:p>
    <w:p>
      <w:pPr>
        <w:pStyle w:val="962"/>
        <w:pBdr/>
        <w:spacing/>
        <w:ind/>
        <w:rPr/>
      </w:pPr>
      <w:r>
        <w:t xml:space="preserve">Mobilizon is a relevant comparison case because it is a</w:t>
      </w:r>
      <w:r>
        <w:t xml:space="preserve">lso an open-source event and community platform with explicit ethical commitments. Its public materials describe it as a tool for creating, sharing, and finding events; as free/open-source software; and as a federated alternative to corporate event infrast</w:t>
      </w:r>
      <w:r>
        <w:t xml:space="preserve">ructure rather than as a conventional social network. Its history should also be stated precisely: Framasoft created and led the project from 2018 to 2024, while current public information identifies Kaihuri as the maintainer since 2024 with NLNet support.</w:t>
      </w:r>
      <w:r/>
    </w:p>
    <w:p>
      <w:pPr>
        <w:pStyle w:val="962"/>
        <w:pBdr/>
        <w:spacing/>
        <w:ind/>
        <w:rPr/>
      </w:pPr>
      <w:r>
        <w:t xml:space="preserve">The purpose of this comparison is not to rank ISLAMU Even</w:t>
      </w:r>
      <w:r>
        <w:t xml:space="preserve">t above Mobilizon. It is to show how I-VSD changes the comparison question. Instead of asking which platform can be marketed as the winner, the framework asks which design priorities, governance assumptions, and community needs each platform makes visible.</w:t>
      </w:r>
      <w:r/>
    </w:p>
    <w:tbl>
      <w:tblPr>
        <w:tblStyle w:val="996"/>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cPr>
          <w:p>
            <w:pPr>
              <w:pStyle w:val="964"/>
              <w:pBdr/>
              <w:spacing/>
              <w:ind/>
              <w:rPr/>
            </w:pPr>
            <w:r>
              <w:t xml:space="preserve">Comparison question</w:t>
            </w:r>
            <w:r/>
          </w:p>
        </w:tc>
        <w:tc>
          <w:tcPr>
            <w:tcBorders/>
          </w:tcPr>
          <w:p>
            <w:pPr>
              <w:pStyle w:val="964"/>
              <w:pBdr/>
              <w:spacing/>
              <w:ind/>
              <w:rPr/>
            </w:pPr>
            <w:r>
              <w:t xml:space="preserve">Mobilizon / alternatives</w:t>
            </w:r>
            <w:r/>
          </w:p>
        </w:tc>
        <w:tc>
          <w:tcPr>
            <w:tcBorders/>
          </w:tcPr>
          <w:p>
            <w:pPr>
              <w:pStyle w:val="964"/>
              <w:pBdr/>
              <w:spacing/>
              <w:ind/>
              <w:rPr/>
            </w:pPr>
            <w:r>
              <w:t xml:space="preserve">ISLAMU Event</w:t>
            </w:r>
            <w:r/>
          </w:p>
        </w:tc>
        <w:tc>
          <w:tcPr>
            <w:tcBorders/>
          </w:tcPr>
          <w:p>
            <w:pPr>
              <w:pStyle w:val="964"/>
              <w:pBdr/>
              <w:spacing/>
              <w:ind/>
              <w:rPr/>
            </w:pPr>
            <w:r>
              <w:t xml:space="preserve">Evidence status</w:t>
            </w:r>
            <w:r/>
          </w:p>
        </w:tc>
        <w:tc>
          <w:tcPr>
            <w:tcBorders/>
          </w:tcPr>
          <w:p>
            <w:pPr>
              <w:pStyle w:val="964"/>
              <w:pBdr/>
              <w:spacing/>
              <w:ind/>
              <w:rPr/>
            </w:pPr>
            <w:r>
              <w:t xml:space="preserve">Decision-support implication</w:t>
            </w:r>
            <w:r/>
          </w:p>
        </w:tc>
      </w:tr>
      <w:tr>
        <w:trPr/>
        <w:tc>
          <w:tcPr>
            <w:tcBorders/>
          </w:tcPr>
          <w:p>
            <w:pPr>
              <w:pStyle w:val="964"/>
              <w:pBdr/>
              <w:spacing/>
              <w:ind/>
              <w:rPr/>
            </w:pPr>
            <w:r>
              <w:t xml:space="preserve">What community need is centered?</w:t>
            </w:r>
            <w:r/>
          </w:p>
        </w:tc>
        <w:tc>
          <w:tcPr>
            <w:tcBorders/>
          </w:tcPr>
          <w:p>
            <w:pPr>
              <w:pStyle w:val="964"/>
              <w:pBdr/>
              <w:spacing/>
              <w:ind/>
              <w:rPr/>
            </w:pPr>
            <w:r>
              <w:t xml:space="preserve">Mobilizon centers general event organization, group coordination, privacy-conscious publishing, and federated community infrastructure.</w:t>
            </w:r>
            <w:r/>
          </w:p>
        </w:tc>
        <w:tc>
          <w:tcPr>
            <w:tcBorders/>
          </w:tcPr>
          <w:p>
            <w:pPr>
              <w:pStyle w:val="964"/>
              <w:pBdr/>
              <w:spacing/>
              <w:ind/>
              <w:rPr/>
            </w:pPr>
            <w:r>
              <w:t xml:space="preserve">ISLAMU Event is designed around Muslim-community event discovery, Islamic curation needs, organizer trust, and the wider ISLAMU ecosystem.</w:t>
            </w:r>
            <w:r/>
          </w:p>
        </w:tc>
        <w:tc>
          <w:tcPr>
            <w:tcBorders/>
          </w:tcPr>
          <w:p>
            <w:pPr>
              <w:pStyle w:val="964"/>
              <w:pBdr/>
              <w:spacing/>
              <w:ind/>
              <w:rPr/>
            </w:pPr>
            <w:r>
              <w:t xml:space="preserve">Mobilizon: public website and documentation. ISLAMU Event: current repository evidence and thesis case-study rationale.</w:t>
            </w:r>
            <w:r/>
          </w:p>
        </w:tc>
        <w:tc>
          <w:tcPr>
            <w:tcBorders/>
          </w:tcPr>
          <w:p>
            <w:pPr>
              <w:pStyle w:val="964"/>
              <w:pBdr/>
              <w:spacing/>
              <w:ind/>
              <w:rPr/>
            </w:pPr>
            <w:r>
              <w:t xml:space="preserve">Mobilizon may be the better fit for general-purpose federated events; ISLAMU Event is justified when the relevant need is specifically Muslim-community infrastructure.</w:t>
            </w:r>
            <w:r/>
          </w:p>
        </w:tc>
      </w:tr>
      <w:tr>
        <w:trPr/>
        <w:tc>
          <w:tcPr>
            <w:tcBorders/>
          </w:tcPr>
          <w:p>
            <w:pPr>
              <w:pStyle w:val="964"/>
              <w:pBdr/>
              <w:spacing/>
              <w:ind/>
              <w:rPr/>
            </w:pPr>
            <w:r>
              <w:t xml:space="preserve">How mature is federation evidence?</w:t>
            </w:r>
            <w:r/>
          </w:p>
        </w:tc>
        <w:tc>
          <w:tcPr>
            <w:tcBorders/>
          </w:tcPr>
          <w:p>
            <w:pPr>
              <w:pStyle w:val="964"/>
              <w:pBdr/>
              <w:spacing/>
              <w:ind/>
              <w:rPr/>
            </w:pPr>
            <w:r>
              <w:t xml:space="preserve">Mobilizon has documented ActivityPub federation, instance following, group/event propagation, RSS/ICS/WebCal, and Fediverse interoperability patterns.</w:t>
            </w:r>
            <w:r/>
          </w:p>
        </w:tc>
        <w:tc>
          <w:tcPr>
            <w:tcBorders/>
          </w:tcPr>
          <w:p>
            <w:pPr>
              <w:pStyle w:val="964"/>
              <w:pBdr/>
              <w:spacing/>
              <w:ind/>
              <w:rPr/>
            </w:pPr>
            <w:r>
              <w:t xml:space="preserve">Current ISLAMU Event evidence supports ATProto/PDS-oriented federation groundwork and outbound sync concepts, not a finished public federation network.</w:t>
            </w:r>
            <w:r/>
          </w:p>
        </w:tc>
        <w:tc>
          <w:tcPr>
            <w:tcBorders/>
          </w:tcPr>
          <w:p>
            <w:pPr>
              <w:pStyle w:val="964"/>
              <w:pBdr/>
              <w:spacing/>
              <w:ind/>
              <w:rPr/>
            </w:pPr>
            <w:r>
              <w:t xml:space="preserve">Mobilizon: official docs. ISLAMU Event: repository docs/evidence report.</w:t>
            </w:r>
            <w:r/>
          </w:p>
        </w:tc>
        <w:tc>
          <w:tcPr>
            <w:tcBorders/>
          </w:tcPr>
          <w:p>
            <w:pPr>
              <w:pStyle w:val="964"/>
              <w:pBdr/>
              <w:spacing/>
              <w:ind/>
              <w:rPr/>
            </w:pPr>
            <w:r>
              <w:t xml:space="preserve">If mature federation is the main requirement today, Mobilizon currently has the stronger evidence. ISLAMU Event should frame federation as a design direction unless later implementation evidence changes.</w:t>
            </w:r>
            <w:r/>
          </w:p>
        </w:tc>
      </w:tr>
      <w:tr>
        <w:trPr/>
        <w:tc>
          <w:tcPr>
            <w:tcBorders/>
          </w:tcPr>
          <w:p>
            <w:pPr>
              <w:pStyle w:val="964"/>
              <w:pBdr/>
              <w:spacing/>
              <w:ind/>
              <w:rPr/>
            </w:pPr>
            <w:r>
              <w:t xml:space="preserve">How are privacy and autonomy framed?</w:t>
            </w:r>
            <w:r/>
          </w:p>
        </w:tc>
        <w:tc>
          <w:tcPr>
            <w:tcBorders/>
          </w:tcPr>
          <w:p>
            <w:pPr>
              <w:pStyle w:val="964"/>
              <w:pBdr/>
              <w:spacing/>
              <w:ind/>
              <w:rPr/>
            </w:pPr>
            <w:r>
              <w:t xml:space="preserve">Mobilizon publicly frames itself as an ethical, non-social-media alternative that respects user privacy and time.</w:t>
            </w:r>
            <w:r/>
          </w:p>
        </w:tc>
        <w:tc>
          <w:tcPr>
            <w:tcBorders/>
          </w:tcPr>
          <w:p>
            <w:pPr>
              <w:pStyle w:val="964"/>
              <w:pBdr/>
              <w:spacing/>
              <w:ind/>
              <w:rPr/>
            </w:pPr>
            <w:r>
              <w:t xml:space="preserve">ISLAMU Event uses privacy-oriented architecture such as self-hosting, tenant boundaries, BFF token handling, PII separation concepts, consent flows, and authorization controls.</w:t>
            </w:r>
            <w:r/>
          </w:p>
        </w:tc>
        <w:tc>
          <w:tcPr>
            <w:tcBorders/>
          </w:tcPr>
          <w:p>
            <w:pPr>
              <w:pStyle w:val="964"/>
              <w:pBdr/>
              <w:spacing/>
              <w:ind/>
              <w:rPr/>
            </w:pPr>
            <w:r>
              <w:t xml:space="preserve">Mobilizon: public positioning and docs. ISLAMU Event: implementation-traceability evidence.</w:t>
            </w:r>
            <w:r/>
          </w:p>
        </w:tc>
        <w:tc>
          <w:tcPr>
            <w:tcBorders/>
          </w:tcPr>
          <w:p>
            <w:pPr>
              <w:pStyle w:val="964"/>
              <w:pBdr/>
              <w:spacing/>
              <w:ind/>
              <w:rPr/>
            </w:pPr>
            <w:r>
              <w:t xml:space="preserve">Both can be ethically relevant. Mobilizon provides a mature privacy-aligned alternative; ISLAMU Event shows how privacy and autonomy can be connected to Islamic VSD design reasoning.</w:t>
            </w:r>
            <w:r/>
          </w:p>
        </w:tc>
      </w:tr>
      <w:tr>
        <w:trPr/>
        <w:tc>
          <w:tcPr>
            <w:tcBorders/>
          </w:tcPr>
          <w:p>
            <w:pPr>
              <w:pStyle w:val="964"/>
              <w:pBdr/>
              <w:spacing/>
              <w:ind/>
              <w:rPr/>
            </w:pPr>
            <w:r>
              <w:t xml:space="preserve">What domain-specific features matter?</w:t>
            </w:r>
            <w:r/>
          </w:p>
        </w:tc>
        <w:tc>
          <w:tcPr>
            <w:tcBorders/>
          </w:tcPr>
          <w:p>
            <w:pPr>
              <w:pStyle w:val="964"/>
              <w:pBdr/>
              <w:spacing/>
              <w:ind/>
              <w:rPr/>
            </w:pPr>
            <w:r>
              <w:t xml:space="preserve">Mobilizon is broadly community-oriented and not specifically designed around Islamic event categories, prayer-relative scheduling, madhab or audience metadata, or Muslim organizational governance.</w:t>
            </w:r>
            <w:r/>
          </w:p>
        </w:tc>
        <w:tc>
          <w:tcPr>
            <w:tcBorders/>
          </w:tcPr>
          <w:p>
            <w:pPr>
              <w:pStyle w:val="964"/>
              <w:pBdr/>
              <w:spacing/>
              <w:ind/>
              <w:rPr/>
            </w:pPr>
            <w:r>
              <w:t xml:space="preserve">ISLAMU Event is designed to support Islamic event metadata, culturally aware filters, Islamic curation, and organizational trust signals where these are appropriate.</w:t>
            </w:r>
            <w:r/>
          </w:p>
        </w:tc>
        <w:tc>
          <w:tcPr>
            <w:tcBorders/>
          </w:tcPr>
          <w:p>
            <w:pPr>
              <w:pStyle w:val="964"/>
              <w:pBdr/>
              <w:spacing/>
              <w:ind/>
              <w:rPr/>
            </w:pPr>
            <w:r>
              <w:t xml:space="preserve">Mobilizon limitation: absence of evidence in reviewed public docs, not a defect claim. ISLAMU Event: repository/docs evidence and thesis design reasoning.</w:t>
            </w:r>
            <w:r/>
          </w:p>
        </w:tc>
        <w:tc>
          <w:tcPr>
            <w:tcBorders/>
          </w:tcPr>
          <w:p>
            <w:pPr>
              <w:pStyle w:val="964"/>
              <w:pBdr/>
              <w:spacing/>
              <w:ind/>
              <w:rPr/>
            </w:pPr>
            <w:r>
              <w:t xml:space="preserve">ISLAMU Event may be more appropriate where domain-specific Muslim community workflows are central; Mobilizon may be preferable where religious curation is unnecessary or undesirable.</w:t>
            </w:r>
            <w:r/>
          </w:p>
        </w:tc>
      </w:tr>
      <w:tr>
        <w:trPr/>
        <w:tc>
          <w:tcPr>
            <w:tcBorders/>
          </w:tcPr>
          <w:p>
            <w:pPr>
              <w:pStyle w:val="964"/>
              <w:pBdr/>
              <w:spacing/>
              <w:ind/>
              <w:rPr/>
            </w:pPr>
            <w:r>
              <w:t xml:space="preserve">How should users compare them?</w:t>
            </w:r>
            <w:r/>
          </w:p>
        </w:tc>
        <w:tc>
          <w:tcPr>
            <w:tcBorders/>
          </w:tcPr>
          <w:p>
            <w:pPr>
              <w:pStyle w:val="964"/>
              <w:pBdr/>
              <w:spacing/>
              <w:ind/>
              <w:rPr/>
            </w:pPr>
            <w:r>
              <w:t xml:space="preserve">Mobilizon is a legitimate choice for communities prioritizing established federated event tooling, general-purpose use, self-hosting, and alignment with the Fediverse / Small Tech ecosystem.</w:t>
            </w:r>
            <w:r/>
          </w:p>
        </w:tc>
        <w:tc>
          <w:tcPr>
            <w:tcBorders/>
          </w:tcPr>
          <w:p>
            <w:pPr>
              <w:pStyle w:val="964"/>
              <w:pBdr/>
              <w:spacing/>
              <w:ind/>
              <w:rPr/>
            </w:pPr>
            <w:r>
              <w:t xml:space="preserve">ISLAMU Event is a case-study implementation for value-aligned Muslim community infrastructure and should be judged by its current implementation evidence, roadmap boundaries, and future evaluation.</w:t>
            </w:r>
            <w:r/>
          </w:p>
        </w:tc>
        <w:tc>
          <w:tcPr>
            <w:tcBorders/>
          </w:tcPr>
          <w:p>
            <w:pPr>
              <w:pStyle w:val="964"/>
              <w:pBdr/>
              <w:spacing/>
              <w:ind/>
              <w:rPr/>
            </w:pPr>
            <w:r>
              <w:t xml:space="preserve">Mixed evidence: external public sources, Event repository evidence, and author analysis.</w:t>
            </w:r>
            <w:r/>
          </w:p>
        </w:tc>
        <w:tc>
          <w:tcPr>
            <w:tcBorders/>
          </w:tcPr>
          <w:p>
            <w:pPr>
              <w:pStyle w:val="964"/>
              <w:pBdr/>
              <w:spacing/>
              <w:ind/>
              <w:rPr/>
            </w:pPr>
            <w:r>
              <w:t xml:space="preserve">The comparison should help a user choose fit, not persuade every user toward ISLAMU.</w:t>
            </w:r>
            <w:r/>
          </w:p>
        </w:tc>
      </w:tr>
    </w:tbl>
    <w:p>
      <w:pPr>
        <w:pStyle w:val="962"/>
        <w:pBdr/>
        <w:spacing/>
        <w:ind/>
        <w:rPr/>
      </w:pPr>
      <w:r>
        <w:rPr>
          <w:b/>
          <w:bCs/>
        </w:rPr>
        <w:t xml:space="preserve">I-VSD principle applied:</w:t>
      </w:r>
      <w:r>
        <w:t xml:space="preserve"> The comparison itself is part of ethical design. Sidq requires accurate co</w:t>
      </w:r>
      <w:r>
        <w:t xml:space="preserve">mpetitor claims, Amanah requires making evidence status visible, and Ihsan requires helping users choose the tool that best fits their situation. ISLAMU Event should therefore avoid portraying Mobilizon as merely incomplete or implying that Islamic design </w:t>
      </w:r>
      <w:r>
        <w:t xml:space="preserve">language automatically produces stronger practical outcomes. The safer claim is that ISLAMU Event illustrates a different value-sensitive prioritization: Muslim-community service, culturally specific governance, and inspectable implementation traceability.</w:t>
      </w:r>
      <w:r/>
    </w:p>
    <w:p>
      <w:pPr>
        <w:pStyle w:val="962"/>
        <w:pBdr/>
        <w:spacing/>
        <w:ind/>
        <w:rPr/>
      </w:pPr>
      <w:r>
        <w:rPr>
          <w:b/>
          <w:bCs/>
        </w:rPr>
        <w:t xml:space="preserve">Where Mobilizon or another tool may be better:</w:t>
      </w:r>
      <w:r/>
    </w:p>
    <w:p>
      <w:pPr>
        <w:pStyle w:val="962"/>
        <w:pBdr/>
        <w:spacing/>
        <w:ind/>
        <w:rPr/>
      </w:pPr>
      <w:r>
        <w:t xml:space="preserve">Mobi</w:t>
      </w:r>
      <w:r>
        <w:t xml:space="preserve">lizon may be the better choice for organizations that need an already established open-source federated event platform, communities aligned with the Fediverse and Small Tech ecosystem, groups wanting a general-purpose non-religious event tool, or organizer</w:t>
      </w:r>
      <w:r>
        <w:t xml:space="preserve">s who primarily need group coordination, public event discovery, RSS/ICS/WebCal interoperability, and mature ActivityPub-oriented federation. Naming these cases is not a concession against I-VSD; it is an application of the framework’s honesty requirement.</w:t>
      </w:r>
      <w:r/>
    </w:p>
    <w:p>
      <w:pPr>
        <w:pStyle w:val="962"/>
        <w:pBdr/>
        <w:spacing/>
        <w:ind/>
        <w:rPr/>
      </w:pPr>
      <w:r>
        <w:rPr>
          <w:b/>
          <w:bCs/>
        </w:rPr>
        <w:t xml:space="preserve">Ethical comparison design:</w:t>
      </w:r>
      <w:r/>
    </w:p>
    <w:p>
      <w:pPr>
        <w:pStyle w:val="962"/>
        <w:pBdr/>
        <w:spacing/>
        <w:ind/>
        <w:rPr/>
      </w:pPr>
      <w:r>
        <w:t xml:space="preserve">A comparison page can help users make informed decisions, but it can also become manipulative when it flattens unequal features, cherry-picks weak competitors, or presents </w:t>
      </w:r>
      <w:r>
        <w:t xml:space="preserve">the host platform as the obvious winner by design. ISLAMU Event should therefore avoid the standard biased SaaS comparison matrix. A more ethical comparison should name the situations where another tool is a better fit, distinguish implemented capabilities</w:t>
      </w:r>
      <w:r>
        <w:t xml:space="preserve"> from planned capabilities, identify source dates, and allow users to weight criteria according to their own context. This transforms competitive analysis from persuasion into service: the user is helped to choose well, even when that choice is not ISLAMU.</w:t>
      </w:r>
      <w:r/>
    </w:p>
    <w:p>
      <w:pPr>
        <w:pStyle w:val="962"/>
        <w:pBdr/>
        <w:spacing/>
        <w:ind/>
        <w:rPr/>
      </w:pPr>
      <w:r>
        <w:rPr>
          <w:b/>
          <w:bCs/>
        </w:rPr>
        <w:t xml:space="preserve">Evidence note:</w:t>
      </w:r>
      <w:r>
        <w:t xml:space="preserve"> Mobilizon claims in this subsection are routed through the Mobilizon website/about page and Mobilizon documentation entries listed in the open-source governance references. ISLAMU Event claims are routed through the</w:t>
      </w:r>
      <w:r>
        <w:t xml:space="preserve"> current implementation evidence report and the repository docs listed there, or are explicitly thesis design reasoning. Neither side should be described as ethically successful without user research, deployment evidence, audits, or stakeholder evaluation.</w:t>
      </w:r>
      <w:r/>
    </w:p>
    <w:p>
      <w:pPr>
        <w:pBdr/>
        <w:spacing/>
        <w:ind/>
        <w:rPr/>
      </w:pPr>
      <w:r>
        <mc:AlternateContent>
          <mc:Choice Requires="wpg">
            <w:drawing>
              <wp:inline xmlns:wp="http://schemas.openxmlformats.org/drawingml/2006/wordprocessingDrawing" distT="0" distB="0" distL="0" distR="0">
                <wp:extent cx="0" cy="19050"/>
                <wp:effectExtent l="0" t="0" r="0" b="0"/>
                <wp:docPr id="5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3" o:spid="_x0000_s53" o:spt="1" type="#_x0000_t1" style="width:0.00pt;height:1.50pt;mso-wrap-distance-left:0.00pt;mso-wrap-distance-top:0.00pt;mso-wrap-distance-right:0.00pt;mso-wrap-distance-bottom:0.00pt;visibility:visible;" fillcolor="#FFFFFF" strokecolor="#000000"/>
            </w:pict>
          </mc:Fallback>
        </mc:AlternateContent>
      </w:r>
      <w:bookmarkEnd w:id="76"/>
      <w:r/>
    </w:p>
    <w:p>
      <w:pPr>
        <w:pStyle w:val="977"/>
        <w:pBdr/>
        <w:spacing/>
        <w:ind/>
        <w:rPr/>
      </w:pPr>
      <w:r/>
      <w:bookmarkStart w:id="78" w:name="i-vsd-applied-strategic-decisions"/>
      <w:r>
        <w:t xml:space="preserve">4.2.3 I-VSD Applied: Strategic Decisions</w:t>
      </w:r>
      <w:r/>
    </w:p>
    <w:p>
      <w:pPr>
        <w:pStyle w:val="963"/>
        <w:pBdr/>
        <w:spacing/>
        <w:ind/>
        <w:rPr/>
      </w:pPr>
      <w:r>
        <w:t xml:space="preserve">This section uses ISLAMU Event to illustrate ho</w:t>
      </w:r>
      <w:r>
        <w:t xml:space="preserve">w I-VSD structures strategic decisions before implementation details are chosen. The decisions below are design commitments and governance choices; they are not evidence that Event has already achieved trust, sustainability, or harm reduction in operation.</w:t>
      </w:r>
      <w:r/>
    </w:p>
    <w:tbl>
      <w:tblPr>
        <w:tblStyle w:val="996"/>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cPr>
          <w:p>
            <w:pPr>
              <w:pStyle w:val="964"/>
              <w:pBdr/>
              <w:spacing/>
              <w:ind/>
              <w:rPr/>
            </w:pPr>
            <w:r>
              <w:t xml:space="preserve">Strategic decision</w:t>
            </w:r>
            <w:r/>
          </w:p>
        </w:tc>
        <w:tc>
          <w:tcPr>
            <w:tcBorders/>
          </w:tcPr>
          <w:p>
            <w:pPr>
              <w:pStyle w:val="964"/>
              <w:pBdr/>
              <w:spacing/>
              <w:ind/>
              <w:rPr/>
            </w:pPr>
            <w:r>
              <w:t xml:space="preserve">General I-VSD heuristic</w:t>
            </w:r>
            <w:r/>
          </w:p>
        </w:tc>
        <w:tc>
          <w:tcPr>
            <w:tcBorders/>
          </w:tcPr>
          <w:p>
            <w:pPr>
              <w:pStyle w:val="964"/>
              <w:pBdr/>
              <w:spacing/>
              <w:ind/>
              <w:rPr/>
            </w:pPr>
            <w:r>
              <w:t xml:space="preserve">Event-specific decision</w:t>
            </w:r>
            <w:r/>
          </w:p>
        </w:tc>
        <w:tc>
          <w:tcPr>
            <w:tcBorders/>
          </w:tcPr>
          <w:p>
            <w:pPr>
              <w:pStyle w:val="964"/>
              <w:pBdr/>
              <w:spacing/>
              <w:ind/>
              <w:rPr/>
            </w:pPr>
            <w:r>
              <w:t xml:space="preserve">Current evidence level</w:t>
            </w:r>
            <w:r/>
          </w:p>
        </w:tc>
        <w:tc>
          <w:tcPr>
            <w:tcBorders/>
          </w:tcPr>
          <w:p>
            <w:pPr>
              <w:pStyle w:val="964"/>
              <w:pBdr/>
              <w:spacing/>
              <w:ind/>
              <w:rPr/>
            </w:pPr>
            <w:r>
              <w:t xml:space="preserve">Limitation or open risk</w:t>
            </w:r>
            <w:r/>
          </w:p>
        </w:tc>
      </w:tr>
      <w:tr>
        <w:trPr/>
        <w:tc>
          <w:tcPr>
            <w:tcBorders/>
          </w:tcPr>
          <w:p>
            <w:pPr>
              <w:pStyle w:val="964"/>
              <w:pBdr/>
              <w:spacing/>
              <w:ind/>
              <w:rPr/>
            </w:pPr>
            <w:r>
              <w:t xml:space="preserve">Curation boundary</w:t>
            </w:r>
            <w:r/>
          </w:p>
        </w:tc>
        <w:tc>
          <w:tcPr>
            <w:tcBorders/>
          </w:tcPr>
          <w:p>
            <w:pPr>
              <w:pStyle w:val="964"/>
              <w:pBdr/>
              <w:spacing/>
              <w:ind/>
              <w:rPr/>
            </w:pPr>
            <w:r>
              <w:t xml:space="preserve">A provider should make the moral purpose of a platform explicit and align content rules with that purpose.</w:t>
            </w:r>
            <w:r/>
          </w:p>
        </w:tc>
        <w:tc>
          <w:tcPr>
            <w:tcBorders/>
          </w:tcPr>
          <w:p>
            <w:pPr>
              <w:pStyle w:val="964"/>
              <w:pBdr/>
              <w:spacing/>
              <w:ind/>
              <w:rPr/>
            </w:pPr>
            <w:r>
              <w:t xml:space="preserve">The official Event instance is scoped to Islamic events, with guidelines aligned to the selected Sunni ethical scope of the thesis.</w:t>
            </w:r>
            <w:r/>
          </w:p>
        </w:tc>
        <w:tc>
          <w:tcPr>
            <w:tcBorders/>
          </w:tcPr>
          <w:p>
            <w:pPr>
              <w:pStyle w:val="964"/>
              <w:pBdr/>
              <w:spacing/>
              <w:ind/>
              <w:rPr/>
            </w:pPr>
            <w:r>
              <w:t xml:space="preserve">Governance-design evidence: scope, category design, moderation review, public guidelines, and appeal paths are treated as design requirements.</w:t>
            </w:r>
            <w:r/>
          </w:p>
        </w:tc>
        <w:tc>
          <w:tcPr>
            <w:tcBorders/>
          </w:tcPr>
          <w:p>
            <w:pPr>
              <w:pStyle w:val="964"/>
              <w:pBdr/>
              <w:spacing/>
              <w:ind/>
              <w:rPr/>
            </w:pPr>
            <w:r>
              <w:t xml:space="preserve">Islamic-event boundaries can involve interpretive disagreement; the case needs governance review, transparent criteria, and stakeholder feedback rather than hidden ad hoc decisions.</w:t>
            </w:r>
            <w:r/>
          </w:p>
        </w:tc>
      </w:tr>
      <w:tr>
        <w:trPr/>
        <w:tc>
          <w:tcPr>
            <w:tcBorders/>
          </w:tcPr>
          <w:p>
            <w:pPr>
              <w:pStyle w:val="964"/>
              <w:pBdr/>
              <w:spacing/>
              <w:ind/>
              <w:rPr/>
            </w:pPr>
            <w:r>
              <w:t xml:space="preserve">Anti-scam and instance safety</w:t>
            </w:r>
            <w:r/>
          </w:p>
        </w:tc>
        <w:tc>
          <w:tcPr>
            <w:tcBorders/>
          </w:tcPr>
          <w:p>
            <w:pPr>
              <w:pStyle w:val="964"/>
              <w:pBdr/>
              <w:spacing/>
              <w:ind/>
              <w:rPr/>
            </w:pPr>
            <w:r>
              <w:t xml:space="preserve">Open or federated systems should reduce foreseeable harm without making legitimate participation unnecessarily difficult.</w:t>
            </w:r>
            <w:r/>
          </w:p>
        </w:tc>
        <w:tc>
          <w:tcPr>
            <w:tcBorders/>
          </w:tcPr>
          <w:p>
            <w:pPr>
              <w:pStyle w:val="964"/>
              <w:pBdr/>
              <w:spacing/>
              <w:ind/>
              <w:rPr/>
            </w:pPr>
            <w:r>
              <w:t xml:space="preserve">Event distinguishes official and self-hosted instances and treats reporting, instance metadata, admin hierarchy, tenant/platform separation, authorization-aware affordances, and federation policy as safety-relevant controls.</w:t>
            </w:r>
            <w:r/>
          </w:p>
        </w:tc>
        <w:tc>
          <w:tcPr>
            <w:tcBorders/>
          </w:tcPr>
          <w:p>
            <w:pPr>
              <w:pStyle w:val="964"/>
              <w:pBdr/>
              <w:spacing/>
              <w:ind/>
              <w:rPr/>
            </w:pPr>
            <w:r>
              <w:t xml:space="preserve">Implementation-traceability evidence exists for administrative boundaries, tenant separation, server-side authorization, and safety-oriented governance design; fraud-reporting and incident practice still require operational evidence.</w:t>
            </w:r>
            <w:r/>
          </w:p>
        </w:tc>
        <w:tc>
          <w:tcPr>
            <w:tcBorders/>
          </w:tcPr>
          <w:p>
            <w:pPr>
              <w:pStyle w:val="964"/>
              <w:pBdr/>
              <w:spacing/>
              <w:ind/>
              <w:rPr/>
            </w:pPr>
            <w:r>
              <w:t xml:space="preserve">Reports, blocklists, labels, and authority boundaries can be abused or applied unfairly; the design needs review procedures, appeal paths, evidence standards, and incident review.</w:t>
            </w:r>
            <w:r/>
          </w:p>
        </w:tc>
      </w:tr>
      <w:tr>
        <w:trPr/>
        <w:tc>
          <w:tcPr>
            <w:tcBorders/>
          </w:tcPr>
          <w:p>
            <w:pPr>
              <w:pStyle w:val="964"/>
              <w:pBdr/>
              <w:spacing/>
              <w:ind/>
              <w:rPr/>
            </w:pPr>
            <w:r>
              <w:t xml:space="preserve">Ethical ticketing and payments</w:t>
            </w:r>
            <w:r/>
          </w:p>
        </w:tc>
        <w:tc>
          <w:tcPr>
            <w:tcBorders/>
          </w:tcPr>
          <w:p>
            <w:pPr>
              <w:pStyle w:val="964"/>
              <w:pBdr/>
              <w:spacing/>
              <w:ind/>
              <w:rPr/>
            </w:pPr>
            <w:r>
              <w:t xml:space="preserve">Monetization should be transparent, proportionate, and connected to real service costs rather than exploitation of dependency.</w:t>
            </w:r>
            <w:r/>
          </w:p>
        </w:tc>
        <w:tc>
          <w:tcPr>
            <w:tcBorders/>
          </w:tcPr>
          <w:p>
            <w:pPr>
              <w:pStyle w:val="964"/>
              <w:pBdr/>
              <w:spacing/>
              <w:ind/>
              <w:rPr/>
            </w:pPr>
            <w:r>
              <w:t xml:space="preserve">Event prioritizes free events and treats any fees, payment-provider choices, receipts, organizer dashboards, and terms as transparency-sensitive design areas.</w:t>
            </w:r>
            <w:r/>
          </w:p>
        </w:tc>
        <w:tc>
          <w:tcPr>
            <w:tcBorders/>
          </w:tcPr>
          <w:p>
            <w:pPr>
              <w:pStyle w:val="964"/>
              <w:pBdr/>
              <w:spacing/>
              <w:ind/>
              <w:rPr/>
            </w:pPr>
            <w:r>
              <w:t xml:space="preserve">Design and business-model evidence: payment language can be aligned with Sidq and Amanah by showing what is paid, to whom, and why.</w:t>
            </w:r>
            <w:r/>
          </w:p>
        </w:tc>
        <w:tc>
          <w:tcPr>
            <w:tcBorders/>
          </w:tcPr>
          <w:p>
            <w:pPr>
              <w:pStyle w:val="964"/>
              <w:pBdr/>
              <w:spacing/>
              <w:ind/>
              <w:rPr/>
            </w:pPr>
            <w:r>
              <w:t xml:space="preserve">Payment processors, taxes, refunds, chargebacks, and jurisdictional rules may complicate the ideal; financial and scholarly review are still required for stronger claims.</w:t>
            </w:r>
            <w:r/>
          </w:p>
        </w:tc>
      </w:tr>
      <w:tr>
        <w:trPr/>
        <w:tc>
          <w:tcPr>
            <w:tcBorders/>
          </w:tcPr>
          <w:p>
            <w:pPr>
              <w:pStyle w:val="964"/>
              <w:pBdr/>
              <w:spacing/>
              <w:ind/>
              <w:rPr/>
            </w:pPr>
            <w:r>
              <w:t xml:space="preserve">Privacy-oriented strategy</w:t>
            </w:r>
            <w:r/>
          </w:p>
        </w:tc>
        <w:tc>
          <w:tcPr>
            <w:tcBorders/>
          </w:tcPr>
          <w:p>
            <w:pPr>
              <w:pStyle w:val="964"/>
              <w:pBdr/>
              <w:spacing/>
              <w:ind/>
              <w:rPr/>
            </w:pPr>
            <w:r>
              <w:t xml:space="preserve">A provider entrusted with community data should collect only what is needed, explain why, and preserve user control where possible.</w:t>
            </w:r>
            <w:r/>
          </w:p>
        </w:tc>
        <w:tc>
          <w:tcPr>
            <w:tcBorders/>
          </w:tcPr>
          <w:p>
            <w:pPr>
              <w:pStyle w:val="964"/>
              <w:pBdr/>
              <w:spacing/>
              <w:ind/>
              <w:rPr/>
            </w:pPr>
            <w:r>
              <w:t xml:space="preserve">Current Event evidence supports privacy as architecture and data-model design through BFF token handling, tenant isolation, PII-split modeling, scoped contact-sharing consent, export/delete-oriented mechanisms, and self-hosting options.</w:t>
            </w:r>
            <w:r/>
          </w:p>
        </w:tc>
        <w:tc>
          <w:tcPr>
            <w:tcBorders/>
          </w:tcPr>
          <w:p>
            <w:pPr>
              <w:pStyle w:val="964"/>
              <w:pBdr/>
              <w:spacing/>
              <w:ind/>
              <w:rPr/>
            </w:pPr>
            <w:r>
              <w:t xml:space="preserve">Implementation-traceability evidence: privacy concerns are reflected in authentication boundaries, tenant filters, data modeling, consent records, and portability mechanisms.</w:t>
            </w:r>
            <w:r/>
          </w:p>
        </w:tc>
        <w:tc>
          <w:tcPr>
            <w:tcBorders/>
          </w:tcPr>
          <w:p>
            <w:pPr>
              <w:pStyle w:val="964"/>
              <w:pBdr/>
              <w:spacing/>
              <w:ind/>
              <w:rPr/>
            </w:pPr>
            <w:r>
              <w:t xml:space="preserve">Privacy outcomes require technical audits, incident history, retention review, operational evidence, and user research; design intention alone is not enough.</w:t>
            </w:r>
            <w:r/>
          </w:p>
        </w:tc>
      </w:tr>
      <w:tr>
        <w:trPr/>
        <w:tc>
          <w:tcPr>
            <w:tcBorders/>
          </w:tcPr>
          <w:p>
            <w:pPr>
              <w:pStyle w:val="964"/>
              <w:pBdr/>
              <w:spacing/>
              <w:ind/>
              <w:rPr/>
            </w:pPr>
            <w:r>
              <w:t xml:space="preserve">Federation and portability</w:t>
            </w:r>
            <w:r/>
          </w:p>
        </w:tc>
        <w:tc>
          <w:tcPr>
            <w:tcBorders/>
          </w:tcPr>
          <w:p>
            <w:pPr>
              <w:pStyle w:val="964"/>
              <w:pBdr/>
              <w:spacing/>
              <w:ind/>
              <w:rPr/>
            </w:pPr>
            <w:r>
              <w:t xml:space="preserve">Providers should reduce unjust lock-in and make exit, interoperability, and community autonomy credible.</w:t>
            </w:r>
            <w:r/>
          </w:p>
        </w:tc>
        <w:tc>
          <w:tcPr>
            <w:tcBorders/>
          </w:tcPr>
          <w:p>
            <w:pPr>
              <w:pStyle w:val="964"/>
              <w:pBdr/>
              <w:spacing/>
              <w:ind/>
              <w:rPr/>
            </w:pPr>
            <w:r>
              <w:t xml:space="preserve">Event currently supports portability as a design direction through self-hosting, tenant autonomy, and documented federation groundwork, especially ATProto/PDS-oriented records and outbox-based synchronization concepts where implemented.</w:t>
            </w:r>
            <w:r/>
          </w:p>
        </w:tc>
        <w:tc>
          <w:tcPr>
            <w:tcBorders/>
          </w:tcPr>
          <w:p>
            <w:pPr>
              <w:pStyle w:val="964"/>
              <w:pBdr/>
              <w:spacing/>
              <w:ind/>
              <w:rPr/>
            </w:pPr>
            <w:r>
              <w:t xml:space="preserve">Current evidence supports self-hosting and federation groundwork, not mature public federation. Federation policy, instance boundaries, sync behavior, moderation controls, identity handling, and interoperability testing remain ethical design concerns.</w:t>
            </w:r>
            <w:r/>
          </w:p>
        </w:tc>
        <w:tc>
          <w:tcPr>
            <w:tcBorders/>
          </w:tcPr>
          <w:p>
            <w:pPr>
              <w:pStyle w:val="964"/>
              <w:pBdr/>
              <w:spacing/>
              <w:ind/>
              <w:rPr/>
            </w:pPr>
            <w:r>
              <w:t xml:space="preserve">Federation increases moderation, spam, identity, compatibility, and governance complexity; the case illustrates roadmap-bound interoperability work, not mature public federation or easy/safe self-hosting.</w:t>
            </w:r>
            <w:r/>
          </w:p>
        </w:tc>
      </w:tr>
      <w:tr>
        <w:trPr/>
        <w:tc>
          <w:tcPr>
            <w:tcBorders/>
          </w:tcPr>
          <w:p>
            <w:pPr>
              <w:pStyle w:val="964"/>
              <w:pBdr/>
              <w:spacing/>
              <w:ind/>
              <w:rPr/>
            </w:pPr>
            <w:r>
              <w:t xml:space="preserve">Client and instance choice</w:t>
            </w:r>
            <w:r/>
          </w:p>
        </w:tc>
        <w:tc>
          <w:tcPr>
            <w:tcBorders/>
          </w:tcPr>
          <w:p>
            <w:pPr>
              <w:pStyle w:val="964"/>
              <w:pBdr/>
              <w:spacing/>
              <w:ind/>
              <w:rPr/>
            </w:pPr>
            <w:r>
              <w:t xml:space="preserve">Sidq, Amanah, Adl, La Darar, and user freedom require that future clients do not turn an open, self-hostable platform into an official-instance-only ecosystem.</w:t>
            </w:r>
            <w:r/>
          </w:p>
        </w:tc>
        <w:tc>
          <w:tcPr>
            <w:tcBorders/>
          </w:tcPr>
          <w:p>
            <w:pPr>
              <w:pStyle w:val="964"/>
              <w:pBdr/>
              <w:spacing/>
              <w:ind/>
              <w:rPr/>
            </w:pPr>
            <w:r>
              <w:t xml:space="preserve">Future mobile and desktop clients should ask for an A</w:t>
            </w:r>
            <w:r>
              <w:t xml:space="preserve">PI or instance on first launch, offer a low-friction official ISLAMU instance option, show a verified instance list, allow custom URL input with clear setup guidance, and support both instance switching and tenant switching inside multi-tenant deployments.</w:t>
            </w:r>
            <w:r/>
          </w:p>
        </w:tc>
        <w:tc>
          <w:tcPr>
            <w:tcBorders/>
          </w:tcPr>
          <w:p>
            <w:pPr>
              <w:pStyle w:val="964"/>
              <w:pBdr/>
              <w:spacing/>
              <w:ind/>
              <w:rPr/>
            </w:pPr>
            <w:r>
              <w:t xml:space="preserve">Future design direction and author design reasoning; not current implemented-client evidence.</w:t>
            </w:r>
            <w:r/>
          </w:p>
        </w:tc>
        <w:tc>
          <w:tcPr>
            <w:tcBorders/>
          </w:tcPr>
          <w:p>
            <w:pPr>
              <w:pStyle w:val="964"/>
              <w:pBdr/>
              <w:spacing/>
              <w:ind/>
              <w:rPr/>
            </w:pPr>
            <w:r>
              <w:t xml:space="preserve">Defaults can become dark patterns if the official instance is visually privileged, custom URLs are hidden, or self-hosting is technically possible but practically unusable. Needs usability testing, operator documentation, and governance review.</w:t>
            </w:r>
            <w:r/>
          </w:p>
        </w:tc>
      </w:tr>
      <w:tr>
        <w:trPr/>
        <w:tc>
          <w:tcPr>
            <w:tcBorders/>
          </w:tcPr>
          <w:p>
            <w:pPr>
              <w:pStyle w:val="964"/>
              <w:pBdr/>
              <w:spacing/>
              <w:ind/>
              <w:rPr/>
            </w:pPr>
            <w:r>
              <w:t xml:space="preserve">Prayer-relative scheduling</w:t>
            </w:r>
            <w:r/>
          </w:p>
        </w:tc>
        <w:tc>
          <w:tcPr>
            <w:tcBorders/>
          </w:tcPr>
          <w:p>
            <w:pPr>
              <w:pStyle w:val="964"/>
              <w:pBdr/>
              <w:spacing/>
              <w:ind/>
              <w:rPr/>
            </w:pPr>
            <w:r>
              <w:t xml:space="preserve">Software should adapt to important user practices where those practices are central to the community being served.</w:t>
            </w:r>
            <w:r/>
          </w:p>
        </w:tc>
        <w:tc>
          <w:tcPr>
            <w:tcBorders/>
          </w:tcPr>
          <w:p>
            <w:pPr>
              <w:pStyle w:val="964"/>
              <w:pBdr/>
              <w:spacing/>
              <w:ind/>
              <w:rPr/>
            </w:pPr>
            <w:r>
              <w:t xml:space="preserve">Event supports scheduling relative to prayer times, such as an event beginning after Maghrib or Isha rather than only at a static clock time.</w:t>
            </w:r>
            <w:r/>
          </w:p>
        </w:tc>
        <w:tc>
          <w:tcPr>
            <w:tcBorders/>
          </w:tcPr>
          <w:p>
            <w:pPr>
              <w:pStyle w:val="964"/>
              <w:pBdr/>
              <w:spacing/>
              <w:ind/>
              <w:rPr/>
            </w:pPr>
            <w:r>
              <w:t xml:space="preserve">Design evidence: prayer-relative timing makes religious practice visible as a scheduling requirement rather than an afterthought.</w:t>
            </w:r>
            <w:r/>
          </w:p>
        </w:tc>
        <w:tc>
          <w:tcPr>
            <w:tcBorders/>
          </w:tcPr>
          <w:p>
            <w:pPr>
              <w:pStyle w:val="964"/>
              <w:pBdr/>
              <w:spacing/>
              <w:ind/>
              <w:rPr/>
            </w:pPr>
            <w:r>
              <w:t xml:space="preserve">Prayer-time methods vary by community and location; the design must allow transparent configuration and avoid pretending that one calculation method solves all cases.</w:t>
            </w:r>
            <w:r/>
          </w:p>
        </w:tc>
      </w:tr>
      <w:tr>
        <w:trPr/>
        <w:tc>
          <w:tcPr>
            <w:tcBorders/>
          </w:tcPr>
          <w:p>
            <w:pPr>
              <w:pStyle w:val="964"/>
              <w:pBdr/>
              <w:spacing/>
              <w:ind/>
              <w:rPr/>
            </w:pPr>
            <w:r>
              <w:t xml:space="preserve">Two-tier verification</w:t>
            </w:r>
            <w:r/>
          </w:p>
        </w:tc>
        <w:tc>
          <w:tcPr>
            <w:tcBorders/>
          </w:tcPr>
          <w:p>
            <w:pPr>
              <w:pStyle w:val="964"/>
              <w:pBdr/>
              <w:spacing/>
              <w:ind/>
              <w:rPr/>
            </w:pPr>
            <w:r>
              <w:t xml:space="preserve">Access control should be proportionate to risk instead of simply open to everyone or closed to everyone.</w:t>
            </w:r>
            <w:r/>
          </w:p>
        </w:tc>
        <w:tc>
          <w:tcPr>
            <w:tcBorders/>
          </w:tcPr>
          <w:p>
            <w:pPr>
              <w:pStyle w:val="964"/>
              <w:pBdr/>
              <w:spacing/>
              <w:ind/>
              <w:rPr/>
            </w:pPr>
            <w:r>
              <w:t xml:space="preserve">Event distinguishes user-reported or unverified events from verified organizations, giving users trust signals without banning all small organizers by default.</w:t>
            </w:r>
            <w:r/>
          </w:p>
        </w:tc>
        <w:tc>
          <w:tcPr>
            <w:tcBorders/>
          </w:tcPr>
          <w:p>
            <w:pPr>
              <w:pStyle w:val="964"/>
              <w:pBdr/>
              <w:spacing/>
              <w:ind/>
              <w:rPr/>
            </w:pPr>
            <w:r>
              <w:t xml:space="preserve">Governance-design evidence: verification labels, organizer profiles, document checks, risk thresholds, and moderation escalation become explicit design concerns.</w:t>
            </w:r>
            <w:r/>
          </w:p>
        </w:tc>
        <w:tc>
          <w:tcPr>
            <w:tcBorders/>
          </w:tcPr>
          <w:p>
            <w:pPr>
              <w:pStyle w:val="964"/>
              <w:pBdr/>
              <w:spacing/>
              <w:ind/>
              <w:rPr/>
            </w:pPr>
            <w:r>
              <w:t xml:space="preserve">Verification can exclude small or informal community groups; the design needs appeal paths, periodic review, and clear wording that avoids overstating certainty.</w:t>
            </w:r>
            <w:r/>
          </w:p>
        </w:tc>
      </w:tr>
    </w:tbl>
    <w:p>
      <w:pPr>
        <w:pStyle w:val="978"/>
        <w:pBdr/>
        <w:spacing/>
        <w:ind/>
        <w:rPr/>
      </w:pPr>
      <w:r/>
      <w:bookmarkStart w:id="77" w:name="strategic-traceability"/>
      <w:r>
        <w:t xml:space="preserve">Strategic Traceability</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I-VSD domain</w:t>
            </w:r>
            <w:r/>
          </w:p>
        </w:tc>
        <w:tc>
          <w:tcPr>
            <w:tcBorders/>
          </w:tcPr>
          <w:p>
            <w:pPr>
              <w:pStyle w:val="964"/>
              <w:pBdr/>
              <w:spacing/>
              <w:ind/>
              <w:rPr/>
            </w:pPr>
            <w:r>
              <w:t xml:space="preserve">Design decision</w:t>
            </w:r>
            <w:r/>
          </w:p>
        </w:tc>
        <w:tc>
          <w:tcPr>
            <w:tcBorders/>
          </w:tcPr>
          <w:p>
            <w:pPr>
              <w:pStyle w:val="964"/>
              <w:pBdr/>
              <w:spacing/>
              <w:ind/>
              <w:rPr/>
            </w:pPr>
            <w:r>
              <w:t xml:space="preserve">Current evidence level</w:t>
            </w:r>
            <w:r/>
          </w:p>
        </w:tc>
        <w:tc>
          <w:tcPr>
            <w:tcBorders/>
          </w:tcPr>
          <w:p>
            <w:pPr>
              <w:pStyle w:val="964"/>
              <w:pBdr/>
              <w:spacing/>
              <w:ind/>
              <w:rPr/>
            </w:pPr>
            <w:r>
              <w:t xml:space="preserve">Validation still needed</w:t>
            </w:r>
            <w:r/>
          </w:p>
        </w:tc>
      </w:tr>
      <w:tr>
        <w:trPr/>
        <w:tc>
          <w:tcPr>
            <w:tcBorders/>
          </w:tcPr>
          <w:p>
            <w:pPr>
              <w:pStyle w:val="964"/>
              <w:pBdr/>
              <w:spacing/>
              <w:ind/>
              <w:rPr/>
            </w:pPr>
            <w:r>
              <w:t xml:space="preserve">Strategic</w:t>
            </w:r>
            <w:r/>
          </w:p>
        </w:tc>
        <w:tc>
          <w:tcPr>
            <w:tcBorders/>
          </w:tcPr>
          <w:p>
            <w:pPr>
              <w:pStyle w:val="964"/>
              <w:pBdr/>
              <w:spacing/>
              <w:ind/>
              <w:rPr/>
            </w:pPr>
            <w:r>
              <w:t xml:space="preserve">Islamic curation scope, transparent fee posture, self-hosting posture, federation/portability posture</w:t>
            </w:r>
            <w:r/>
          </w:p>
        </w:tc>
        <w:tc>
          <w:tcPr>
            <w:tcBorders/>
          </w:tcPr>
          <w:p>
            <w:pPr>
              <w:pStyle w:val="964"/>
              <w:pBdr/>
              <w:spacing/>
              <w:ind/>
              <w:rPr/>
            </w:pPr>
            <w:r>
              <w:t xml:space="preserve">Illustrative design reasoning supported by current product and governance evidence</w:t>
            </w:r>
            <w:r/>
          </w:p>
        </w:tc>
        <w:tc>
          <w:tcPr>
            <w:tcBorders/>
          </w:tcPr>
          <w:p>
            <w:pPr>
              <w:pStyle w:val="964"/>
              <w:pBdr/>
              <w:spacing/>
              <w:ind/>
              <w:rPr/>
            </w:pPr>
            <w:r>
              <w:t xml:space="preserve">Stakeholder review of scope, fairness, fee comprehension, and portability needs</w:t>
            </w:r>
            <w:r/>
          </w:p>
        </w:tc>
      </w:tr>
      <w:tr>
        <w:trPr/>
        <w:tc>
          <w:tcPr>
            <w:tcBorders/>
          </w:tcPr>
          <w:p>
            <w:pPr>
              <w:pStyle w:val="964"/>
              <w:pBdr/>
              <w:spacing/>
              <w:ind/>
              <w:rPr/>
            </w:pPr>
            <w:r>
              <w:t xml:space="preserve">Design</w:t>
            </w:r>
            <w:r/>
          </w:p>
        </w:tc>
        <w:tc>
          <w:tcPr>
            <w:tcBorders/>
          </w:tcPr>
          <w:p>
            <w:pPr>
              <w:pStyle w:val="964"/>
              <w:pBdr/>
              <w:spacing/>
              <w:ind/>
              <w:rPr/>
            </w:pPr>
            <w:r>
              <w:t xml:space="preserve">Guidelines, verification labels, fee breakdowns, event-status wording, instance labels</w:t>
            </w:r>
            <w:r/>
          </w:p>
        </w:tc>
        <w:tc>
          <w:tcPr>
            <w:tcBorders/>
          </w:tcPr>
          <w:p>
            <w:pPr>
              <w:pStyle w:val="964"/>
              <w:pBdr/>
              <w:spacing/>
              <w:ind/>
              <w:rPr/>
            </w:pPr>
            <w:r>
              <w:t xml:space="preserve">Design claim when implemented and documented</w:t>
            </w:r>
            <w:r/>
          </w:p>
        </w:tc>
        <w:tc>
          <w:tcPr>
            <w:tcBorders/>
          </w:tcPr>
          <w:p>
            <w:pPr>
              <w:pStyle w:val="964"/>
              <w:pBdr/>
              <w:spacing/>
              <w:ind/>
              <w:rPr/>
            </w:pPr>
            <w:r>
              <w:t xml:space="preserve">User comprehension testing and review of exclusion or mislabeling effects</w:t>
            </w:r>
            <w:r/>
          </w:p>
        </w:tc>
      </w:tr>
      <w:tr>
        <w:trPr/>
        <w:tc>
          <w:tcPr>
            <w:tcBorders/>
          </w:tcPr>
          <w:p>
            <w:pPr>
              <w:pStyle w:val="964"/>
              <w:pBdr/>
              <w:spacing/>
              <w:ind/>
              <w:rPr/>
            </w:pPr>
            <w:r>
              <w:t xml:space="preserve">Technical</w:t>
            </w:r>
            <w:r/>
          </w:p>
        </w:tc>
        <w:tc>
          <w:tcPr>
            <w:tcBorders/>
          </w:tcPr>
          <w:p>
            <w:pPr>
              <w:pStyle w:val="964"/>
              <w:pBdr/>
              <w:spacing/>
              <w:ind/>
              <w:rPr/>
            </w:pPr>
            <w:r>
              <w:t xml:space="preserve">Tenant isolation, authorization boundaries, BFF token handling, PII-split modeling, export/delete mechanisms, ATProto/PDS/outbox groundwork</w:t>
            </w:r>
            <w:r/>
          </w:p>
        </w:tc>
        <w:tc>
          <w:tcPr>
            <w:tcBorders/>
          </w:tcPr>
          <w:p>
            <w:pPr>
              <w:pStyle w:val="964"/>
              <w:pBdr/>
              <w:spacing/>
              <w:ind/>
              <w:rPr/>
            </w:pPr>
            <w:r>
              <w:t xml:space="preserve">Implementation-traceability evidence from current repository documentation and codebase report</w:t>
            </w:r>
            <w:r/>
          </w:p>
        </w:tc>
        <w:tc>
          <w:tcPr>
            <w:tcBorders/>
          </w:tcPr>
          <w:p>
            <w:pPr>
              <w:pStyle w:val="964"/>
              <w:pBdr/>
              <w:spacing/>
              <w:ind/>
              <w:rPr/>
            </w:pPr>
            <w:r>
              <w:t xml:space="preserve">Security/privacy review, interoperability testing, retention review, and abuse-case testing</w:t>
            </w:r>
            <w:r/>
          </w:p>
        </w:tc>
      </w:tr>
      <w:tr>
        <w:trPr/>
        <w:tc>
          <w:tcPr>
            <w:tcBorders/>
          </w:tcPr>
          <w:p>
            <w:pPr>
              <w:pStyle w:val="964"/>
              <w:pBdr/>
              <w:spacing/>
              <w:ind/>
              <w:rPr/>
            </w:pPr>
            <w:r>
              <w:t xml:space="preserve">Operational</w:t>
            </w:r>
            <w:r/>
          </w:p>
        </w:tc>
        <w:tc>
          <w:tcPr>
            <w:tcBorders/>
          </w:tcPr>
          <w:p>
            <w:pPr>
              <w:pStyle w:val="964"/>
              <w:pBdr/>
              <w:spacing/>
              <w:ind/>
              <w:rPr/>
            </w:pPr>
            <w:r>
              <w:t xml:space="preserve">Report handling, blocklist review, payment exceptions, moderation escalation, incident response</w:t>
            </w:r>
            <w:r/>
          </w:p>
        </w:tc>
        <w:tc>
          <w:tcPr>
            <w:tcBorders/>
          </w:tcPr>
          <w:p>
            <w:pPr>
              <w:pStyle w:val="964"/>
              <w:pBdr/>
              <w:spacing/>
              <w:ind/>
              <w:rPr/>
            </w:pPr>
            <w:r>
              <w:t xml:space="preserve">Operational design requirement; limited outcome evidence in thesis sources</w:t>
            </w:r>
            <w:r/>
          </w:p>
        </w:tc>
        <w:tc>
          <w:tcPr>
            <w:tcBorders/>
          </w:tcPr>
          <w:p>
            <w:pPr>
              <w:pStyle w:val="964"/>
              <w:pBdr/>
              <w:spacing/>
              <w:ind/>
              <w:rPr/>
            </w:pPr>
            <w:r>
              <w:t xml:space="preserve">Incident review, support metrics, moderation audit, and payment exception review</w:t>
            </w:r>
            <w:r/>
          </w:p>
        </w:tc>
      </w:tr>
      <w:tr>
        <w:trPr/>
        <w:tc>
          <w:tcPr>
            <w:tcBorders/>
          </w:tcPr>
          <w:p>
            <w:pPr>
              <w:pStyle w:val="964"/>
              <w:pBdr/>
              <w:spacing/>
              <w:ind/>
              <w:rPr/>
            </w:pPr>
            <w:r>
              <w:t xml:space="preserve">Governance</w:t>
            </w:r>
            <w:r/>
          </w:p>
        </w:tc>
        <w:tc>
          <w:tcPr>
            <w:tcBorders/>
          </w:tcPr>
          <w:p>
            <w:pPr>
              <w:pStyle w:val="964"/>
              <w:pBdr/>
              <w:spacing/>
              <w:ind/>
              <w:rPr/>
            </w:pPr>
            <w:r>
              <w:t xml:space="preserve">Curation criteria, instance policy, verification appeals, financial review, tenant/platform authority boundaries</w:t>
            </w:r>
            <w:r/>
          </w:p>
        </w:tc>
        <w:tc>
          <w:tcPr>
            <w:tcBorders/>
          </w:tcPr>
          <w:p>
            <w:pPr>
              <w:pStyle w:val="964"/>
              <w:pBdr/>
              <w:spacing/>
              <w:ind/>
              <w:rPr/>
            </w:pPr>
            <w:r>
              <w:t xml:space="preserve">Design/governance claim</w:t>
            </w:r>
            <w:r/>
          </w:p>
        </w:tc>
        <w:tc>
          <w:tcPr>
            <w:tcBorders/>
          </w:tcPr>
          <w:p>
            <w:pPr>
              <w:pStyle w:val="964"/>
              <w:pBdr/>
              <w:spacing/>
              <w:ind/>
              <w:rPr/>
            </w:pPr>
            <w:r>
              <w:t xml:space="preserve">Governance practice, appeal outcomes, stakeholder feedback, and financial transparency review</w:t>
            </w:r>
            <w:r/>
          </w:p>
        </w:tc>
      </w:tr>
      <w:tr>
        <w:trPr/>
        <w:tc>
          <w:tcPr>
            <w:tcBorders/>
          </w:tcPr>
          <w:p>
            <w:pPr>
              <w:pStyle w:val="964"/>
              <w:pBdr/>
              <w:spacing/>
              <w:ind/>
              <w:rPr/>
            </w:pPr>
            <w:r>
              <w:t xml:space="preserve">Evaluation</w:t>
            </w:r>
            <w:r/>
          </w:p>
        </w:tc>
        <w:tc>
          <w:tcPr>
            <w:tcBorders/>
          </w:tcPr>
          <w:p>
            <w:pPr>
              <w:pStyle w:val="964"/>
              <w:pBdr/>
              <w:spacing/>
              <w:ind/>
              <w:rPr/>
            </w:pPr>
            <w:r>
              <w:t xml:space="preserve">User trust, scam reduction, organizer satisfaction, privacy outcomes, accessibility outcomes, sustainability</w:t>
            </w:r>
            <w:r/>
          </w:p>
        </w:tc>
        <w:tc>
          <w:tcPr>
            <w:tcBorders/>
          </w:tcPr>
          <w:p>
            <w:pPr>
              <w:pStyle w:val="964"/>
              <w:pBdr/>
              <w:spacing/>
              <w:ind/>
              <w:rPr/>
            </w:pPr>
            <w:r>
              <w:t xml:space="preserve">Future empirical evaluation area</w:t>
            </w:r>
            <w:r/>
          </w:p>
        </w:tc>
        <w:tc>
          <w:tcPr>
            <w:tcBorders/>
          </w:tcPr>
          <w:p>
            <w:pPr>
              <w:pStyle w:val="964"/>
              <w:pBdr/>
              <w:spacing/>
              <w:ind/>
              <w:rPr/>
            </w:pPr>
            <w:r>
              <w:t xml:space="preserve">User research, deployment evidence, audits, accessibility testing, and longitudinal review</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5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4" o:spid="_x0000_s54" o:spt="1" type="#_x0000_t1" style="width:0.00pt;height:1.50pt;mso-wrap-distance-left:0.00pt;mso-wrap-distance-top:0.00pt;mso-wrap-distance-right:0.00pt;mso-wrap-distance-bottom:0.00pt;visibility:visible;" fillcolor="#FFFFFF" strokecolor="#000000"/>
            </w:pict>
          </mc:Fallback>
        </mc:AlternateContent>
      </w:r>
      <w:bookmarkEnd w:id="77"/>
      <w:bookmarkEnd w:id="78"/>
      <w:r/>
    </w:p>
    <w:p>
      <w:pPr>
        <w:pStyle w:val="977"/>
        <w:pBdr/>
        <w:spacing/>
        <w:ind/>
        <w:rPr/>
      </w:pPr>
      <w:r/>
      <w:bookmarkStart w:id="80" w:name="i-vsd-applied-technical-decisions"/>
      <w:r>
        <w:t xml:space="preserve">4.2.4 I-VSD Applied: Technical Decisions</w:t>
      </w:r>
      <w:r/>
    </w:p>
    <w:p>
      <w:pPr>
        <w:pStyle w:val="963"/>
        <w:pBdr/>
        <w:spacing/>
        <w:ind/>
        <w:rPr/>
      </w:pPr>
      <w:r>
        <w:t xml:space="preserve">This section translates I-VSD into technical design choices for the ISLAMU Event case. The focus is not on proving th</w:t>
      </w:r>
      <w:r>
        <w:t xml:space="preserve">at a specific stack is morally superior, but on showing how technical choices can embody or undermine Amanah, Sidq, Adl, La Darar, Wafa, Ihsan, Haya, and protection from Tajassus. The current ISLAMU Event repository strengthens this section as implementati</w:t>
      </w:r>
      <w:r>
        <w:t xml:space="preserve">on-traceability evidence: it shows how earlier design commitments have been translated into concrete architectural choices, while still leaving user outcomes, operational trust, security effectiveness, and accessibility effectiveness for future evaluation.</w:t>
      </w:r>
      <w:r/>
    </w:p>
    <w:tbl>
      <w:tblPr>
        <w:tblStyle w:val="996"/>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cPr>
          <w:p>
            <w:pPr>
              <w:pStyle w:val="964"/>
              <w:pBdr/>
              <w:spacing/>
              <w:ind/>
              <w:rPr/>
            </w:pPr>
            <w:r>
              <w:t xml:space="preserve">Technical decision</w:t>
            </w:r>
            <w:r/>
          </w:p>
        </w:tc>
        <w:tc>
          <w:tcPr>
            <w:tcBorders/>
          </w:tcPr>
          <w:p>
            <w:pPr>
              <w:pStyle w:val="964"/>
              <w:pBdr/>
              <w:spacing/>
              <w:ind/>
              <w:rPr/>
            </w:pPr>
            <w:r>
              <w:t xml:space="preserve">General I-VSD heuristic</w:t>
            </w:r>
            <w:r/>
          </w:p>
        </w:tc>
        <w:tc>
          <w:tcPr>
            <w:tcBorders/>
          </w:tcPr>
          <w:p>
            <w:pPr>
              <w:pStyle w:val="964"/>
              <w:pBdr/>
              <w:spacing/>
              <w:ind/>
              <w:rPr/>
            </w:pPr>
            <w:r>
              <w:t xml:space="preserve">ISLAMU Event-specific decision</w:t>
            </w:r>
            <w:r/>
          </w:p>
        </w:tc>
        <w:tc>
          <w:tcPr>
            <w:tcBorders/>
          </w:tcPr>
          <w:p>
            <w:pPr>
              <w:pStyle w:val="964"/>
              <w:pBdr/>
              <w:spacing/>
              <w:ind/>
              <w:rPr/>
            </w:pPr>
            <w:r>
              <w:t xml:space="preserve">Technical or design implication</w:t>
            </w:r>
            <w:r/>
          </w:p>
        </w:tc>
        <w:tc>
          <w:tcPr>
            <w:tcBorders/>
          </w:tcPr>
          <w:p>
            <w:pPr>
              <w:pStyle w:val="964"/>
              <w:pBdr/>
              <w:spacing/>
              <w:ind/>
              <w:rPr/>
            </w:pPr>
            <w:r>
              <w:t xml:space="preserve">Limitation or open risk</w:t>
            </w:r>
            <w:r/>
          </w:p>
        </w:tc>
      </w:tr>
      <w:tr>
        <w:trPr/>
        <w:tc>
          <w:tcPr>
            <w:tcBorders/>
          </w:tcPr>
          <w:p>
            <w:pPr>
              <w:pStyle w:val="964"/>
              <w:pBdr/>
              <w:spacing/>
              <w:ind/>
              <w:rPr/>
            </w:pPr>
            <w:r>
              <w:t xml:space="preserve">Technology stack selection</w:t>
            </w:r>
            <w:r/>
          </w:p>
        </w:tc>
        <w:tc>
          <w:tcPr>
            <w:tcBorders/>
          </w:tcPr>
          <w:p>
            <w:pPr>
              <w:pStyle w:val="964"/>
              <w:pBdr/>
              <w:spacing/>
              <w:ind/>
              <w:rPr/>
            </w:pPr>
            <w:r>
              <w:t xml:space="preserve">Infrastructure should support transparency, reliability, maintainability, and exit rather than hidden dependency.</w:t>
            </w:r>
            <w:r/>
          </w:p>
        </w:tc>
        <w:tc>
          <w:tcPr>
            <w:tcBorders/>
          </w:tcPr>
          <w:p>
            <w:pPr>
              <w:pStyle w:val="964"/>
              <w:pBdr/>
              <w:spacing/>
              <w:ind/>
              <w:rPr/>
            </w:pPr>
            <w:r>
              <w:t xml:space="preserve">The current implementation uses a concrete .NET-based stack: .NET 10, ASP.NET Core, Blazor/MudBlazor, PostgreSQL with EF Core, </w:t>
            </w:r>
            <w:r>
              <w:t xml:space="preserve">Keycloak for OIDC/OAuth2 authentication, Cerbos or a local provider for authorization, Serilog/OpenTelemetry for observability, Docker Compose and .NET Aspire for local/runtime orchestration, and TUnit/bUnit/integration/architecture tests for verification.</w:t>
            </w:r>
            <w:r/>
          </w:p>
        </w:tc>
        <w:tc>
          <w:tcPr>
            <w:tcBorders/>
          </w:tcPr>
          <w:p>
            <w:pPr>
              <w:pStyle w:val="964"/>
              <w:pBdr/>
              <w:spacing/>
              <w:ind/>
              <w:rPr/>
            </w:pPr>
            <w:r>
              <w:t xml:space="preserve">The stack makes self-hosting, typed domai</w:t>
            </w:r>
            <w:r>
              <w:t xml:space="preserve">n modeling, authorization boundaries, observability, and maintainable deployment more inspectable through repository documentation, Docker/Aspire deployment paths, release checklists, and operations docs than a purely closed or undocumented platform would.</w:t>
            </w:r>
            <w:r/>
          </w:p>
        </w:tc>
        <w:tc>
          <w:tcPr>
            <w:tcBorders/>
          </w:tcPr>
          <w:p>
            <w:pPr>
              <w:pStyle w:val="964"/>
              <w:pBdr/>
              <w:spacing/>
              <w:ind/>
              <w:rPr/>
            </w:pPr>
            <w:r>
              <w:t xml:space="preserve">Open-source and inspectable components do not automatically create ethical outcomes; maintainability, security updates, documentation, operational competence, and external review remain necessary.</w:t>
            </w:r>
            <w:r/>
          </w:p>
        </w:tc>
      </w:tr>
      <w:tr>
        <w:trPr/>
        <w:tc>
          <w:tcPr>
            <w:tcBorders/>
          </w:tcPr>
          <w:p>
            <w:pPr>
              <w:pStyle w:val="964"/>
              <w:pBdr/>
              <w:spacing/>
              <w:ind/>
              <w:rPr/>
            </w:pPr>
            <w:r>
              <w:t xml:space="preserve">Authorization and tenant boundaries</w:t>
            </w:r>
            <w:r/>
          </w:p>
        </w:tc>
        <w:tc>
          <w:tcPr>
            <w:tcBorders/>
          </w:tcPr>
          <w:p>
            <w:pPr>
              <w:pStyle w:val="964"/>
              <w:pBdr/>
              <w:spacing/>
              <w:ind/>
              <w:rPr/>
            </w:pPr>
            <w:r>
              <w:t xml:space="preserve">Adl and La Darar require bounded authority so that administrators, organizers, tenants, and users cannot silently exceed their rightful scope.</w:t>
            </w:r>
            <w:r/>
          </w:p>
        </w:tc>
        <w:tc>
          <w:tcPr>
            <w:tcBorders/>
          </w:tcPr>
          <w:p>
            <w:pPr>
              <w:pStyle w:val="964"/>
              <w:pBdr/>
              <w:spacing/>
              <w:ind/>
              <w:rPr/>
            </w:pPr>
            <w:r>
              <w:t xml:space="preserve">Event combines Keycloak authentication, a BFF token boundary, runtime-switchable Cerbos-or-local authorization, HATEOAS authorization-aware affordances, and EF Core tenant query filters.</w:t>
            </w:r>
            <w:r/>
          </w:p>
        </w:tc>
        <w:tc>
          <w:tcPr>
            <w:tcBorders/>
          </w:tcPr>
          <w:p>
            <w:pPr>
              <w:pStyle w:val="964"/>
              <w:pBdr/>
              <w:spacing/>
              <w:ind/>
              <w:rPr/>
            </w:pPr>
            <w:r>
              <w:t xml:space="preserve">User actions, API affordances, and tenant data access can be shaped by server-side authority checks rather than only by client-side role assumptions.</w:t>
            </w:r>
            <w:r/>
          </w:p>
        </w:tc>
        <w:tc>
          <w:tcPr>
            <w:tcBorders/>
          </w:tcPr>
          <w:p>
            <w:pPr>
              <w:pStyle w:val="964"/>
              <w:pBdr/>
              <w:spacing/>
              <w:ind/>
              <w:rPr/>
            </w:pPr>
            <w:r>
              <w:t xml:space="preserve">These are architecture and implementation controls, not proof that every policy is correct, every tenant boundary is flawless, or every deployment has achieved its security goals.</w:t>
            </w:r>
            <w:r/>
          </w:p>
        </w:tc>
      </w:tr>
      <w:tr>
        <w:trPr/>
        <w:tc>
          <w:tcPr>
            <w:tcBorders/>
          </w:tcPr>
          <w:p>
            <w:pPr>
              <w:pStyle w:val="964"/>
              <w:pBdr/>
              <w:spacing/>
              <w:ind/>
              <w:rPr/>
            </w:pPr>
            <w:r>
              <w:t xml:space="preserve">Data stewardship and privacy modeling</w:t>
            </w:r>
            <w:r/>
          </w:p>
        </w:tc>
        <w:tc>
          <w:tcPr>
            <w:tcBorders/>
          </w:tcPr>
          <w:p>
            <w:pPr>
              <w:pStyle w:val="964"/>
              <w:pBdr/>
              <w:spacing/>
              <w:ind/>
              <w:rPr/>
            </w:pPr>
            <w:r>
              <w:t xml:space="preserve">Amanah, Haya, and protection from Tajassus require minimizing unnecessary exposure while preserving legitimate audit and operational needs.</w:t>
            </w:r>
            <w:r/>
          </w:p>
        </w:tc>
        <w:tc>
          <w:tcPr>
            <w:tcBorders/>
          </w:tcPr>
          <w:p>
            <w:pPr>
              <w:pStyle w:val="964"/>
              <w:pBdr/>
              <w:spacing/>
              <w:ind/>
              <w:rPr/>
            </w:pPr>
            <w:r>
              <w:t xml:space="preserve">Event repository evidence includes PII-split domain modeling, contact-sharing consent concepts, API-key hashing patterns, trusted tenant resolution, idempotency, rate limiting, and storage-upload safety boundaries.</w:t>
            </w:r>
            <w:r/>
          </w:p>
        </w:tc>
        <w:tc>
          <w:tcPr>
            <w:tcBorders/>
          </w:tcPr>
          <w:p>
            <w:pPr>
              <w:pStyle w:val="964"/>
              <w:pBdr/>
              <w:spacing/>
              <w:ind/>
              <w:rPr/>
            </w:pPr>
            <w:r>
              <w:t xml:space="preserve">Privacy-sensitive data can be separated from durable operational records, and risky operations can be constrained through explicit flows and server-side checks.</w:t>
            </w:r>
            <w:r/>
          </w:p>
        </w:tc>
        <w:tc>
          <w:tcPr>
            <w:tcBorders/>
          </w:tcPr>
          <w:p>
            <w:pPr>
              <w:pStyle w:val="964"/>
              <w:pBdr/>
              <w:spacing/>
              <w:ind/>
              <w:rPr/>
            </w:pPr>
            <w:r>
              <w:t xml:space="preserve">The thesis should not claim achieved privacy outcomes without deployment evidence, retention review, incident handling evidence, and user-facing policy evaluation.</w:t>
            </w:r>
            <w:r/>
          </w:p>
        </w:tc>
      </w:tr>
      <w:tr>
        <w:trPr/>
        <w:tc>
          <w:tcPr>
            <w:tcBorders/>
          </w:tcPr>
          <w:p>
            <w:pPr>
              <w:pStyle w:val="964"/>
              <w:pBdr/>
              <w:spacing/>
              <w:ind/>
              <w:rPr/>
            </w:pPr>
            <w:r>
              <w:t xml:space="preserve">Event quality checklist</w:t>
            </w:r>
            <w:r/>
          </w:p>
        </w:tc>
        <w:tc>
          <w:tcPr>
            <w:tcBorders/>
          </w:tcPr>
          <w:p>
            <w:pPr>
              <w:pStyle w:val="964"/>
              <w:pBdr/>
              <w:spacing/>
              <w:ind/>
              <w:rPr/>
            </w:pPr>
            <w:r>
              <w:t xml:space="preserve">Ihsan requires minimum information quality when users rely on the platform to make real-world plans.</w:t>
            </w:r>
            <w:r/>
          </w:p>
        </w:tc>
        <w:tc>
          <w:tcPr>
            <w:tcBorders/>
          </w:tcPr>
          <w:p>
            <w:pPr>
              <w:pStyle w:val="964"/>
              <w:pBdr/>
              <w:spacing/>
              <w:ind/>
              <w:rPr/>
            </w:pPr>
            <w:r>
              <w:t xml:space="preserve">Event listings should provide clear titles, times, timezones, locations or meeting links, descriptions, organizer contact details, relevant media, categories, tags, and language metadata where appropriate.</w:t>
            </w:r>
            <w:r/>
          </w:p>
        </w:tc>
        <w:tc>
          <w:tcPr>
            <w:tcBorders/>
          </w:tcPr>
          <w:p>
            <w:pPr>
              <w:pStyle w:val="964"/>
              <w:pBdr/>
              <w:spacing/>
              <w:ind/>
              <w:rPr/>
            </w:pPr>
            <w:r>
              <w:t xml:space="preserve">Publishing workflows need checking rules, draft states, organizer guidance, and status messages that explain what must be revised.</w:t>
            </w:r>
            <w:r/>
          </w:p>
        </w:tc>
        <w:tc>
          <w:tcPr>
            <w:tcBorders/>
          </w:tcPr>
          <w:p>
            <w:pPr>
              <w:pStyle w:val="964"/>
              <w:pBdr/>
              <w:spacing/>
              <w:ind/>
              <w:rPr/>
            </w:pPr>
            <w:r>
              <w:t xml:space="preserve">Quality gates can burden small organizations; the design should assist organizers instead of turning quality control into exclusion.</w:t>
            </w:r>
            <w:r/>
          </w:p>
        </w:tc>
      </w:tr>
      <w:tr>
        <w:trPr/>
        <w:tc>
          <w:tcPr>
            <w:tcBorders/>
          </w:tcPr>
          <w:p>
            <w:pPr>
              <w:pStyle w:val="964"/>
              <w:pBdr/>
              <w:spacing/>
              <w:ind/>
              <w:rPr/>
            </w:pPr>
            <w:r>
              <w:t xml:space="preserve">Registration and attendance tracking</w:t>
            </w:r>
            <w:r/>
          </w:p>
        </w:tc>
        <w:tc>
          <w:tcPr>
            <w:tcBorders/>
          </w:tcPr>
          <w:p>
            <w:pPr>
              <w:pStyle w:val="964"/>
              <w:pBdr/>
              <w:spacing/>
              <w:ind/>
              <w:rPr/>
            </w:pPr>
            <w:r>
              <w:t xml:space="preserve">Commitments, capacity, and access should be handled fairly while preserving privacy.</w:t>
            </w:r>
            <w:r/>
          </w:p>
        </w:tc>
        <w:tc>
          <w:tcPr>
            <w:tcBorders/>
          </w:tcPr>
          <w:p>
            <w:pPr>
              <w:pStyle w:val="964"/>
              <w:pBdr/>
              <w:spacing/>
              <w:ind/>
              <w:rPr/>
            </w:pPr>
            <w:r>
              <w:t xml:space="preserve">Event supports registration-oriented concepts such as RSVP/registration flows, session capacity, waitlists, approvals, confirmations, and organizer-facing operational views.</w:t>
            </w:r>
            <w:r/>
          </w:p>
        </w:tc>
        <w:tc>
          <w:tcPr>
            <w:tcBorders/>
          </w:tcPr>
          <w:p>
            <w:pPr>
              <w:pStyle w:val="964"/>
              <w:pBdr/>
              <w:spacing/>
              <w:ind/>
              <w:rPr/>
            </w:pPr>
            <w:r>
              <w:t xml:space="preserve">Forms, reminders, attendance tools, and analytics must separate organizer needs from unnecessary public exposure of attendees.</w:t>
            </w:r>
            <w:r/>
          </w:p>
        </w:tc>
        <w:tc>
          <w:tcPr>
            <w:tcBorders/>
          </w:tcPr>
          <w:p>
            <w:pPr>
              <w:pStyle w:val="964"/>
              <w:pBdr/>
              <w:spacing/>
              <w:ind/>
              <w:rPr/>
            </w:pPr>
            <w:r>
              <w:t xml:space="preserve">Attendance analytics can become surveillance if retained or displayed carelessly; data minimization and retention limits are required.</w:t>
            </w:r>
            <w:r/>
          </w:p>
        </w:tc>
      </w:tr>
      <w:tr>
        <w:trPr/>
        <w:tc>
          <w:tcPr>
            <w:tcBorders/>
          </w:tcPr>
          <w:p>
            <w:pPr>
              <w:pStyle w:val="964"/>
              <w:pBdr/>
              <w:spacing/>
              <w:ind/>
              <w:rPr/>
            </w:pPr>
            <w:r>
              <w:t xml:space="preserve">Discovery, search, and recommendations</w:t>
            </w:r>
            <w:r/>
          </w:p>
        </w:tc>
        <w:tc>
          <w:tcPr>
            <w:tcBorders/>
          </w:tcPr>
          <w:p>
            <w:pPr>
              <w:pStyle w:val="964"/>
              <w:pBdr/>
              <w:spacing/>
              <w:ind/>
              <w:rPr/>
            </w:pPr>
            <w:r>
              <w:t xml:space="preserve">Discovery should help users find relevant events without manipulating attention or hiding alternatives.</w:t>
            </w:r>
            <w:r/>
          </w:p>
        </w:tc>
        <w:tc>
          <w:tcPr>
            <w:tcBorders/>
          </w:tcPr>
          <w:p>
            <w:pPr>
              <w:pStyle w:val="964"/>
              <w:pBdr/>
              <w:spacing/>
              <w:ind/>
              <w:rPr/>
            </w:pPr>
            <w:r>
              <w:t xml:space="preserve">Event can support transparent discovery through filters, cat</w:t>
            </w:r>
            <w:r>
              <w:t xml:space="preserve">egories, tags, dates, location, language, and organizer/event metadata. No current implementation evidence confirms Meilisearch as part of the Event stack, so dedicated search engines should remain future-extension possibilities unless separately verified.</w:t>
            </w:r>
            <w:r/>
          </w:p>
        </w:tc>
        <w:tc>
          <w:tcPr>
            <w:tcBorders/>
          </w:tcPr>
          <w:p>
            <w:pPr>
              <w:pStyle w:val="964"/>
              <w:pBdr/>
              <w:spacing/>
              <w:ind/>
              <w:rPr/>
            </w:pPr>
            <w:r>
              <w:t xml:space="preserve">Discovery design should favor user-stated interests, clear filters, chronological alternatives, and explainable ranking rather than paid placement or engagement bait.</w:t>
            </w:r>
            <w:r/>
          </w:p>
        </w:tc>
        <w:tc>
          <w:tcPr>
            <w:tcBorders/>
          </w:tcPr>
          <w:p>
            <w:pPr>
              <w:pStyle w:val="964"/>
              <w:pBdr/>
              <w:spacing/>
              <w:ind/>
              <w:rPr/>
            </w:pPr>
            <w:r>
              <w:t xml:space="preserve">Claims about fairness, usefulness, or non-manipulation require audits, user feedback, and monitoring after deployment.</w:t>
            </w:r>
            <w:r/>
          </w:p>
        </w:tc>
      </w:tr>
      <w:tr>
        <w:trPr/>
        <w:tc>
          <w:tcPr>
            <w:tcBorders/>
          </w:tcPr>
          <w:p>
            <w:pPr>
              <w:pStyle w:val="964"/>
              <w:pBdr/>
              <w:spacing/>
              <w:ind/>
              <w:rPr/>
            </w:pPr>
            <w:r>
              <w:t xml:space="preserve">Federation and portability</w:t>
            </w:r>
            <w:r/>
          </w:p>
        </w:tc>
        <w:tc>
          <w:tcPr>
            <w:tcBorders/>
          </w:tcPr>
          <w:p>
            <w:pPr>
              <w:pStyle w:val="964"/>
              <w:pBdr/>
              <w:spacing/>
              <w:ind/>
              <w:rPr/>
            </w:pPr>
            <w:r>
              <w:t xml:space="preserve">Providers should reduce unjust lock-in and make exit, interoperability, and community autonomy credible.</w:t>
            </w:r>
            <w:r/>
          </w:p>
        </w:tc>
        <w:tc>
          <w:tcPr>
            <w:tcBorders/>
          </w:tcPr>
          <w:p>
            <w:pPr>
              <w:pStyle w:val="964"/>
              <w:pBdr/>
              <w:spacing/>
              <w:ind/>
              <w:rPr/>
            </w:pPr>
            <w:r>
              <w:t xml:space="preserve">The current evid</w:t>
            </w:r>
            <w:r>
              <w:t xml:space="preserve">ence supports federation groundwork, especially ATProto/PDS-oriented records and outbound sync/outbox concepts. It should not be described as finished ActivityPub federation or a mature public federation server unless later evidence verifies that behavior.</w:t>
            </w:r>
            <w:r/>
          </w:p>
        </w:tc>
        <w:tc>
          <w:tcPr>
            <w:tcBorders/>
          </w:tcPr>
          <w:p>
            <w:pPr>
              <w:pStyle w:val="964"/>
              <w:pBdr/>
              <w:spacing/>
              <w:ind/>
              <w:rPr/>
            </w:pPr>
            <w:r>
              <w:t xml:space="preserve">Federation remains relevant as a portability and anti-lock-in design direction, with partial implementation evidence and a clear roadmap boundary.</w:t>
            </w:r>
            <w:r/>
          </w:p>
        </w:tc>
        <w:tc>
          <w:tcPr>
            <w:tcBorders/>
          </w:tcPr>
          <w:p>
            <w:pPr>
              <w:pStyle w:val="964"/>
              <w:pBdr/>
              <w:spacing/>
              <w:ind/>
              <w:rPr/>
            </w:pPr>
            <w:r>
              <w:t xml:space="preserve">Federation increases moderation, spam, identity, compatibility, and governance complexity; implementation groundwork does not prove safe or easy federation.</w:t>
            </w:r>
            <w:r/>
          </w:p>
        </w:tc>
      </w:tr>
      <w:tr>
        <w:trPr/>
        <w:tc>
          <w:tcPr>
            <w:tcBorders/>
          </w:tcPr>
          <w:p>
            <w:pPr>
              <w:pStyle w:val="964"/>
              <w:pBdr/>
              <w:spacing/>
              <w:ind/>
              <w:rPr/>
            </w:pPr>
            <w:r>
              <w:t xml:space="preserve">Client instance configuration</w:t>
            </w:r>
            <w:r/>
          </w:p>
        </w:tc>
        <w:tc>
          <w:tcPr>
            <w:tcBorders/>
          </w:tcPr>
          <w:p>
            <w:pPr>
              <w:pStyle w:val="964"/>
              <w:pBdr/>
              <w:spacing/>
              <w:ind/>
              <w:rPr/>
            </w:pPr>
            <w:r>
              <w:t xml:space="preserve">Client apps should preserve portability rather than silently centralizing users onto one provider.</w:t>
            </w:r>
            <w:r/>
          </w:p>
        </w:tc>
        <w:tc>
          <w:tcPr>
            <w:tcBorders/>
          </w:tcPr>
          <w:p>
            <w:pPr>
              <w:pStyle w:val="964"/>
              <w:pBdr/>
              <w:spacing/>
              <w:ind/>
              <w:rPr/>
            </w:pPr>
            <w:r>
              <w:t xml:space="preserve">Future mobile and desktop clients should support first-launch API/instance selection, quick official ISLAMU instance onboarding, verified instance discovery, custom URL setup, instance switching, and tenant switching for multi-tenant deployments.</w:t>
            </w:r>
            <w:r/>
          </w:p>
        </w:tc>
        <w:tc>
          <w:tcPr>
            <w:tcBorders/>
          </w:tcPr>
          <w:p>
            <w:pPr>
              <w:pStyle w:val="964"/>
              <w:pBdr/>
              <w:spacing/>
              <w:ind/>
              <w:rPr/>
            </w:pPr>
            <w:r>
              <w:t xml:space="preserve">The API, authentication flow, tenant model, documentation, and client UX need to make self-hosted and community instances practically reachable, not merely theoretically possible.</w:t>
            </w:r>
            <w:r/>
          </w:p>
        </w:tc>
        <w:tc>
          <w:tcPr>
            <w:tcBorders/>
          </w:tcPr>
          <w:p>
            <w:pPr>
              <w:pStyle w:val="964"/>
              <w:pBdr/>
              <w:spacing/>
              <w:ind/>
              <w:rPr/>
            </w:pPr>
            <w:r>
              <w:t xml:space="preserve">This is future client strategy unless repository evidence later supports implementation. It does not prove interoperability, accessibility, security, or self-hosting usability.</w:t>
            </w:r>
            <w:r/>
          </w:p>
        </w:tc>
      </w:tr>
      <w:tr>
        <w:trPr/>
        <w:tc>
          <w:tcPr>
            <w:tcBorders/>
          </w:tcPr>
          <w:p>
            <w:pPr>
              <w:pStyle w:val="964"/>
              <w:pBdr/>
              <w:spacing/>
              <w:ind/>
              <w:rPr/>
            </w:pPr>
            <w:r>
              <w:t xml:space="preserve">Multi-language and accessibility-oriented support</w:t>
            </w:r>
            <w:r/>
          </w:p>
        </w:tc>
        <w:tc>
          <w:tcPr>
            <w:tcBorders/>
          </w:tcPr>
          <w:p>
            <w:pPr>
              <w:pStyle w:val="964"/>
              <w:pBdr/>
              <w:spacing/>
              <w:ind/>
              <w:rPr/>
            </w:pPr>
            <w:r>
              <w:t xml:space="preserve">Justice and accessibility require that language, directionality, disability, and device context not become unnecessary barriers to participation.</w:t>
            </w:r>
            <w:r/>
          </w:p>
        </w:tc>
        <w:tc>
          <w:tcPr>
            <w:tcBorders/>
          </w:tcPr>
          <w:p>
            <w:pPr>
              <w:pStyle w:val="964"/>
              <w:pBdr/>
              <w:spacing/>
              <w:ind/>
              <w:rPr/>
            </w:pPr>
            <w:r>
              <w:t xml:space="preserve">Event evidence supports localization and language preference handling, RTL/direction plumbing, accessibility-oriented UI architecture, focus and announcement services, skip-link/main-landmark/live-region patterns, c</w:t>
            </w:r>
            <w:r>
              <w:t xml:space="preserve">omponent conventions, and selected component/architecture tests. Multilingual search, complete translation coverage, browser-level accessibility automation, and completed accessibility validation should remain validation targets unless separately verified.</w:t>
            </w:r>
            <w:r/>
          </w:p>
        </w:tc>
        <w:tc>
          <w:tcPr>
            <w:tcBorders/>
          </w:tcPr>
          <w:p>
            <w:pPr>
              <w:pStyle w:val="964"/>
              <w:pBdr/>
              <w:spacing/>
              <w:ind/>
              <w:rPr/>
            </w:pPr>
            <w:r>
              <w:t xml:space="preserve">The product needs translation workflows, locale-aware design, accessible components, keyboard/focus behavior, and clear indication of original vs translated text.</w:t>
            </w:r>
            <w:r/>
          </w:p>
        </w:tc>
        <w:tc>
          <w:tcPr>
            <w:tcBorders/>
          </w:tcPr>
          <w:p>
            <w:pPr>
              <w:pStyle w:val="964"/>
              <w:pBdr/>
              <w:spacing/>
              <w:ind/>
              <w:rPr/>
            </w:pPr>
            <w:r>
              <w:t xml:space="preserve">Poor translations and incomplete accessibility can mislead or exclude users; the thesis should describe accessibility-oriented design and tests, not a completed compliance claim.</w:t>
            </w:r>
            <w:r/>
          </w:p>
        </w:tc>
      </w:tr>
    </w:tbl>
    <w:p>
      <w:pPr>
        <w:pStyle w:val="978"/>
        <w:pBdr/>
        <w:spacing/>
        <w:ind/>
        <w:rPr/>
      </w:pPr>
      <w:r/>
      <w:bookmarkStart w:id="79" w:name="technical-traceability"/>
      <w:r>
        <w:t xml:space="preserve">Technical Traceability</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I-VSD domain</w:t>
            </w:r>
            <w:r/>
          </w:p>
        </w:tc>
        <w:tc>
          <w:tcPr>
            <w:tcBorders/>
          </w:tcPr>
          <w:p>
            <w:pPr>
              <w:pStyle w:val="964"/>
              <w:pBdr/>
              <w:spacing/>
              <w:ind/>
              <w:rPr/>
            </w:pPr>
            <w:r>
              <w:t xml:space="preserve">Event technical artifact</w:t>
            </w:r>
            <w:r/>
          </w:p>
        </w:tc>
        <w:tc>
          <w:tcPr>
            <w:tcBorders/>
          </w:tcPr>
          <w:p>
            <w:pPr>
              <w:pStyle w:val="964"/>
              <w:pBdr/>
              <w:spacing/>
              <w:ind/>
              <w:rPr/>
            </w:pPr>
            <w:r>
              <w:t xml:space="preserve">Evidence level</w:t>
            </w:r>
            <w:r/>
          </w:p>
        </w:tc>
      </w:tr>
      <w:tr>
        <w:trPr/>
        <w:tc>
          <w:tcPr>
            <w:tcBorders/>
          </w:tcPr>
          <w:p>
            <w:pPr>
              <w:pStyle w:val="964"/>
              <w:pBdr/>
              <w:spacing/>
              <w:ind/>
              <w:rPr/>
            </w:pPr>
            <w:r>
              <w:t xml:space="preserve">Technical</w:t>
            </w:r>
            <w:r/>
          </w:p>
        </w:tc>
        <w:tc>
          <w:tcPr>
            <w:tcBorders/>
          </w:tcPr>
          <w:p>
            <w:pPr>
              <w:pStyle w:val="964"/>
              <w:pBdr/>
              <w:spacing/>
              <w:ind/>
              <w:rPr/>
            </w:pPr>
            <w:r>
              <w:t xml:space="preserve">.NET 10, Clean Architecture, CQRS/MediatR, ASP.NET Core REST/HAL/OpenAPI, PostgreSQL/EF Core, Docker Compose, .NET Aspire</w:t>
            </w:r>
            <w:r/>
          </w:p>
        </w:tc>
        <w:tc>
          <w:tcPr>
            <w:tcBorders/>
          </w:tcPr>
          <w:p>
            <w:pPr>
              <w:pStyle w:val="964"/>
              <w:pBdr/>
              <w:spacing/>
              <w:ind/>
              <w:rPr/>
            </w:pPr>
            <w:r>
              <w:t xml:space="preserve">Current implementation traceability from repository docs/code; not evidence of ethical outcomes by itself</w:t>
            </w:r>
            <w:r/>
          </w:p>
        </w:tc>
      </w:tr>
      <w:tr>
        <w:trPr/>
        <w:tc>
          <w:tcPr>
            <w:tcBorders/>
          </w:tcPr>
          <w:p>
            <w:pPr>
              <w:pStyle w:val="964"/>
              <w:pBdr/>
              <w:spacing/>
              <w:ind/>
              <w:rPr/>
            </w:pPr>
            <w:r>
              <w:t xml:space="preserve">Security and authorization</w:t>
            </w:r>
            <w:r/>
          </w:p>
        </w:tc>
        <w:tc>
          <w:tcPr>
            <w:tcBorders/>
          </w:tcPr>
          <w:p>
            <w:pPr>
              <w:pStyle w:val="964"/>
              <w:pBdr/>
              <w:spacing/>
              <w:ind/>
              <w:rPr/>
            </w:pPr>
            <w:r>
              <w:t xml:space="preserve">BFF token boundary, Keycloak OIDC/OAuth2, Cerbos-or-local authorization, HATEOAS fail-closed affordances, EF Core tenant filters</w:t>
            </w:r>
            <w:r/>
          </w:p>
        </w:tc>
        <w:tc>
          <w:tcPr>
            <w:tcBorders/>
          </w:tcPr>
          <w:p>
            <w:pPr>
              <w:pStyle w:val="964"/>
              <w:pBdr/>
              <w:spacing/>
              <w:ind/>
              <w:rPr/>
            </w:pPr>
            <w:r>
              <w:t xml:space="preserve">Implementation-level controls that make authority boundaries inspectable; still require policy review, testing, and operational evidence</w:t>
            </w:r>
            <w:r/>
          </w:p>
        </w:tc>
      </w:tr>
      <w:tr>
        <w:trPr/>
        <w:tc>
          <w:tcPr>
            <w:tcBorders/>
          </w:tcPr>
          <w:p>
            <w:pPr>
              <w:pStyle w:val="964"/>
              <w:pBdr/>
              <w:spacing/>
              <w:ind/>
              <w:rPr/>
            </w:pPr>
            <w:r>
              <w:t xml:space="preserve">Privacy and data stewardship</w:t>
            </w:r>
            <w:r/>
          </w:p>
        </w:tc>
        <w:tc>
          <w:tcPr>
            <w:tcBorders/>
          </w:tcPr>
          <w:p>
            <w:pPr>
              <w:pStyle w:val="964"/>
              <w:pBdr/>
              <w:spacing/>
              <w:ind/>
              <w:rPr/>
            </w:pPr>
            <w:r>
              <w:t xml:space="preserve">PII-split modeling, consent-oriented contact sharing, API-key hashing, idempotency, rate limiting, upload-safety boundaries</w:t>
            </w:r>
            <w:r/>
          </w:p>
        </w:tc>
        <w:tc>
          <w:tcPr>
            <w:tcBorders/>
          </w:tcPr>
          <w:p>
            <w:pPr>
              <w:pStyle w:val="964"/>
              <w:pBdr/>
              <w:spacing/>
              <w:ind/>
              <w:rPr/>
            </w:pPr>
            <w:r>
              <w:t xml:space="preserve">Architecture/design evidence; privacy outcomes require deployment review and retention governance</w:t>
            </w:r>
            <w:r/>
          </w:p>
        </w:tc>
      </w:tr>
      <w:tr>
        <w:trPr/>
        <w:tc>
          <w:tcPr>
            <w:tcBorders/>
          </w:tcPr>
          <w:p>
            <w:pPr>
              <w:pStyle w:val="964"/>
              <w:pBdr/>
              <w:spacing/>
              <w:ind/>
              <w:rPr/>
            </w:pPr>
            <w:r>
              <w:t xml:space="preserve">Portability, federation, and client freedom</w:t>
            </w:r>
            <w:r/>
          </w:p>
        </w:tc>
        <w:tc>
          <w:tcPr>
            <w:tcBorders/>
          </w:tcPr>
          <w:p>
            <w:pPr>
              <w:pStyle w:val="964"/>
              <w:pBdr/>
              <w:spacing/>
              <w:ind/>
              <w:rPr/>
            </w:pPr>
            <w:r>
              <w:t xml:space="preserve">Self-hosting documentation, AGPL/open-source posture, ATProto/PDS/outbox groundwork, and future client instance-selection model</w:t>
            </w:r>
            <w:r/>
          </w:p>
        </w:tc>
        <w:tc>
          <w:tcPr>
            <w:tcBorders/>
          </w:tcPr>
          <w:p>
            <w:pPr>
              <w:pStyle w:val="964"/>
              <w:pBdr/>
              <w:spacing/>
              <w:ind/>
              <w:rPr/>
            </w:pPr>
            <w:r>
              <w:t xml:space="preserve">Partial implementation and design-direction evidence; future client freedom requires implemented first-launch instance choice, custom URL support, instance switching, tenant switching, and usability validation</w:t>
            </w:r>
            <w:r/>
          </w:p>
        </w:tc>
      </w:tr>
      <w:tr>
        <w:trPr/>
        <w:tc>
          <w:tcPr>
            <w:tcBorders/>
          </w:tcPr>
          <w:p>
            <w:pPr>
              <w:pStyle w:val="964"/>
              <w:pBdr/>
              <w:spacing/>
              <w:ind/>
              <w:rPr/>
            </w:pPr>
            <w:r>
              <w:t xml:space="preserve">Design and accessibility</w:t>
            </w:r>
            <w:r/>
          </w:p>
        </w:tc>
        <w:tc>
          <w:tcPr>
            <w:tcBorders/>
          </w:tcPr>
          <w:p>
            <w:pPr>
              <w:pStyle w:val="964"/>
              <w:pBdr/>
              <w:spacing/>
              <w:ind/>
              <w:rPr/>
            </w:pPr>
            <w:r>
              <w:t xml:space="preserve">Blazor/MudBlazor UI, language picker/preference handling, localization/RTL infrastructure, focus/announcement services, skip-link/main-landmark/live-region patterns, component conventions, and selected tests/checklists</w:t>
            </w:r>
            <w:r/>
          </w:p>
        </w:tc>
        <w:tc>
          <w:tcPr>
            <w:tcBorders/>
          </w:tcPr>
          <w:p>
            <w:pPr>
              <w:pStyle w:val="964"/>
              <w:pBdr/>
              <w:spacing/>
              <w:ind/>
              <w:rPr/>
            </w:pPr>
            <w:r>
              <w:t xml:space="preserve">Accessibility-oriented implementation traceability; not a WCAG certification, accessibility audit, complete localization claim, or completed user-accessibility study</w:t>
            </w:r>
            <w:r/>
          </w:p>
        </w:tc>
      </w:tr>
      <w:tr>
        <w:trPr/>
        <w:tc>
          <w:tcPr>
            <w:tcBorders/>
          </w:tcPr>
          <w:p>
            <w:pPr>
              <w:pStyle w:val="964"/>
              <w:pBdr/>
              <w:spacing/>
              <w:ind/>
              <w:rPr/>
            </w:pPr>
            <w:r>
              <w:t xml:space="preserve">Operational</w:t>
            </w:r>
            <w:r/>
          </w:p>
        </w:tc>
        <w:tc>
          <w:tcPr>
            <w:tcBorders/>
          </w:tcPr>
          <w:p>
            <w:pPr>
              <w:pStyle w:val="964"/>
              <w:pBdr/>
              <w:spacing/>
              <w:ind/>
              <w:rPr/>
            </w:pPr>
            <w:r>
              <w:t xml:space="preserve">Serilog/OpenTelemetry, Prometheus-compatible metrics, health/readiness endpoints, CI workflows, release/self-hosting documentation, backup/restore/upgrade runbooks, TUnit/bUnit/integration/architecture tests, and E2E-oriented lanes</w:t>
            </w:r>
            <w:r/>
          </w:p>
        </w:tc>
        <w:tc>
          <w:tcPr>
            <w:tcBorders/>
          </w:tcPr>
          <w:p>
            <w:pPr>
              <w:pStyle w:val="964"/>
              <w:pBdr/>
              <w:spacing/>
              <w:ind/>
              <w:rPr/>
            </w:pPr>
            <w:r>
              <w:t xml:space="preserve">Quality, diagnosis, and maintainability evidence; production readiness, support maturity, backup reliability, incident response, and user trust need future operational data</w:t>
            </w:r>
            <w:r/>
          </w:p>
        </w:tc>
      </w:tr>
      <w:tr>
        <w:trPr/>
        <w:tc>
          <w:tcPr>
            <w:tcBorders/>
          </w:tcPr>
          <w:p>
            <w:pPr>
              <w:pStyle w:val="964"/>
              <w:pBdr/>
              <w:spacing/>
              <w:ind/>
              <w:rPr/>
            </w:pPr>
            <w:r>
              <w:t xml:space="preserve">Evaluation</w:t>
            </w:r>
            <w:r/>
          </w:p>
        </w:tc>
        <w:tc>
          <w:tcPr>
            <w:tcBorders/>
          </w:tcPr>
          <w:p>
            <w:pPr>
              <w:pStyle w:val="964"/>
              <w:pBdr/>
              <w:spacing/>
              <w:ind/>
              <w:rPr/>
            </w:pPr>
            <w:r>
              <w:t xml:space="preserve">Accessibility, recommendation quality, privacy outcomes, organizer burden, moderation fairness</w:t>
            </w:r>
            <w:r/>
          </w:p>
        </w:tc>
        <w:tc>
          <w:tcPr>
            <w:tcBorders/>
          </w:tcPr>
          <w:p>
            <w:pPr>
              <w:pStyle w:val="964"/>
              <w:pBdr/>
              <w:spacing/>
              <w:ind/>
              <w:rPr/>
            </w:pPr>
            <w:r>
              <w:t xml:space="preserve">Future user research, audits, stakeholder feedback, and deployment metrics needed</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5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5" o:spid="_x0000_s55" o:spt="1" type="#_x0000_t1" style="width:0.00pt;height:1.50pt;mso-wrap-distance-left:0.00pt;mso-wrap-distance-top:0.00pt;mso-wrap-distance-right:0.00pt;mso-wrap-distance-bottom:0.00pt;visibility:visible;" fillcolor="#FFFFFF" strokecolor="#000000"/>
            </w:pict>
          </mc:Fallback>
        </mc:AlternateContent>
      </w:r>
      <w:bookmarkEnd w:id="79"/>
      <w:bookmarkEnd w:id="80"/>
      <w:r/>
    </w:p>
    <w:p>
      <w:pPr>
        <w:pStyle w:val="977"/>
        <w:pBdr/>
        <w:spacing/>
        <w:ind/>
        <w:rPr/>
      </w:pPr>
      <w:r/>
      <w:bookmarkStart w:id="81" w:name="i-vsd-applied-user-experience-decisions"/>
      <w:r>
        <w:t xml:space="preserve">4.2.5 I-VSD Applied: User Experience Decisions</w:t>
      </w:r>
      <w:r/>
    </w:p>
    <w:p>
      <w:pPr>
        <w:pStyle w:val="963"/>
        <w:pBdr/>
        <w:spacing/>
        <w:ind/>
        <w:rPr/>
      </w:pPr>
      <w:r>
        <w:rPr>
          <w:b/>
          <w:bCs/>
        </w:rPr>
        <w:t xml:space="preserve">Decision 11: No Dark Patterns</w:t>
      </w:r>
      <w:r/>
    </w:p>
    <w:p>
      <w:pPr>
        <w:pStyle w:val="962"/>
        <w:pBdr/>
        <w:spacing/>
        <w:ind/>
        <w:rPr/>
      </w:pPr>
      <w:r>
        <w:t xml:space="preserve">Explicit rejection of all dark patterns identified in Section 2.1.3.11:</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Dark Pattern</w:t>
            </w:r>
            <w:r/>
          </w:p>
        </w:tc>
        <w:tc>
          <w:tcPr>
            <w:tcBorders/>
          </w:tcPr>
          <w:p>
            <w:pPr>
              <w:pStyle w:val="964"/>
              <w:pBdr/>
              <w:spacing/>
              <w:ind/>
              <w:rPr/>
            </w:pPr>
            <w:r>
              <w:t xml:space="preserve">Conventional Approach</w:t>
            </w:r>
            <w:r/>
          </w:p>
        </w:tc>
        <w:tc>
          <w:tcPr>
            <w:tcBorders/>
          </w:tcPr>
          <w:p>
            <w:pPr>
              <w:pStyle w:val="964"/>
              <w:pBdr/>
              <w:spacing/>
              <w:ind/>
              <w:rPr/>
            </w:pPr>
            <w:r>
              <w:t xml:space="preserve">Event design requirement</w:t>
            </w:r>
            <w:r/>
          </w:p>
        </w:tc>
      </w:tr>
      <w:tr>
        <w:trPr/>
        <w:tc>
          <w:tcPr>
            <w:tcBorders/>
          </w:tcPr>
          <w:p>
            <w:pPr>
              <w:pStyle w:val="964"/>
              <w:pBdr/>
              <w:spacing/>
              <w:ind/>
              <w:rPr/>
            </w:pPr>
            <w:r>
              <w:t xml:space="preserve">Guilt-tripping free users</w:t>
            </w:r>
            <w:r/>
          </w:p>
        </w:tc>
        <w:tc>
          <w:tcPr>
            <w:tcBorders/>
          </w:tcPr>
          <w:p>
            <w:pPr>
              <w:pStyle w:val="964"/>
              <w:pBdr/>
              <w:spacing/>
              <w:ind/>
              <w:rPr/>
            </w:pPr>
            <w:r>
              <w:t xml:space="preserve">“Can’t afford”</w:t>
            </w:r>
            <w:r>
              <w:t xml:space="preserve"> </w:t>
            </w:r>
            <w:r>
              <w:t xml:space="preserve">button</w:t>
            </w:r>
            <w:r/>
          </w:p>
        </w:tc>
        <w:tc>
          <w:tcPr>
            <w:tcBorders/>
          </w:tcPr>
          <w:p>
            <w:pPr>
              <w:pStyle w:val="964"/>
              <w:pBdr/>
              <w:spacing/>
              <w:ind/>
              <w:rPr/>
            </w:pPr>
            <w:r>
              <w:t xml:space="preserve">Use neutral plan labels, such as</w:t>
            </w:r>
            <w:r>
              <w:t xml:space="preserve"> </w:t>
            </w:r>
            <w:r>
              <w:t xml:space="preserve">“Free plan,”</w:t>
            </w:r>
            <w:r>
              <w:t xml:space="preserve"> </w:t>
            </w:r>
            <w:r>
              <w:t xml:space="preserve">without shaming language.</w:t>
            </w:r>
            <w:r/>
          </w:p>
        </w:tc>
      </w:tr>
      <w:tr>
        <w:trPr/>
        <w:tc>
          <w:tcPr>
            <w:tcBorders/>
          </w:tcPr>
          <w:p>
            <w:pPr>
              <w:pStyle w:val="964"/>
              <w:pBdr/>
              <w:spacing/>
              <w:ind/>
              <w:rPr/>
            </w:pPr>
            <w:r>
              <w:t xml:space="preserve">Asymmetric subscribe/cancel</w:t>
            </w:r>
            <w:r/>
          </w:p>
        </w:tc>
        <w:tc>
          <w:tcPr>
            <w:tcBorders/>
          </w:tcPr>
          <w:p>
            <w:pPr>
              <w:pStyle w:val="964"/>
              <w:pBdr/>
              <w:spacing/>
              <w:ind/>
              <w:rPr/>
            </w:pPr>
            <w:r>
              <w:t xml:space="preserve">Easy to subscribe, hard to cancel</w:t>
            </w:r>
            <w:r/>
          </w:p>
        </w:tc>
        <w:tc>
          <w:tcPr>
            <w:tcBorders/>
          </w:tcPr>
          <w:p>
            <w:pPr>
              <w:pStyle w:val="964"/>
              <w:pBdr/>
              <w:spacing/>
              <w:ind/>
              <w:rPr/>
            </w:pPr>
            <w:r>
              <w:t xml:space="preserve">Subscription and cancellation flows should be comparably understandable and reachable.</w:t>
            </w:r>
            <w:r/>
          </w:p>
        </w:tc>
      </w:tr>
      <w:tr>
        <w:trPr/>
        <w:tc>
          <w:tcPr>
            <w:tcBorders/>
          </w:tcPr>
          <w:p>
            <w:pPr>
              <w:pStyle w:val="964"/>
              <w:pBdr/>
              <w:spacing/>
              <w:ind/>
              <w:rPr/>
            </w:pPr>
            <w:r>
              <w:t xml:space="preserve">False urgency</w:t>
            </w:r>
            <w:r/>
          </w:p>
        </w:tc>
        <w:tc>
          <w:tcPr>
            <w:tcBorders/>
          </w:tcPr>
          <w:p>
            <w:pPr>
              <w:pStyle w:val="964"/>
              <w:pBdr/>
              <w:spacing/>
              <w:ind/>
              <w:rPr/>
            </w:pPr>
            <w:r>
              <w:t xml:space="preserve">“Event selling out!”</w:t>
            </w:r>
            <w:r>
              <w:t xml:space="preserve"> </w:t>
            </w:r>
            <w:r>
              <w:t xml:space="preserve">when evidence does not support it</w:t>
            </w:r>
            <w:r/>
          </w:p>
        </w:tc>
        <w:tc>
          <w:tcPr>
            <w:tcBorders/>
          </w:tcPr>
          <w:p>
            <w:pPr>
              <w:pStyle w:val="964"/>
              <w:pBdr/>
              <w:spacing/>
              <w:ind/>
              <w:rPr/>
            </w:pPr>
            <w:r>
              <w:t xml:space="preserve">Availability messaging should reflect actual capacity, waitlist, or deadline evidence.</w:t>
            </w:r>
            <w:r/>
          </w:p>
        </w:tc>
      </w:tr>
      <w:tr>
        <w:trPr/>
        <w:tc>
          <w:tcPr>
            <w:tcBorders/>
          </w:tcPr>
          <w:p>
            <w:pPr>
              <w:pStyle w:val="964"/>
              <w:pBdr/>
              <w:spacing/>
              <w:ind/>
              <w:rPr/>
            </w:pPr>
            <w:r>
              <w:t xml:space="preserve">Pre-selected upsells</w:t>
            </w:r>
            <w:r/>
          </w:p>
        </w:tc>
        <w:tc>
          <w:tcPr>
            <w:tcBorders/>
          </w:tcPr>
          <w:p>
            <w:pPr>
              <w:pStyle w:val="964"/>
              <w:pBdr/>
              <w:spacing/>
              <w:ind/>
              <w:rPr/>
            </w:pPr>
            <w:r>
              <w:t xml:space="preserve">Premium pre-selected</w:t>
            </w:r>
            <w:r/>
          </w:p>
        </w:tc>
        <w:tc>
          <w:tcPr>
            <w:tcBorders/>
          </w:tcPr>
          <w:p>
            <w:pPr>
              <w:pStyle w:val="964"/>
              <w:pBdr/>
              <w:spacing/>
              <w:ind/>
              <w:rPr/>
            </w:pPr>
            <w:r>
              <w:t xml:space="preserve">Paid or privacy-relevant options should not be pre-selected merely to increase conversion.</w:t>
            </w:r>
            <w:r/>
          </w:p>
        </w:tc>
      </w:tr>
      <w:tr>
        <w:trPr/>
        <w:tc>
          <w:tcPr>
            <w:tcBorders/>
          </w:tcPr>
          <w:p>
            <w:pPr>
              <w:pStyle w:val="964"/>
              <w:pBdr/>
              <w:spacing/>
              <w:ind/>
              <w:rPr/>
            </w:pPr>
            <w:r>
              <w:t xml:space="preserve">Hidden fees</w:t>
            </w:r>
            <w:r/>
          </w:p>
        </w:tc>
        <w:tc>
          <w:tcPr>
            <w:tcBorders/>
          </w:tcPr>
          <w:p>
            <w:pPr>
              <w:pStyle w:val="964"/>
              <w:pBdr/>
              <w:spacing/>
              <w:ind/>
              <w:rPr/>
            </w:pPr>
            <w:r>
              <w:t xml:space="preserve">Fees shown only at checkout</w:t>
            </w:r>
            <w:r/>
          </w:p>
        </w:tc>
        <w:tc>
          <w:tcPr>
            <w:tcBorders/>
          </w:tcPr>
          <w:p>
            <w:pPr>
              <w:pStyle w:val="964"/>
              <w:pBdr/>
              <w:spacing/>
              <w:ind/>
              <w:rPr/>
            </w:pPr>
            <w:r>
              <w:t xml:space="preserve">Fee disclosure should happen before the user makes a commitment.</w:t>
            </w:r>
            <w:r/>
          </w:p>
        </w:tc>
      </w:tr>
      <w:tr>
        <w:trPr/>
        <w:tc>
          <w:tcPr>
            <w:tcBorders/>
          </w:tcPr>
          <w:p>
            <w:pPr>
              <w:pStyle w:val="964"/>
              <w:pBdr/>
              <w:spacing/>
              <w:ind/>
              <w:rPr/>
            </w:pPr>
            <w:r>
              <w:t xml:space="preserve">Confusing pricing</w:t>
            </w:r>
            <w:r/>
          </w:p>
        </w:tc>
        <w:tc>
          <w:tcPr>
            <w:tcBorders/>
          </w:tcPr>
          <w:p>
            <w:pPr>
              <w:pStyle w:val="964"/>
              <w:pBdr/>
              <w:spacing/>
              <w:ind/>
              <w:rPr/>
            </w:pPr>
            <w:r>
              <w:t xml:space="preserve">Complex tier structure</w:t>
            </w:r>
            <w:r/>
          </w:p>
        </w:tc>
        <w:tc>
          <w:tcPr>
            <w:tcBorders/>
          </w:tcPr>
          <w:p>
            <w:pPr>
              <w:pStyle w:val="964"/>
              <w:pBdr/>
              <w:spacing/>
              <w:ind/>
              <w:rPr/>
            </w:pPr>
            <w:r>
              <w:t xml:space="preserve">Pricing should be simple enough for users to understand what is paid, to whom, and why.</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5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6" o:spid="_x0000_s56"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Decision 12: Transparent Pricing Display</w:t>
      </w:r>
      <w:r/>
    </w:p>
    <w:p>
      <w:pPr>
        <w:pStyle w:val="962"/>
        <w:pBdr/>
        <w:spacing/>
        <w:ind/>
        <w:rPr/>
      </w:pPr>
      <w:r>
        <w:rPr>
          <w:b/>
          <w:bCs/>
        </w:rPr>
        <w:t xml:space="preserve">I-VSD Framework Application:</w:t>
      </w:r>
      <w:r/>
    </w:p>
    <w:p>
      <w:pPr>
        <w:pStyle w:val="964"/>
        <w:numPr>
          <w:ilvl w:val="0"/>
          <w:numId w:val="97"/>
        </w:numPr>
        <w:pBdr/>
        <w:spacing/>
        <w:ind/>
        <w:rPr/>
      </w:pPr>
      <w:r>
        <w:rPr>
          <w:b/>
          <w:bCs/>
        </w:rPr>
        <w:t xml:space="preserve">Islamic Principle:</w:t>
      </w:r>
      <w:r>
        <w:t xml:space="preserve"> Sidq (truthfulness)</w:t>
      </w:r>
      <w:r/>
    </w:p>
    <w:p>
      <w:pPr>
        <w:pStyle w:val="964"/>
        <w:numPr>
          <w:ilvl w:val="0"/>
          <w:numId w:val="97"/>
        </w:numPr>
        <w:pBdr/>
        <w:spacing/>
        <w:ind/>
        <w:rPr/>
      </w:pPr>
      <w:r>
        <w:rPr>
          <w:b/>
          <w:bCs/>
        </w:rPr>
        <w:t xml:space="preserve">Islamic Principle:</w:t>
      </w:r>
      <w:r>
        <w:t xml:space="preserve"> No Gharar (uncertainty)</w:t>
      </w:r>
      <w:r/>
    </w:p>
    <w:p>
      <w:pPr>
        <w:pStyle w:val="963"/>
        <w:pBdr/>
        <w:spacing/>
        <w:ind/>
        <w:rPr/>
      </w:pPr>
      <w:r>
        <w:rPr>
          <w:b/>
          <w:bCs/>
        </w:rPr>
        <w:t xml:space="preserve">Design requirement:</w:t>
      </w:r>
      <w:r/>
    </w:p>
    <w:p>
      <w:pPr>
        <w:pStyle w:val="962"/>
        <w:pBdr/>
        <w:spacing/>
        <w:ind/>
        <w:rPr/>
      </w:pPr>
      <w:r>
        <w:t xml:space="preserve">A ticket</w:t>
      </w:r>
      <w:r>
        <w:t xml:space="preserve">ing or registration flow should separate organizer price, processing fee, platform fee if any, taxes where applicable, refund conditions, and recipient of funds before the user commits. A simplified example can illustrate the intended transparency pattern:</w:t>
      </w:r>
      <w:r/>
    </w:p>
    <w:p>
      <w:pPr>
        <w:pStyle w:val="1010"/>
        <w:pBdr/>
        <w:spacing/>
        <w:ind/>
        <w:rPr/>
      </w:pPr>
      <w:r>
        <w:rPr>
          <w:rStyle w:val="1005"/>
        </w:rPr>
        <w:t xml:space="preserve">Event Ticket: $20.00</w:t>
      </w:r>
      <w:r>
        <w:br/>
      </w:r>
      <w:r>
        <w:rPr>
          <w:rStyle w:val="1005"/>
        </w:rPr>
        <w:t xml:space="preserve">Processing Fee: $0.88 (2.9% + $0.30)</w:t>
      </w:r>
      <w:r>
        <w:br/>
      </w:r>
      <w:r>
        <w:rPr>
          <w:rStyle w:val="1005"/>
        </w:rPr>
        <w:t xml:space="preserve">Total: $20.88</w:t>
      </w:r>
      <w:r>
        <w:br/>
      </w:r>
      <w:r>
        <w:br/>
      </w:r>
      <w:r>
        <w:rPr>
          <w:rStyle w:val="1005"/>
        </w:rPr>
        <w:t xml:space="preserve">Where your money goes:</w:t>
      </w:r>
      <w:r>
        <w:br/>
      </w:r>
      <w:r>
        <w:rPr>
          <w:rStyle w:val="1005"/>
        </w:rPr>
        <w:t xml:space="preserve">- Event Organizer: $20.00 (95.8%)</w:t>
      </w:r>
      <w:r>
        <w:br/>
      </w:r>
      <w:r>
        <w:rPr>
          <w:rStyle w:val="1005"/>
        </w:rPr>
        <w:t xml:space="preserve">- Payment Processing: $0.88 (4.2%)</w:t>
      </w:r>
      <w:r>
        <w:br/>
      </w:r>
      <w:r>
        <w:rPr>
          <w:rStyle w:val="1005"/>
        </w:rPr>
        <w:t xml:space="preserve">- ISLAMU Event platform fee, if any: $0.00 (0%)</w:t>
      </w:r>
      <w:r/>
    </w:p>
    <w:p>
      <w:pPr>
        <w:pStyle w:val="963"/>
        <w:pBdr/>
        <w:spacing/>
        <w:ind/>
        <w:rPr/>
      </w:pPr>
      <w:r>
        <w:t xml:space="preserve">This is a UX and business-model requirement, not evidence that every future payment flow has already been implemented or understood by users.</w:t>
      </w:r>
      <w:r/>
    </w:p>
    <w:p>
      <w:pPr>
        <w:pBdr/>
        <w:spacing/>
        <w:ind/>
        <w:rPr/>
      </w:pPr>
      <w:r>
        <mc:AlternateContent>
          <mc:Choice Requires="wpg">
            <w:drawing>
              <wp:inline xmlns:wp="http://schemas.openxmlformats.org/drawingml/2006/wordprocessingDrawing" distT="0" distB="0" distL="0" distR="0">
                <wp:extent cx="0" cy="19050"/>
                <wp:effectExtent l="0" t="0" r="0" b="0"/>
                <wp:docPr id="5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7" o:spid="_x0000_s57"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Decision 13: Post-Event Engagement</w:t>
      </w:r>
      <w:r/>
    </w:p>
    <w:p>
      <w:pPr>
        <w:pStyle w:val="962"/>
        <w:pBdr/>
        <w:spacing/>
        <w:ind/>
        <w:rPr/>
      </w:pPr>
      <w:r>
        <w:rPr>
          <w:b/>
          <w:bCs/>
        </w:rPr>
        <w:t xml:space="preserve">The Problem:</w:t>
      </w:r>
      <w:r>
        <w:br/>
      </w:r>
      <w:r>
        <w:t xml:space="preserve">Events are</w:t>
      </w:r>
      <w:r>
        <w:t xml:space="preserve"> </w:t>
      </w:r>
      <w:r>
        <w:t xml:space="preserve">“fire and forget”</w:t>
      </w:r>
      <w:r>
        <w:t xml:space="preserve"> </w:t>
      </w:r>
      <w:r>
        <w:t xml:space="preserve">on most platforms. No community building.</w:t>
      </w:r>
      <w:r/>
    </w:p>
    <w:p>
      <w:pPr>
        <w:pStyle w:val="962"/>
        <w:pBdr/>
        <w:spacing/>
        <w:ind/>
        <w:rPr/>
      </w:pPr>
      <w:r>
        <w:rPr>
          <w:b/>
          <w:bCs/>
        </w:rPr>
        <w:t xml:space="preserve">I-VSD Framework Application:</w:t>
      </w:r>
      <w:r/>
    </w:p>
    <w:p>
      <w:pPr>
        <w:pStyle w:val="964"/>
        <w:numPr>
          <w:ilvl w:val="0"/>
          <w:numId w:val="98"/>
        </w:numPr>
        <w:pBdr/>
        <w:spacing/>
        <w:ind/>
        <w:rPr/>
      </w:pPr>
      <w:r>
        <w:rPr>
          <w:b/>
          <w:bCs/>
        </w:rPr>
        <w:t xml:space="preserve">Islamic Principle:</w:t>
      </w:r>
      <w:r>
        <w:t xml:space="preserve"> Building Muslim community (Ummah)</w:t>
      </w:r>
      <w:r/>
    </w:p>
    <w:p>
      <w:pPr>
        <w:pStyle w:val="964"/>
        <w:numPr>
          <w:ilvl w:val="0"/>
          <w:numId w:val="98"/>
        </w:numPr>
        <w:pBdr/>
        <w:spacing/>
        <w:ind/>
        <w:rPr/>
      </w:pPr>
      <w:r>
        <w:rPr>
          <w:b/>
          <w:bCs/>
        </w:rPr>
        <w:t xml:space="preserve">Islamic Principle:</w:t>
      </w:r>
      <w:r>
        <w:t xml:space="preserve"> Beneficial knowledge sharing</w:t>
      </w:r>
      <w:r/>
    </w:p>
    <w:p>
      <w:pPr>
        <w:pStyle w:val="963"/>
        <w:pBdr/>
        <w:spacing/>
        <w:ind/>
        <w:rPr/>
      </w:pPr>
      <w:r>
        <w:rPr>
          <w:b/>
          <w:bCs/>
        </w:rPr>
        <w:t xml:space="preserve">Design-target features:</w:t>
      </w:r>
      <w:r/>
    </w:p>
    <w:p>
      <w:pPr>
        <w:pStyle w:val="964"/>
        <w:numPr>
          <w:ilvl w:val="0"/>
          <w:numId w:val="99"/>
        </w:numPr>
        <w:pBdr/>
        <w:spacing/>
        <w:ind/>
        <w:rPr/>
      </w:pPr>
      <w:r>
        <w:rPr>
          <w:b/>
          <w:bCs/>
        </w:rPr>
        <w:t xml:space="preserve">Feedback Forms:</w:t>
      </w:r>
      <w:r>
        <w:t xml:space="preserve"> </w:t>
      </w:r>
      <w:r>
        <w:t xml:space="preserve">“How was the event?”</w:t>
      </w:r>
      <w:r>
        <w:t xml:space="preserve"> </w:t>
      </w:r>
      <w:r>
        <w:t xml:space="preserve">feedback can support organizer learning, provided collection is proportionate and optional where appropriate.</w:t>
      </w:r>
      <w:r/>
    </w:p>
    <w:p>
      <w:pPr>
        <w:pStyle w:val="964"/>
        <w:numPr>
          <w:ilvl w:val="0"/>
          <w:numId w:val="99"/>
        </w:numPr>
        <w:pBdr/>
        <w:spacing/>
        <w:ind/>
        <w:rPr/>
      </w:pPr>
      <w:r>
        <w:rPr>
          <w:b/>
          <w:bCs/>
        </w:rPr>
        <w:t xml:space="preserve">Resource Sharing:</w:t>
      </w:r>
      <w:r>
        <w:t xml:space="preserve"> Slides, recordings, notes, and links can extend beneficial knowledge sharing when organizers have consent and rights to share them.</w:t>
      </w:r>
      <w:r/>
    </w:p>
    <w:p>
      <w:pPr>
        <w:pStyle w:val="964"/>
        <w:numPr>
          <w:ilvl w:val="0"/>
          <w:numId w:val="99"/>
        </w:numPr>
        <w:pBdr/>
        <w:spacing/>
        <w:ind/>
        <w:rPr/>
      </w:pPr>
      <w:r>
        <w:rPr>
          <w:b/>
          <w:bCs/>
        </w:rPr>
        <w:t xml:space="preserve">Follow-up Events:</w:t>
      </w:r>
      <w:r>
        <w:t xml:space="preserve"> Series links can help users understand continuity without manipulating attention or creating false urgency.</w:t>
      </w:r>
      <w:r/>
    </w:p>
    <w:p>
      <w:pPr>
        <w:pStyle w:val="964"/>
        <w:numPr>
          <w:ilvl w:val="0"/>
          <w:numId w:val="99"/>
        </w:numPr>
        <w:pBdr/>
        <w:spacing/>
        <w:ind/>
        <w:rPr/>
      </w:pPr>
      <w:r>
        <w:rPr>
          <w:b/>
          <w:bCs/>
        </w:rPr>
        <w:t xml:space="preserve">Community Building:</w:t>
      </w:r>
      <w:r>
        <w:t xml:space="preserve"> Attendee connection features would require privacy, consent, moderation, and safeguarding review before stronger claims are made.</w:t>
      </w:r>
      <w:r/>
    </w:p>
    <w:p>
      <w:pPr>
        <w:pStyle w:val="963"/>
        <w:pBdr/>
        <w:spacing/>
        <w:ind/>
        <w:rPr/>
      </w:pPr>
      <w:r>
        <w:rPr>
          <w:b/>
          <w:bCs/>
        </w:rPr>
        <w:t xml:space="preserve">Decision 14: Accessibility and Localization as UX Requirements</w:t>
      </w:r>
      <w:r/>
    </w:p>
    <w:p>
      <w:pPr>
        <w:pStyle w:val="962"/>
        <w:pBdr/>
        <w:spacing/>
        <w:ind/>
        <w:rPr/>
      </w:pPr>
      <w:r>
        <w:t xml:space="preserve">Accessibility, language metadata, RTL/direction support, clear status messaging, and keyboard/screen-reader-oriente</w:t>
      </w:r>
      <w:r>
        <w:t xml:space="preserve">d interaction should be treated as user-experience requirements rather than late-stage polish. Current Event repository evidence can support implementation traceability for language preference handling, directionality support, accessibility services, UI co</w:t>
      </w:r>
      <w:r>
        <w:t xml:space="preserve">nventions, and selected tests/checklists. It does not establish complete localization, WCAG compliance, assistive-technology success, or inclusive outcomes without translation review, accessibility testing, affected-user feedback, and maintenance evidence.</w:t>
      </w:r>
      <w:r/>
    </w:p>
    <w:p>
      <w:pPr>
        <w:pBdr/>
        <w:spacing/>
        <w:ind/>
        <w:rPr/>
      </w:pPr>
      <w:r>
        <mc:AlternateContent>
          <mc:Choice Requires="wpg">
            <w:drawing>
              <wp:inline xmlns:wp="http://schemas.openxmlformats.org/drawingml/2006/wordprocessingDrawing" distT="0" distB="0" distL="0" distR="0">
                <wp:extent cx="0" cy="19050"/>
                <wp:effectExtent l="0" t="0" r="0" b="0"/>
                <wp:docPr id="5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8" o:spid="_x0000_s58" o:spt="1" type="#_x0000_t1" style="width:0.00pt;height:1.50pt;mso-wrap-distance-left:0.00pt;mso-wrap-distance-top:0.00pt;mso-wrap-distance-right:0.00pt;mso-wrap-distance-bottom:0.00pt;visibility:visible;" fillcolor="#FFFFFF" strokecolor="#000000"/>
            </w:pict>
          </mc:Fallback>
        </mc:AlternateContent>
      </w:r>
      <w:bookmarkEnd w:id="81"/>
      <w:r/>
    </w:p>
    <w:p>
      <w:pPr>
        <w:pStyle w:val="977"/>
        <w:pBdr/>
        <w:spacing/>
        <w:ind/>
        <w:rPr/>
      </w:pPr>
      <w:r/>
      <w:bookmarkStart w:id="82" w:name="i-vsd-applied-business-model-decisions"/>
      <w:r>
        <w:t xml:space="preserve">4.2.6 I-VSD Applied: Business Model Decisions</w:t>
      </w:r>
      <w:r/>
    </w:p>
    <w:p>
      <w:pPr>
        <w:pStyle w:val="963"/>
        <w:pBdr/>
        <w:spacing/>
        <w:ind/>
        <w:rPr/>
      </w:pPr>
      <w:r>
        <w:rPr>
          <w:b/>
          <w:bCs/>
        </w:rPr>
        <w:t xml:space="preserve">Decision 15: Monetization Strategy</w:t>
      </w:r>
      <w:r/>
    </w:p>
    <w:p>
      <w:pPr>
        <w:pStyle w:val="962"/>
        <w:pBdr/>
        <w:spacing/>
        <w:ind/>
        <w:rPr/>
      </w:pPr>
      <w:r>
        <w:rPr>
          <w:b/>
          <w:bCs/>
        </w:rPr>
        <w:t xml:space="preserve">Value-aligned and ethically screened revenue sources:</w:t>
      </w:r>
      <w:r/>
    </w:p>
    <w:p>
      <w:pPr>
        <w:pStyle w:val="964"/>
        <w:numPr>
          <w:ilvl w:val="0"/>
          <w:numId w:val="100"/>
        </w:numPr>
        <w:pBdr/>
        <w:spacing/>
        <w:ind/>
        <w:rPr/>
      </w:pPr>
      <w:r>
        <w:rPr>
          <w:b/>
          <w:bCs/>
        </w:rPr>
        <w:t xml:space="preserve">Donations:</w:t>
      </w:r>
      <w:r>
        <w:t xml:space="preserve"> Community contributions that support the public mission without buying governance control.</w:t>
      </w:r>
      <w:r/>
    </w:p>
    <w:p>
      <w:pPr>
        <w:pStyle w:val="964"/>
        <w:numPr>
          <w:ilvl w:val="0"/>
          <w:numId w:val="100"/>
        </w:numPr>
        <w:pBdr/>
        <w:spacing/>
        <w:ind/>
        <w:rPr/>
      </w:pPr>
      <w:r>
        <w:rPr>
          <w:b/>
          <w:bCs/>
        </w:rPr>
        <w:t xml:space="preserve">Sponsorships:</w:t>
      </w:r>
      <w:r>
        <w:t xml:space="preserve"> Clearly labeled support from sponsors whose activities and influence boundaries can be reviewed.</w:t>
      </w:r>
      <w:r/>
    </w:p>
    <w:p>
      <w:pPr>
        <w:pStyle w:val="964"/>
        <w:numPr>
          <w:ilvl w:val="0"/>
          <w:numId w:val="100"/>
        </w:numPr>
        <w:pBdr/>
        <w:spacing/>
        <w:ind/>
        <w:rPr/>
      </w:pPr>
      <w:r>
        <w:rPr>
          <w:b/>
          <w:bCs/>
        </w:rPr>
        <w:t xml:space="preserve">Grants and bounded support:</w:t>
      </w:r>
      <w:r>
        <w:t xml:space="preserve"> Mission-compatible grants, documentation support, implementation help, or operational support where terms remain transparent.</w:t>
      </w:r>
      <w:r/>
    </w:p>
    <w:p>
      <w:pPr>
        <w:pStyle w:val="963"/>
        <w:pBdr/>
        <w:spacing/>
        <w:ind/>
        <w:rPr/>
      </w:pPr>
      <w:r>
        <w:rPr>
          <w:b/>
          <w:bCs/>
        </w:rPr>
        <w:t xml:space="preserve">Revenue sources flagged as high-risk under I-VSD:</w:t>
      </w:r>
      <w:r/>
    </w:p>
    <w:p>
      <w:pPr>
        <w:pStyle w:val="962"/>
        <w:pBdr/>
        <w:spacing/>
        <w:ind/>
        <w:rPr/>
      </w:pPr>
      <w:r>
        <w:t xml:space="preserve">The framework treats several revenue models as ethically high-risk for this case: </w:t>
      </w:r>
      <w:r>
        <w:t xml:space="preserve">selling user data, surveillance-based targeted advertising, high platform fees that extract value from community organizations, artificial scarcity around basic community functionality, and financing structures or sponsor terms that create dependency or hi</w:t>
      </w:r>
      <w:r>
        <w:t xml:space="preserve">dden influence. These are not presented as universal legal rulings on every possible business arrangement. They are design-governance concerns that require review under the thesis’s selected principles of Amanah, Sidq, Adl, harm reduction, and stewardship.</w:t>
      </w:r>
      <w:r/>
    </w:p>
    <w:p>
      <w:pPr>
        <w:pBdr/>
        <w:spacing/>
        <w:ind/>
        <w:rPr/>
      </w:pPr>
      <w:r>
        <mc:AlternateContent>
          <mc:Choice Requires="wpg">
            <w:drawing>
              <wp:inline xmlns:wp="http://schemas.openxmlformats.org/drawingml/2006/wordprocessingDrawing" distT="0" distB="0" distL="0" distR="0">
                <wp:extent cx="0" cy="19050"/>
                <wp:effectExtent l="0" t="0" r="0" b="0"/>
                <wp:docPr id="6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9" o:spid="_x0000_s59"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Decision 16: Open Source with Sustainable Model</w:t>
      </w:r>
      <w:r/>
    </w:p>
    <w:p>
      <w:pPr>
        <w:pStyle w:val="962"/>
        <w:pBdr/>
        <w:spacing/>
        <w:ind/>
        <w:rPr/>
      </w:pPr>
      <w:r>
        <w:rPr>
          <w:b/>
          <w:bCs/>
        </w:rPr>
        <w:t xml:space="preserve">I-VSD Framework Application:</w:t>
      </w:r>
      <w:r/>
    </w:p>
    <w:p>
      <w:pPr>
        <w:pStyle w:val="962"/>
        <w:pBdr/>
        <w:spacing/>
        <w:ind/>
        <w:rPr/>
      </w:pPr>
      <w:r>
        <w:t xml:space="preserve">The Islamic principle of sharing beneficial k</w:t>
      </w:r>
      <w:r>
        <w:t xml:space="preserve">nowledge can support open source development when the software remains useful, documented, and maintained. The principle of sustainability without exploitation requires viable long-term funding without resorting to data monetization or artificial scarcity.</w:t>
      </w:r>
      <w:r/>
    </w:p>
    <w:p>
      <w:pPr>
        <w:pStyle w:val="962"/>
        <w:pBdr/>
        <w:spacing/>
        <w:ind/>
        <w:rPr/>
      </w:pPr>
      <w:r>
        <w:rPr>
          <w:b/>
          <w:bCs/>
        </w:rPr>
        <w:t xml:space="preserve">Tiered model as a design hypothesis:</w:t>
      </w:r>
      <w:r/>
    </w:p>
    <w:p>
      <w:pPr>
        <w:pStyle w:val="962"/>
        <w:pBdr/>
        <w:spacing/>
        <w:ind/>
        <w:rPr/>
      </w:pPr>
      <w:r>
        <w:t xml:space="preserve">Community self-hosting: Free software under the GNU AGPLv3, with communities b</w:t>
      </w:r>
      <w:r>
        <w:t xml:space="preserve">ringing their own infrastructure where they have the technical capacity. This tier is intended to make self-hosting possible and inspectable, while leaving deployment complexity, cost, administrator skill, and long-term maintenance as evaluation questions.</w:t>
      </w:r>
      <w:r/>
    </w:p>
    <w:p>
      <w:pPr>
        <w:pStyle w:val="962"/>
        <w:pBdr/>
        <w:spacing/>
        <w:ind/>
        <w:rPr/>
      </w:pPr>
      <w:r>
        <w:t xml:space="preserve">Managed hosting: Provided by third-party companies rather than ISLAMU directly, if such a provid</w:t>
      </w:r>
      <w:r>
        <w:t xml:space="preserve">er model is later formalized. This separation can reduce one incentive for the upstream nonprofit to degrade the self-hosted version, but only if provider criteria, trademark rules, privacy duties, and governance boundaries are made public and enforceable.</w:t>
      </w:r>
      <w:r/>
    </w:p>
    <w:p>
      <w:pPr>
        <w:pStyle w:val="962"/>
        <w:pBdr/>
        <w:spacing/>
        <w:ind/>
        <w:rPr/>
      </w:pPr>
      <w:r>
        <w:t xml:space="preserve">SaaS offering: Multi-tenant hosted solutions could be provi</w:t>
      </w:r>
      <w:r>
        <w:t xml:space="preserve">ded by third-party operators rather than by ISLAMU itself. Organizations without technical capacity may benefit from hosted options, but those options should be evaluated for transparency, data protection, portability, pricing, and dependence on providers.</w:t>
      </w:r>
      <w:r/>
    </w:p>
    <w:p>
      <w:pPr>
        <w:pStyle w:val="962"/>
        <w:pBdr/>
        <w:spacing/>
        <w:ind/>
        <w:rPr/>
      </w:pPr>
      <w:r>
        <w:rPr>
          <w:b/>
          <w:bCs/>
        </w:rPr>
        <w:t xml:space="preserve">Enshittification risk-reduction:</w:t>
      </w:r>
      <w:r/>
    </w:p>
    <w:p>
      <w:pPr>
        <w:pStyle w:val="962"/>
        <w:pBdr/>
        <w:spacing/>
        <w:ind/>
        <w:rPr/>
      </w:pPr>
      <w:r>
        <w:t xml:space="preserve">The proposed separation between ISLAMU as upstream software steward and commercial hosting providers is best understood as a risk-reduction design, not as a guarantee. It can make one tradeoff more inspe</w:t>
      </w:r>
      <w:r>
        <w:t xml:space="preserve">ctable: revenue should come from service, support, reliability, and stewardship rather than from making the self-hosted option artificially weak. This still requires public governance, operational transparency, and actual adoption by independent operators.</w:t>
      </w:r>
      <w:r/>
    </w:p>
    <w:p>
      <w:pPr>
        <w:pStyle w:val="962"/>
        <w:pBdr/>
        <w:spacing/>
        <w:ind/>
        <w:rPr/>
      </w:pPr>
      <w:r>
        <w:rPr>
          <w:b/>
          <w:bCs/>
        </w:rPr>
        <w:t xml:space="preserve">Open-source parity as a design commitment:</w:t>
      </w:r>
      <w:r/>
    </w:p>
    <w:p>
      <w:pPr>
        <w:pStyle w:val="962"/>
        <w:pBdr/>
        <w:spacing/>
        <w:ind/>
        <w:rPr/>
      </w:pPr>
      <w:r>
        <w:t xml:space="preserve">The target is not merely to publish source code, but to preserve me</w:t>
      </w:r>
      <w:r>
        <w:t xml:space="preserve">aningful self-hosted parity where morally relevant. The public code and documentation should make clear which capabilities a community can reproduce, which require external provider accounts or environment configuration, what managed operators sell as serv</w:t>
      </w:r>
      <w:r>
        <w:t xml:space="preserve">ice and reliability, and what remains intentionally unavailable. GNU AGPLv3 can support source-code reciprocity for modified network deployments, but it does not by itself create responsible governance, complete documentation, or ethical operator behavior.</w:t>
      </w:r>
      <w:r/>
    </w:p>
    <w:p>
      <w:pPr>
        <w:pBdr/>
        <w:spacing/>
        <w:ind/>
        <w:rPr/>
      </w:pPr>
      <w:r>
        <mc:AlternateContent>
          <mc:Choice Requires="wpg">
            <w:drawing>
              <wp:inline xmlns:wp="http://schemas.openxmlformats.org/drawingml/2006/wordprocessingDrawing" distT="0" distB="0" distL="0" distR="0">
                <wp:extent cx="0" cy="19050"/>
                <wp:effectExtent l="0" t="0" r="0" b="0"/>
                <wp:docPr id="6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0" o:spid="_x0000_s60"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Strategic Risk Assessment: Pre-Mortem Analysis</w:t>
      </w:r>
      <w:r/>
    </w:p>
    <w:p>
      <w:pPr>
        <w:pStyle w:val="962"/>
        <w:pBdr/>
        <w:spacing/>
        <w:ind/>
        <w:rPr/>
      </w:pPr>
      <w:r>
        <w:t xml:space="preserve">I-VSD principles require anticipating potential harms, not merely reacting to them. This pre-mortem analysis identifies scenarios that could threaten the project’s mission and the design or governance responses that should be evaluated.</w:t>
      </w:r>
      <w:r/>
    </w:p>
    <w:p>
      <w:pPr>
        <w:pStyle w:val="962"/>
        <w:pBdr/>
        <w:spacing/>
        <w:ind/>
        <w:rPr/>
      </w:pPr>
      <w:r>
        <w:rPr>
          <w:b/>
          <w:bCs/>
        </w:rPr>
        <w:t xml:space="preserve">Risk 1: Bad Actor Brand Collapse</w:t>
      </w:r>
      <w:r/>
    </w:p>
    <w:p>
      <w:pPr>
        <w:pStyle w:val="962"/>
        <w:pBdr/>
        <w:spacing/>
        <w:ind/>
        <w:rPr/>
      </w:pPr>
      <w:r>
        <w:t xml:space="preserve">Scenario: A small number of extremist, hateful, or fraudulent events use the platform. Media or governments link ISLAMU Event to these actors, leading to reputational collapse, domain takedowns, and legal exposure.</w:t>
      </w:r>
      <w:r/>
    </w:p>
    <w:p>
      <w:pPr>
        <w:pStyle w:val="962"/>
        <w:pBdr/>
        <w:spacing/>
        <w:ind/>
        <w:rPr/>
      </w:pPr>
      <w:r>
        <w:t xml:space="preserve">Design response: The official instance ne</w:t>
      </w:r>
      <w:r>
        <w:t xml:space="preserve">eds strict verification, clear terms of service, reporting tools, authority boundaries, and documented moderation escalation. Technical controls can support this response, but evidence standards, appeals, and incident review remain governance requirements.</w:t>
      </w:r>
      <w:r/>
    </w:p>
    <w:p>
      <w:pPr>
        <w:pStyle w:val="962"/>
        <w:pBdr/>
        <w:spacing/>
        <w:ind/>
        <w:rPr/>
      </w:pPr>
      <w:r>
        <w:rPr>
          <w:b/>
          <w:bCs/>
        </w:rPr>
        <w:t xml:space="preserve">Risk 2: Legal and Compliance Overload</w:t>
      </w:r>
      <w:r/>
    </w:p>
    <w:p>
      <w:pPr>
        <w:pStyle w:val="962"/>
        <w:pBdr/>
        <w:spacing/>
        <w:ind/>
        <w:rPr/>
      </w:pPr>
      <w:r>
        <w:t xml:space="preserve">Scenario: Data protection requirements, child safety laws, and consumer regulations accumulate. A data breach or harassment incident could create legal exposure that a young nonprofit cannot absorb.</w:t>
      </w:r>
      <w:r/>
    </w:p>
    <w:p>
      <w:pPr>
        <w:pStyle w:val="962"/>
        <w:pBdr/>
        <w:spacing/>
        <w:ind/>
        <w:rPr/>
      </w:pPr>
      <w:r>
        <w:t xml:space="preserve">Design response: Data minimization, clear retention policies, scoped consent, liability review, provider boundaries, and separation between upstream software governance and commercial hosting operations should be evaluated before stronger claims are made.</w:t>
      </w:r>
      <w:r/>
    </w:p>
    <w:p>
      <w:pPr>
        <w:pStyle w:val="962"/>
        <w:pBdr/>
        <w:spacing/>
        <w:ind/>
        <w:rPr/>
      </w:pPr>
      <w:r>
        <w:rPr>
          <w:b/>
          <w:bCs/>
        </w:rPr>
        <w:t xml:space="preserve">Risk 3: Free Abuse Magnet</w:t>
      </w:r>
      <w:r/>
    </w:p>
    <w:p>
      <w:pPr>
        <w:pStyle w:val="962"/>
        <w:pBdr/>
        <w:spacing/>
        <w:ind/>
        <w:rPr/>
      </w:pPr>
      <w:r>
        <w:t xml:space="preserve">Scenario: Offering broad free access attracts spammers, SEO farms, and bot signups that inflate infrastructure costs and damage email or domain reputation.</w:t>
      </w:r>
      <w:r/>
    </w:p>
    <w:p>
      <w:pPr>
        <w:pStyle w:val="962"/>
        <w:pBdr/>
        <w:spacing/>
        <w:ind/>
        <w:rPr/>
      </w:pPr>
      <w:r>
        <w:t xml:space="preserve">De</w:t>
      </w:r>
      <w:r>
        <w:t xml:space="preserve">sign response: Two-tier verification, rate limiting, community moderation, organizer reputation, and clear instance policy can reduce abuse risk while preserving access for legitimate users. Their effectiveness requires deployment data and incident review.</w:t>
      </w:r>
      <w:r/>
    </w:p>
    <w:p>
      <w:pPr>
        <w:pStyle w:val="962"/>
        <w:pBdr/>
        <w:spacing/>
        <w:ind/>
        <w:rPr/>
      </w:pPr>
      <w:r>
        <w:rPr>
          <w:b/>
          <w:bCs/>
        </w:rPr>
        <w:t xml:space="preserve">Risk 4: Fragmentation and Governance Conflict</w:t>
      </w:r>
      <w:r/>
    </w:p>
    <w:p>
      <w:pPr>
        <w:pStyle w:val="962"/>
        <w:pBdr/>
        <w:spacing/>
        <w:ind/>
        <w:rPr/>
      </w:pPr>
      <w:r>
        <w:t xml:space="preserve">Scenario: Disputes arise over what counts as Islamic, sectarian differences emerge, or moderation policies become contentious. Maintainers burn out handling governance battles rather than developing software.</w:t>
      </w:r>
      <w:r/>
    </w:p>
    <w:p>
      <w:pPr>
        <w:pStyle w:val="962"/>
        <w:pBdr/>
        <w:spacing/>
        <w:ind/>
        <w:rPr/>
      </w:pPr>
      <w:r>
        <w:t xml:space="preserve">Desig</w:t>
      </w:r>
      <w:r>
        <w:t xml:space="preserve">n response: A governance charter, transparent scope definition, appeal paths, and separation between technical administration and theological interpretation can make the conflict surface visible. These tools reduce ambiguity but do not remove disagreement.</w:t>
      </w:r>
      <w:r/>
    </w:p>
    <w:p>
      <w:pPr>
        <w:pStyle w:val="962"/>
        <w:pBdr/>
        <w:spacing/>
        <w:ind/>
        <w:rPr/>
      </w:pPr>
      <w:r>
        <w:rPr>
          <w:b/>
          <w:bCs/>
        </w:rPr>
        <w:t xml:space="preserve">Risk 5: Failure of Distribution</w:t>
      </w:r>
      <w:r/>
    </w:p>
    <w:p>
      <w:pPr>
        <w:pStyle w:val="962"/>
        <w:pBdr/>
        <w:spacing/>
        <w:ind/>
        <w:rPr/>
      </w:pPr>
      <w:r>
        <w:t xml:space="preserve">Scenario: The software is well-designed, but organizers remain on Eventbrite, WhatsApp, or existing channels because those networks already have users.</w:t>
      </w:r>
      <w:r/>
    </w:p>
    <w:p>
      <w:pPr>
        <w:pStyle w:val="962"/>
        <w:pBdr/>
        <w:spacing/>
        <w:ind/>
        <w:rPr/>
      </w:pPr>
      <w:r>
        <w:t xml:space="preserve">Design response: Distribution-aware desig</w:t>
      </w:r>
      <w:r>
        <w:t xml:space="preserve">n can include shareable links with quality previews, embeddable widgets for mosque websites, and integrations with existing community channels. This should be framed as an adoption hypothesis, not as evidence that the platform will displace existing tools.</w:t>
      </w:r>
      <w:r/>
    </w:p>
    <w:p>
      <w:pPr>
        <w:pBdr/>
        <w:spacing/>
        <w:ind/>
        <w:rPr/>
      </w:pPr>
      <w:r>
        <mc:AlternateContent>
          <mc:Choice Requires="wpg">
            <w:drawing>
              <wp:inline xmlns:wp="http://schemas.openxmlformats.org/drawingml/2006/wordprocessingDrawing" distT="0" distB="0" distL="0" distR="0">
                <wp:extent cx="0" cy="19050"/>
                <wp:effectExtent l="0" t="0" r="0" b="0"/>
                <wp:docPr id="6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1" o:spid="_x0000_s61" o:spt="1" type="#_x0000_t1" style="width:0.00pt;height:1.50pt;mso-wrap-distance-left:0.00pt;mso-wrap-distance-top:0.00pt;mso-wrap-distance-right:0.00pt;mso-wrap-distance-bottom:0.00pt;visibility:visible;" fillcolor="#FFFFFF" strokecolor="#000000"/>
            </w:pict>
          </mc:Fallback>
        </mc:AlternateContent>
      </w:r>
      <w:bookmarkEnd w:id="82"/>
      <w:r/>
    </w:p>
    <w:p>
      <w:pPr>
        <w:pStyle w:val="977"/>
        <w:pBdr/>
        <w:spacing/>
        <w:ind/>
        <w:rPr/>
      </w:pPr>
      <w:r/>
      <w:bookmarkStart w:id="83" w:name="summary-islamu-event-i-vsd-application"/>
      <w:r>
        <w:t xml:space="preserve">4.2.7 Summary: ISLAMU Event I-VSD Application</w:t>
      </w:r>
      <w:r/>
    </w:p>
    <w:p>
      <w:pPr>
        <w:pStyle w:val="963"/>
        <w:pBdr/>
        <w:spacing/>
        <w:ind/>
        <w:rPr/>
      </w:pPr>
      <w:r>
        <w:t xml:space="preserve">The ISLAMU Event case illustrates how I-VSD can structure a provider’s movement from principle to design decision. The table below is a traceability matrix, not evidence that the platform has achieved the listed outcomes in practice.</w:t>
      </w:r>
      <w:r/>
    </w:p>
    <w:p>
      <w:pPr>
        <w:pStyle w:val="962"/>
        <w:pBdr/>
        <w:spacing/>
        <w:ind/>
        <w:rPr/>
      </w:pPr>
      <w:r>
        <w:rPr>
          <w:b/>
          <w:bCs/>
        </w:rPr>
        <w:t xml:space="preserve">Table 4.1: ISLAMU Event traceability matrix.</w:t>
      </w:r>
      <w:r>
        <w:t xml:space="preserve"> This matrix links the general I-VSD concern to the ISLAMU Event-specific design application, the responsible evidence level, and the open evaluation need.</w:t>
      </w:r>
      <w:r/>
    </w:p>
    <w:tbl>
      <w:tblPr>
        <w:tblStyle w:val="996"/>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cPr>
          <w:p>
            <w:pPr>
              <w:pStyle w:val="964"/>
              <w:pBdr/>
              <w:spacing/>
              <w:ind/>
              <w:rPr/>
            </w:pPr>
            <w:r>
              <w:t xml:space="preserve">I-VSD concern</w:t>
            </w:r>
            <w:r/>
          </w:p>
        </w:tc>
        <w:tc>
          <w:tcPr>
            <w:tcBorders/>
          </w:tcPr>
          <w:p>
            <w:pPr>
              <w:pStyle w:val="964"/>
              <w:pBdr/>
              <w:spacing/>
              <w:ind/>
              <w:rPr/>
            </w:pPr>
            <w:r>
              <w:t xml:space="preserve">General heuristic</w:t>
            </w:r>
            <w:r/>
          </w:p>
        </w:tc>
        <w:tc>
          <w:tcPr>
            <w:tcBorders/>
          </w:tcPr>
          <w:p>
            <w:pPr>
              <w:pStyle w:val="964"/>
              <w:pBdr/>
              <w:spacing/>
              <w:ind/>
              <w:rPr/>
            </w:pPr>
            <w:r>
              <w:t xml:space="preserve">ISLAMU Event application</w:t>
            </w:r>
            <w:r/>
          </w:p>
        </w:tc>
        <w:tc>
          <w:tcPr>
            <w:tcBorders/>
          </w:tcPr>
          <w:p>
            <w:pPr>
              <w:pStyle w:val="964"/>
              <w:pBdr/>
              <w:spacing/>
              <w:ind/>
              <w:rPr/>
            </w:pPr>
            <w:r>
              <w:t xml:space="preserve">Evidence level</w:t>
            </w:r>
            <w:r/>
          </w:p>
        </w:tc>
        <w:tc>
          <w:tcPr>
            <w:tcBorders/>
          </w:tcPr>
          <w:p>
            <w:pPr>
              <w:pStyle w:val="964"/>
              <w:pBdr/>
              <w:spacing/>
              <w:ind/>
              <w:rPr/>
            </w:pPr>
            <w:r>
              <w:t xml:space="preserve">Open evaluation need</w:t>
            </w:r>
            <w:r/>
          </w:p>
        </w:tc>
      </w:tr>
      <w:tr>
        <w:trPr/>
        <w:tc>
          <w:tcPr>
            <w:tcBorders/>
          </w:tcPr>
          <w:p>
            <w:pPr>
              <w:pStyle w:val="964"/>
              <w:pBdr/>
              <w:spacing/>
              <w:ind/>
              <w:rPr/>
            </w:pPr>
            <w:r>
              <w:t xml:space="preserve">Curation</w:t>
            </w:r>
            <w:r/>
          </w:p>
        </w:tc>
        <w:tc>
          <w:tcPr>
            <w:tcBorders/>
          </w:tcPr>
          <w:p>
            <w:pPr>
              <w:pStyle w:val="964"/>
              <w:pBdr/>
              <w:spacing/>
              <w:ind/>
              <w:rPr/>
            </w:pPr>
            <w:r>
              <w:t xml:space="preserve">Platform scope should match stated moral purpose.</w:t>
            </w:r>
            <w:r/>
          </w:p>
        </w:tc>
        <w:tc>
          <w:tcPr>
            <w:tcBorders/>
          </w:tcPr>
          <w:p>
            <w:pPr>
              <w:pStyle w:val="964"/>
              <w:pBdr/>
              <w:spacing/>
              <w:ind/>
              <w:rPr/>
            </w:pPr>
            <w:r>
              <w:t xml:space="preserve">Islamic-event guidelines, category design, and moderation review.</w:t>
            </w:r>
            <w:r/>
          </w:p>
        </w:tc>
        <w:tc>
          <w:tcPr>
            <w:tcBorders/>
          </w:tcPr>
          <w:p>
            <w:pPr>
              <w:pStyle w:val="964"/>
              <w:pBdr/>
              <w:spacing/>
              <w:ind/>
              <w:rPr/>
            </w:pPr>
            <w:r>
              <w:t xml:space="preserve">Illustrative governance design.</w:t>
            </w:r>
            <w:r/>
          </w:p>
        </w:tc>
        <w:tc>
          <w:tcPr>
            <w:tcBorders/>
          </w:tcPr>
          <w:p>
            <w:pPr>
              <w:pStyle w:val="964"/>
              <w:pBdr/>
              <w:spacing/>
              <w:ind/>
              <w:rPr/>
            </w:pPr>
            <w:r>
              <w:t xml:space="preserve">Stakeholder review of scope, fairness, and appeals.</w:t>
            </w:r>
            <w:r/>
          </w:p>
        </w:tc>
      </w:tr>
      <w:tr>
        <w:trPr/>
        <w:tc>
          <w:tcPr>
            <w:tcBorders/>
          </w:tcPr>
          <w:p>
            <w:pPr>
              <w:pStyle w:val="964"/>
              <w:pBdr/>
              <w:spacing/>
              <w:ind/>
              <w:rPr/>
            </w:pPr>
            <w:r>
              <w:t xml:space="preserve">Anti-scam protection</w:t>
            </w:r>
            <w:r/>
          </w:p>
        </w:tc>
        <w:tc>
          <w:tcPr>
            <w:tcBorders/>
          </w:tcPr>
          <w:p>
            <w:pPr>
              <w:pStyle w:val="964"/>
              <w:pBdr/>
              <w:spacing/>
              <w:ind/>
              <w:rPr/>
            </w:pPr>
            <w:r>
              <w:t xml:space="preserve">Providers should reduce foreseeable harm in open systems.</w:t>
            </w:r>
            <w:r/>
          </w:p>
        </w:tc>
        <w:tc>
          <w:tcPr>
            <w:tcBorders/>
          </w:tcPr>
          <w:p>
            <w:pPr>
              <w:pStyle w:val="964"/>
              <w:pBdr/>
              <w:spacing/>
              <w:ind/>
              <w:rPr/>
            </w:pPr>
            <w:r>
              <w:t xml:space="preserve">Official/self-hosted instance distinction, reporting concepts, verification labels, tenant/platform authority boundaries, and federation policy.</w:t>
            </w:r>
            <w:r/>
          </w:p>
        </w:tc>
        <w:tc>
          <w:tcPr>
            <w:tcBorders/>
          </w:tcPr>
          <w:p>
            <w:pPr>
              <w:pStyle w:val="964"/>
              <w:pBdr/>
              <w:spacing/>
              <w:ind/>
              <w:rPr/>
            </w:pPr>
            <w:r>
              <w:t xml:space="preserve">Design rationale with implementation-traceability evidence for some authority boundaries.</w:t>
            </w:r>
            <w:r/>
          </w:p>
        </w:tc>
        <w:tc>
          <w:tcPr>
            <w:tcBorders/>
          </w:tcPr>
          <w:p>
            <w:pPr>
              <w:pStyle w:val="964"/>
              <w:pBdr/>
              <w:spacing/>
              <w:ind/>
              <w:rPr/>
            </w:pPr>
            <w:r>
              <w:t xml:space="preserve">Abuse-case testing, incident review, and appeal-path evaluation.</w:t>
            </w:r>
            <w:r/>
          </w:p>
        </w:tc>
      </w:tr>
      <w:tr>
        <w:trPr/>
        <w:tc>
          <w:tcPr>
            <w:tcBorders/>
          </w:tcPr>
          <w:p>
            <w:pPr>
              <w:pStyle w:val="964"/>
              <w:pBdr/>
              <w:spacing/>
              <w:ind/>
              <w:rPr/>
            </w:pPr>
            <w:r>
              <w:t xml:space="preserve">Pricing</w:t>
            </w:r>
            <w:r/>
          </w:p>
        </w:tc>
        <w:tc>
          <w:tcPr>
            <w:tcBorders/>
          </w:tcPr>
          <w:p>
            <w:pPr>
              <w:pStyle w:val="964"/>
              <w:pBdr/>
              <w:spacing/>
              <w:ind/>
              <w:rPr/>
            </w:pPr>
            <w:r>
              <w:t xml:space="preserve">Fees should be transparent and proportionate.</w:t>
            </w:r>
            <w:r/>
          </w:p>
        </w:tc>
        <w:tc>
          <w:tcPr>
            <w:tcBorders/>
          </w:tcPr>
          <w:p>
            <w:pPr>
              <w:pStyle w:val="964"/>
              <w:pBdr/>
              <w:spacing/>
              <w:ind/>
              <w:rPr/>
            </w:pPr>
            <w:r>
              <w:t xml:space="preserve">Free events prioritized, visible fee breakdowns, and no hidden charges as a design commitment.</w:t>
            </w:r>
            <w:r/>
          </w:p>
        </w:tc>
        <w:tc>
          <w:tcPr>
            <w:tcBorders/>
          </w:tcPr>
          <w:p>
            <w:pPr>
              <w:pStyle w:val="964"/>
              <w:pBdr/>
              <w:spacing/>
              <w:ind/>
              <w:rPr/>
            </w:pPr>
            <w:r>
              <w:t xml:space="preserve">Business/design commitment.</w:t>
            </w:r>
            <w:r/>
          </w:p>
        </w:tc>
        <w:tc>
          <w:tcPr>
            <w:tcBorders/>
          </w:tcPr>
          <w:p>
            <w:pPr>
              <w:pStyle w:val="964"/>
              <w:pBdr/>
              <w:spacing/>
              <w:ind/>
              <w:rPr/>
            </w:pPr>
            <w:r>
              <w:t xml:space="preserve">Financial review, user comprehension testing, and payment-provider review.</w:t>
            </w:r>
            <w:r/>
          </w:p>
        </w:tc>
      </w:tr>
      <w:tr>
        <w:trPr/>
        <w:tc>
          <w:tcPr>
            <w:tcBorders/>
          </w:tcPr>
          <w:p>
            <w:pPr>
              <w:pStyle w:val="964"/>
              <w:pBdr/>
              <w:spacing/>
              <w:ind/>
              <w:rPr/>
            </w:pPr>
            <w:r>
              <w:t xml:space="preserve">Privacy</w:t>
            </w:r>
            <w:r/>
          </w:p>
        </w:tc>
        <w:tc>
          <w:tcPr>
            <w:tcBorders/>
          </w:tcPr>
          <w:p>
            <w:pPr>
              <w:pStyle w:val="964"/>
              <w:pBdr/>
              <w:spacing/>
              <w:ind/>
              <w:rPr/>
            </w:pPr>
            <w:r>
              <w:t xml:space="preserve">Data collection should be necessary, explained, and controllable.</w:t>
            </w:r>
            <w:r/>
          </w:p>
        </w:tc>
        <w:tc>
          <w:tcPr>
            <w:tcBorders/>
          </w:tcPr>
          <w:p>
            <w:pPr>
              <w:pStyle w:val="964"/>
              <w:pBdr/>
              <w:spacing/>
              <w:ind/>
              <w:rPr/>
            </w:pPr>
            <w:r>
              <w:t xml:space="preserve">Data-minimization direction, BFF token boundary, tenant isolation, PII-split modeling, scoped contact-sharing consent, export/delete-oriented mechanisms, and self-hosting.</w:t>
            </w:r>
            <w:r/>
          </w:p>
        </w:tc>
        <w:tc>
          <w:tcPr>
            <w:tcBorders/>
          </w:tcPr>
          <w:p>
            <w:pPr>
              <w:pStyle w:val="964"/>
              <w:pBdr/>
              <w:spacing/>
              <w:ind/>
              <w:rPr/>
            </w:pPr>
            <w:r>
              <w:t xml:space="preserve">Architecture and implementation-traceability evidence.</w:t>
            </w:r>
            <w:r/>
          </w:p>
        </w:tc>
        <w:tc>
          <w:tcPr>
            <w:tcBorders/>
          </w:tcPr>
          <w:p>
            <w:pPr>
              <w:pStyle w:val="964"/>
              <w:pBdr/>
              <w:spacing/>
              <w:ind/>
              <w:rPr/>
            </w:pPr>
            <w:r>
              <w:t xml:space="preserve">Privacy audit, data-retention review, incident-history review, and user research.</w:t>
            </w:r>
            <w:r/>
          </w:p>
        </w:tc>
      </w:tr>
      <w:tr>
        <w:trPr/>
        <w:tc>
          <w:tcPr>
            <w:tcBorders/>
          </w:tcPr>
          <w:p>
            <w:pPr>
              <w:pStyle w:val="964"/>
              <w:pBdr/>
              <w:spacing/>
              <w:ind/>
              <w:rPr/>
            </w:pPr>
            <w:r>
              <w:t xml:space="preserve">Portability</w:t>
            </w:r>
            <w:r/>
          </w:p>
        </w:tc>
        <w:tc>
          <w:tcPr>
            <w:tcBorders/>
          </w:tcPr>
          <w:p>
            <w:pPr>
              <w:pStyle w:val="964"/>
              <w:pBdr/>
              <w:spacing/>
              <w:ind/>
              <w:rPr/>
            </w:pPr>
            <w:r>
              <w:t xml:space="preserve">Communities should not be trapped by one provider.</w:t>
            </w:r>
            <w:r/>
          </w:p>
        </w:tc>
        <w:tc>
          <w:tcPr>
            <w:tcBorders/>
          </w:tcPr>
          <w:p>
            <w:pPr>
              <w:pStyle w:val="964"/>
              <w:pBdr/>
              <w:spacing/>
              <w:ind/>
              <w:rPr/>
            </w:pPr>
            <w:r>
              <w:t xml:space="preserve">Self-hosting, tenant autonomy, and ATProto/PDS-oriented federation groundwork with outbox/sync concepts.</w:t>
            </w:r>
            <w:r/>
          </w:p>
        </w:tc>
        <w:tc>
          <w:tcPr>
            <w:tcBorders/>
          </w:tcPr>
          <w:p>
            <w:pPr>
              <w:pStyle w:val="964"/>
              <w:pBdr/>
              <w:spacing/>
              <w:ind/>
              <w:rPr/>
            </w:pPr>
            <w:r>
              <w:t xml:space="preserve">Implementation/design evidence for self-hosting and federation groundwork; public interoperability remains a future evaluation area.</w:t>
            </w:r>
            <w:r/>
          </w:p>
        </w:tc>
        <w:tc>
          <w:tcPr>
            <w:tcBorders/>
          </w:tcPr>
          <w:p>
            <w:pPr>
              <w:pStyle w:val="964"/>
              <w:pBdr/>
              <w:spacing/>
              <w:ind/>
              <w:rPr/>
            </w:pPr>
            <w:r>
              <w:t xml:space="preserve">Interoperability testing, moderation/abuse-case testing, and self-hosting usability review.</w:t>
            </w:r>
            <w:r/>
          </w:p>
        </w:tc>
      </w:tr>
      <w:tr>
        <w:trPr/>
        <w:tc>
          <w:tcPr>
            <w:tcBorders/>
          </w:tcPr>
          <w:p>
            <w:pPr>
              <w:pStyle w:val="964"/>
              <w:pBdr/>
              <w:spacing/>
              <w:ind/>
              <w:rPr/>
            </w:pPr>
            <w:r>
              <w:t xml:space="preserve">Client freedom</w:t>
            </w:r>
            <w:r/>
          </w:p>
        </w:tc>
        <w:tc>
          <w:tcPr>
            <w:tcBorders/>
          </w:tcPr>
          <w:p>
            <w:pPr>
              <w:pStyle w:val="964"/>
              <w:pBdr/>
              <w:spacing/>
              <w:ind/>
              <w:rPr/>
            </w:pPr>
            <w:r>
              <w:t xml:space="preserve">Official clients should not convert open and self-hostable infrastructure into practical provider lock-in.</w:t>
            </w:r>
            <w:r/>
          </w:p>
        </w:tc>
        <w:tc>
          <w:tcPr>
            <w:tcBorders/>
          </w:tcPr>
          <w:p>
            <w:pPr>
              <w:pStyle w:val="964"/>
              <w:pBdr/>
              <w:spacing/>
              <w:ind/>
              <w:rPr/>
            </w:pPr>
            <w:r>
              <w:t xml:space="preserve">Future client onboarding should support quick official ISLAMU setup, verified instance discovery, custom API URLs, instance switching, and tenant switching.</w:t>
            </w:r>
            <w:r/>
          </w:p>
        </w:tc>
        <w:tc>
          <w:tcPr>
            <w:tcBorders/>
          </w:tcPr>
          <w:p>
            <w:pPr>
              <w:pStyle w:val="964"/>
              <w:pBdr/>
              <w:spacing/>
              <w:ind/>
              <w:rPr/>
            </w:pPr>
            <w:r>
              <w:t xml:space="preserve">Future design direction and author design reasoning; not implemented-client evidence.</w:t>
            </w:r>
            <w:r/>
          </w:p>
        </w:tc>
        <w:tc>
          <w:tcPr>
            <w:tcBorders/>
          </w:tcPr>
          <w:p>
            <w:pPr>
              <w:pStyle w:val="964"/>
              <w:pBdr/>
              <w:spacing/>
              <w:ind/>
              <w:rPr/>
            </w:pPr>
            <w:r>
              <w:t xml:space="preserve">Client usability testing, self-hosting setup review, default-choice audit, and instance-governance review.</w:t>
            </w:r>
            <w:r/>
          </w:p>
        </w:tc>
      </w:tr>
      <w:tr>
        <w:trPr/>
        <w:tc>
          <w:tcPr>
            <w:tcBorders/>
          </w:tcPr>
          <w:p>
            <w:pPr>
              <w:pStyle w:val="964"/>
              <w:pBdr/>
              <w:spacing/>
              <w:ind/>
              <w:rPr/>
            </w:pPr>
            <w:r>
              <w:t xml:space="preserve">Liturgical time</w:t>
            </w:r>
            <w:r/>
          </w:p>
        </w:tc>
        <w:tc>
          <w:tcPr>
            <w:tcBorders/>
          </w:tcPr>
          <w:p>
            <w:pPr>
              <w:pStyle w:val="964"/>
              <w:pBdr/>
              <w:spacing/>
              <w:ind/>
              <w:rPr/>
            </w:pPr>
            <w:r>
              <w:t xml:space="preserve">Software should fit important religious practices where relevant.</w:t>
            </w:r>
            <w:r/>
          </w:p>
        </w:tc>
        <w:tc>
          <w:tcPr>
            <w:tcBorders/>
          </w:tcPr>
          <w:p>
            <w:pPr>
              <w:pStyle w:val="964"/>
              <w:pBdr/>
              <w:spacing/>
              <w:ind/>
              <w:rPr/>
            </w:pPr>
            <w:r>
              <w:t xml:space="preserve">Prayer-relative scheduling for events around prayer times.</w:t>
            </w:r>
            <w:r/>
          </w:p>
        </w:tc>
        <w:tc>
          <w:tcPr>
            <w:tcBorders/>
          </w:tcPr>
          <w:p>
            <w:pPr>
              <w:pStyle w:val="964"/>
              <w:pBdr/>
              <w:spacing/>
              <w:ind/>
              <w:rPr/>
            </w:pPr>
            <w:r>
              <w:t xml:space="preserve">Design example.</w:t>
            </w:r>
            <w:r/>
          </w:p>
        </w:tc>
        <w:tc>
          <w:tcPr>
            <w:tcBorders/>
          </w:tcPr>
          <w:p>
            <w:pPr>
              <w:pStyle w:val="964"/>
              <w:pBdr/>
              <w:spacing/>
              <w:ind/>
              <w:rPr/>
            </w:pPr>
            <w:r>
              <w:t xml:space="preserve">Community review of calculation methods and override needs.</w:t>
            </w:r>
            <w:r/>
          </w:p>
        </w:tc>
      </w:tr>
      <w:tr>
        <w:trPr/>
        <w:tc>
          <w:tcPr>
            <w:tcBorders/>
          </w:tcPr>
          <w:p>
            <w:pPr>
              <w:pStyle w:val="964"/>
              <w:pBdr/>
              <w:spacing/>
              <w:ind/>
              <w:rPr/>
            </w:pPr>
            <w:r>
              <w:t xml:space="preserve">Verification</w:t>
            </w:r>
            <w:r/>
          </w:p>
        </w:tc>
        <w:tc>
          <w:tcPr>
            <w:tcBorders/>
          </w:tcPr>
          <w:p>
            <w:pPr>
              <w:pStyle w:val="964"/>
              <w:pBdr/>
              <w:spacing/>
              <w:ind/>
              <w:rPr/>
            </w:pPr>
            <w:r>
              <w:t xml:space="preserve">Trust signals should communicate risk without excluding legitimate users.</w:t>
            </w:r>
            <w:r/>
          </w:p>
        </w:tc>
        <w:tc>
          <w:tcPr>
            <w:tcBorders/>
          </w:tcPr>
          <w:p>
            <w:pPr>
              <w:pStyle w:val="964"/>
              <w:pBdr/>
              <w:spacing/>
              <w:ind/>
              <w:rPr/>
            </w:pPr>
            <w:r>
              <w:t xml:space="preserve">User-reported and verified-organization tiers.</w:t>
            </w:r>
            <w:r/>
          </w:p>
        </w:tc>
        <w:tc>
          <w:tcPr>
            <w:tcBorders/>
          </w:tcPr>
          <w:p>
            <w:pPr>
              <w:pStyle w:val="964"/>
              <w:pBdr/>
              <w:spacing/>
              <w:ind/>
              <w:rPr/>
            </w:pPr>
            <w:r>
              <w:t xml:space="preserve">Governance design.</w:t>
            </w:r>
            <w:r/>
          </w:p>
        </w:tc>
        <w:tc>
          <w:tcPr>
            <w:tcBorders/>
          </w:tcPr>
          <w:p>
            <w:pPr>
              <w:pStyle w:val="964"/>
              <w:pBdr/>
              <w:spacing/>
              <w:ind/>
              <w:rPr/>
            </w:pPr>
            <w:r>
              <w:t xml:space="preserve">Appeals, false-positive review, and monitoring of exclusion effects.</w:t>
            </w:r>
            <w:r/>
          </w:p>
        </w:tc>
      </w:tr>
      <w:tr>
        <w:trPr/>
        <w:tc>
          <w:tcPr>
            <w:tcBorders/>
          </w:tcPr>
          <w:p>
            <w:pPr>
              <w:pStyle w:val="964"/>
              <w:pBdr/>
              <w:spacing/>
              <w:ind/>
              <w:rPr/>
            </w:pPr>
            <w:r>
              <w:t xml:space="preserve">Discovery</w:t>
            </w:r>
            <w:r/>
          </w:p>
        </w:tc>
        <w:tc>
          <w:tcPr>
            <w:tcBorders/>
          </w:tcPr>
          <w:p>
            <w:pPr>
              <w:pStyle w:val="964"/>
              <w:pBdr/>
              <w:spacing/>
              <w:ind/>
              <w:rPr/>
            </w:pPr>
            <w:r>
              <w:t xml:space="preserve">Recommendations should serve user goals, not attention extraction.</w:t>
            </w:r>
            <w:r/>
          </w:p>
        </w:tc>
        <w:tc>
          <w:tcPr>
            <w:tcBorders/>
          </w:tcPr>
          <w:p>
            <w:pPr>
              <w:pStyle w:val="964"/>
              <w:pBdr/>
              <w:spacing/>
              <w:ind/>
              <w:rPr/>
            </w:pPr>
            <w:r>
              <w:t xml:space="preserve">Transparent filters, chronological alternatives, and explainable discovery as design goals.</w:t>
            </w:r>
            <w:r/>
          </w:p>
        </w:tc>
        <w:tc>
          <w:tcPr>
            <w:tcBorders/>
          </w:tcPr>
          <w:p>
            <w:pPr>
              <w:pStyle w:val="964"/>
              <w:pBdr/>
              <w:spacing/>
              <w:ind/>
              <w:rPr/>
            </w:pPr>
            <w:r>
              <w:t xml:space="preserve">Design intention and partial implementation-traceability evidence through event metadata/filtering.</w:t>
            </w:r>
            <w:r/>
          </w:p>
        </w:tc>
        <w:tc>
          <w:tcPr>
            <w:tcBorders/>
          </w:tcPr>
          <w:p>
            <w:pPr>
              <w:pStyle w:val="964"/>
              <w:pBdr/>
              <w:spacing/>
              <w:ind/>
              <w:rPr/>
            </w:pPr>
            <w:r>
              <w:t xml:space="preserve">Algorithm audit and user feedback.</w:t>
            </w:r>
            <w:r/>
          </w:p>
        </w:tc>
      </w:tr>
      <w:tr>
        <w:trPr/>
        <w:tc>
          <w:tcPr>
            <w:tcBorders/>
          </w:tcPr>
          <w:p>
            <w:pPr>
              <w:pStyle w:val="964"/>
              <w:pBdr/>
              <w:spacing/>
              <w:ind/>
              <w:rPr/>
            </w:pPr>
            <w:r>
              <w:t xml:space="preserve">Accessibility</w:t>
            </w:r>
            <w:r/>
          </w:p>
        </w:tc>
        <w:tc>
          <w:tcPr>
            <w:tcBorders/>
          </w:tcPr>
          <w:p>
            <w:pPr>
              <w:pStyle w:val="964"/>
              <w:pBdr/>
              <w:spacing/>
              <w:ind/>
              <w:rPr/>
            </w:pPr>
            <w:r>
              <w:t xml:space="preserve">Language and ability should not become avoidable barriers.</w:t>
            </w:r>
            <w:r/>
          </w:p>
        </w:tc>
        <w:tc>
          <w:tcPr>
            <w:tcBorders/>
          </w:tcPr>
          <w:p>
            <w:pPr>
              <w:pStyle w:val="964"/>
              <w:pBdr/>
              <w:spacing/>
              <w:ind/>
              <w:rPr/>
            </w:pPr>
            <w:r>
              <w:t xml:space="preserve">Localization architecture, language metadata, language picker/preference handling, RTL/direction support, accessibility focus/announcement services, skip-link/main-landmark/live-region patterns, component conventions, and checklist/testing traceability.</w:t>
            </w:r>
            <w:r/>
          </w:p>
        </w:tc>
        <w:tc>
          <w:tcPr>
            <w:tcBorders/>
          </w:tcPr>
          <w:p>
            <w:pPr>
              <w:pStyle w:val="964"/>
              <w:pBdr/>
              <w:spacing/>
              <w:ind/>
              <w:rPr/>
            </w:pPr>
            <w:r>
              <w:t xml:space="preserve">Accessibility-oriented implementation evidence, not certification, audit, complete localization, or user-outcome evidence.</w:t>
            </w:r>
            <w:r/>
          </w:p>
        </w:tc>
        <w:tc>
          <w:tcPr>
            <w:tcBorders/>
          </w:tcPr>
          <w:p>
            <w:pPr>
              <w:pStyle w:val="964"/>
              <w:pBdr/>
              <w:spacing/>
              <w:ind/>
              <w:rPr/>
            </w:pPr>
            <w:r>
              <w:t xml:space="preserve">Accessibility testing, translation review, assistive-technology feedback, browser-level accessibility automation, and maintenance review.</w:t>
            </w:r>
            <w:r/>
          </w:p>
        </w:tc>
      </w:tr>
    </w:tbl>
    <w:p>
      <w:pPr>
        <w:pStyle w:val="962"/>
        <w:pBdr/>
        <w:spacing/>
        <w:ind/>
        <w:rPr/>
      </w:pPr>
      <w:r>
        <w:t xml:space="preserve">This summary supports the thesis claim that I-VSD can organize ethical design reasoning across strategic, design, technical, operational, governance, and evaluation domain</w:t>
      </w:r>
      <w:r>
        <w:t xml:space="preserve">s. It does not claim that Event establishes the framework empirically. The stronger claims about trust, harm reduction, privacy outcomes, accessibility outcomes, sustainability, federation maturity, and community benefit remain future evaluation questions.</w:t>
      </w:r>
      <w:r/>
    </w:p>
    <w:p>
      <w:pPr>
        <w:pBdr/>
        <w:spacing/>
        <w:ind/>
        <w:rPr/>
      </w:pPr>
      <w:r>
        <mc:AlternateContent>
          <mc:Choice Requires="wpg">
            <w:drawing>
              <wp:inline xmlns:wp="http://schemas.openxmlformats.org/drawingml/2006/wordprocessingDrawing" distT="0" distB="0" distL="0" distR="0">
                <wp:extent cx="0" cy="19050"/>
                <wp:effectExtent l="0" t="0" r="0" b="0"/>
                <wp:docPr id="6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2" o:spid="_x0000_s62" o:spt="1" type="#_x0000_t1" style="width:0.00pt;height:1.50pt;mso-wrap-distance-left:0.00pt;mso-wrap-distance-top:0.00pt;mso-wrap-distance-right:0.00pt;mso-wrap-distance-bottom:0.00pt;visibility:visible;" fillcolor="#FFFFFF" strokecolor="#000000"/>
            </w:pict>
          </mc:Fallback>
        </mc:AlternateContent>
      </w:r>
      <w:bookmarkEnd w:id="83"/>
      <w:bookmarkEnd w:id="84"/>
      <w:r/>
    </w:p>
    <w:p>
      <w:pPr>
        <w:pStyle w:val="976"/>
        <w:pBdr/>
        <w:spacing/>
        <w:ind/>
        <w:rPr/>
      </w:pPr>
      <w:r/>
      <w:bookmarkStart w:id="90" w:name="guiding-strategic-and-business-decisions"/>
      <w:r>
        <w:t xml:space="preserve">4.3 Guiding Strategic and Business Decisions</w:t>
      </w:r>
      <w:r/>
    </w:p>
    <w:p>
      <w:pPr>
        <w:pStyle w:val="963"/>
        <w:pBdr/>
        <w:spacing/>
        <w:ind/>
        <w:rPr/>
      </w:pPr>
      <w:r>
        <w:t xml:space="preserve">This section treats st</w:t>
      </w:r>
      <w:r>
        <w:t xml:space="preserve">rategic and business choices as part of the Event case’s design reasoning. In I-VSD, funding, ownership, partnerships, licensing, and business incentives are not external background details; they shape what the provider will be tempted or able to do later.</w:t>
      </w:r>
      <w:r/>
    </w:p>
    <w:p>
      <w:pPr>
        <w:pStyle w:val="962"/>
        <w:pBdr/>
        <w:spacing/>
        <w:ind/>
        <w:rPr/>
      </w:pPr>
      <w:r>
        <w:t xml:space="preserve">The claims in this secti</w:t>
      </w:r>
      <w:r>
        <w:t xml:space="preserve">on are therefore design and governance claims. They explain how the framework can structure strategic choices, but they do not establish that the resulting organization will remain sustainable, trusted, or ethically consistent without continued evaluation.</w:t>
      </w:r>
      <w:r/>
    </w:p>
    <w:p>
      <w:pPr>
        <w:pStyle w:val="962"/>
        <w:pBdr/>
        <w:spacing/>
        <w:ind/>
        <w:rPr/>
      </w:pPr>
      <w:r>
        <w:t xml:space="preserve">The following subsections should therefore be read as framework applications and governance hypotheses, not as evidence that nonprofit status, open-source licensing, provider separation, or sponsor screening automatically produce ethical outcom</w:t>
      </w:r>
      <w:r>
        <w:t xml:space="preserve">es. Internal ISLAMU business-model notes support strategic intent; current Event repository evidence supports licensing, self-hosting, and deployment-orientation claims; outcome claims require future operational, financial, stakeholder, and audit evidence.</w:t>
      </w:r>
      <w:r/>
    </w:p>
    <w:p>
      <w:pPr>
        <w:pBdr/>
        <w:spacing/>
        <w:ind/>
        <w:rPr/>
      </w:pPr>
      <w:r>
        <mc:AlternateContent>
          <mc:Choice Requires="wpg">
            <w:drawing>
              <wp:inline xmlns:wp="http://schemas.openxmlformats.org/drawingml/2006/wordprocessingDrawing" distT="0" distB="0" distL="0" distR="0">
                <wp:extent cx="0" cy="19050"/>
                <wp:effectExtent l="0" t="0" r="0" b="0"/>
                <wp:docPr id="6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3" o:spid="_x0000_s63"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85" w:name="X63ba1c58eb476792d1513f16d6b5b49422179d7"/>
      <w:r>
        <w:t xml:space="preserve">4.3.1 Organizational Structure: Non-Profit Model</w:t>
      </w:r>
      <w:r/>
    </w:p>
    <w:p>
      <w:pPr>
        <w:pStyle w:val="963"/>
        <w:pBdr/>
        <w:spacing/>
        <w:ind/>
        <w:rPr/>
      </w:pPr>
      <w:r>
        <w:rPr>
          <w:b/>
          <w:bCs/>
        </w:rPr>
        <w:t xml:space="preserve">Decision:</w:t>
      </w:r>
      <w:r>
        <w:t xml:space="preserve"> Treat ISLAMU’s ASBL form as a governance choice for this case.</w:t>
      </w:r>
      <w:r/>
    </w:p>
    <w:p>
      <w:pPr>
        <w:pStyle w:val="962"/>
        <w:pBdr/>
        <w:spacing/>
        <w:ind/>
        <w:rPr/>
      </w:pPr>
      <w:r>
        <w:rPr>
          <w:b/>
          <w:bCs/>
        </w:rPr>
        <w:t xml:space="preserve">I-VSD Framework Application:</w:t>
      </w:r>
      <w:r/>
    </w:p>
    <w:p>
      <w:pPr>
        <w:pStyle w:val="964"/>
        <w:numPr>
          <w:ilvl w:val="0"/>
          <w:numId w:val="101"/>
        </w:numPr>
        <w:pBdr/>
        <w:spacing/>
        <w:ind/>
        <w:rPr/>
      </w:pPr>
      <w:r>
        <w:rPr>
          <w:b/>
          <w:bCs/>
        </w:rPr>
        <w:t xml:space="preserve">Principle lens:</w:t>
      </w:r>
      <w:r>
        <w:t xml:space="preserve"> Service to community, stewardship, transparency, and accountability.</w:t>
      </w:r>
      <w:r/>
    </w:p>
    <w:p>
      <w:pPr>
        <w:pStyle w:val="964"/>
        <w:numPr>
          <w:ilvl w:val="0"/>
          <w:numId w:val="101"/>
        </w:numPr>
        <w:pBdr/>
        <w:spacing/>
        <w:ind/>
        <w:rPr/>
      </w:pPr>
      <w:r>
        <w:rPr>
          <w:b/>
          <w:bCs/>
        </w:rPr>
        <w:t xml:space="preserve">Heuristic Applied:</w:t>
      </w:r>
      <w:r>
        <w:t xml:space="preserve"> Organizational form should be examined as part of the design environment.</w:t>
      </w:r>
      <w:r/>
    </w:p>
    <w:p>
      <w:pPr>
        <w:pStyle w:val="964"/>
        <w:numPr>
          <w:ilvl w:val="0"/>
          <w:numId w:val="101"/>
        </w:numPr>
        <w:pBdr/>
        <w:spacing/>
        <w:ind/>
        <w:rPr/>
      </w:pPr>
      <w:r>
        <w:rPr>
          <w:b/>
          <w:bCs/>
        </w:rPr>
        <w:t xml:space="preserve">Rationale:</w:t>
      </w:r>
      <w:r>
        <w:t xml:space="preserve"> The non-profit form can support:</w:t>
      </w:r>
      <w:r/>
    </w:p>
    <w:p>
      <w:pPr>
        <w:pStyle w:val="964"/>
        <w:numPr>
          <w:ilvl w:val="1"/>
          <w:numId w:val="102"/>
        </w:numPr>
        <w:pBdr/>
        <w:spacing/>
        <w:ind/>
        <w:rPr/>
      </w:pPr>
      <w:r>
        <w:t xml:space="preserve">Mission orientation and community benefit as explicit organizational aims</w:t>
      </w:r>
      <w:r/>
    </w:p>
    <w:p>
      <w:pPr>
        <w:pStyle w:val="964"/>
        <w:numPr>
          <w:ilvl w:val="1"/>
          <w:numId w:val="102"/>
        </w:numPr>
        <w:pBdr/>
        <w:spacing/>
        <w:ind/>
        <w:rPr/>
      </w:pPr>
      <w:r>
        <w:t xml:space="preserve">Financial transparency and governance accountability requirements</w:t>
      </w:r>
      <w:r/>
    </w:p>
    <w:p>
      <w:pPr>
        <w:pStyle w:val="964"/>
        <w:numPr>
          <w:ilvl w:val="1"/>
          <w:numId w:val="102"/>
        </w:numPr>
        <w:pBdr/>
        <w:spacing/>
        <w:ind/>
        <w:rPr/>
      </w:pPr>
      <w:r>
        <w:t xml:space="preserve">Reduced pressure to optimize primarily for investor returns</w:t>
      </w:r>
      <w:r/>
    </w:p>
    <w:p>
      <w:pPr>
        <w:pStyle w:val="963"/>
        <w:pBdr/>
        <w:spacing/>
        <w:ind/>
        <w:rPr/>
      </w:pPr>
      <w:r>
        <w:rPr>
          <w:b/>
          <w:bCs/>
        </w:rPr>
        <w:t xml:space="preserve">Alternative considered:</w:t>
      </w:r>
      <w:r>
        <w:t xml:space="preserve"> For-profit structure.</w:t>
      </w:r>
      <w:r/>
    </w:p>
    <w:p>
      <w:pPr>
        <w:pStyle w:val="962"/>
        <w:pBdr/>
        <w:spacing/>
        <w:ind/>
        <w:rPr/>
      </w:pPr>
      <w:r>
        <w:rPr>
          <w:b/>
          <w:bCs/>
        </w:rPr>
        <w:t xml:space="preserve">Why not selected for this case:</w:t>
      </w:r>
      <w:r>
        <w:t xml:space="preserve"> A conventional for-profit structure may create tensions between investor return, growth pressure, and community service missi</w:t>
      </w:r>
      <w:r>
        <w:t xml:space="preserve">on. This is not a general claim that all for-profit software or paid services are unethical. The narrower claim is that the ASBL form is a better fit for the thesis case because it makes mission accountability and stewardship easier to analyze under I-VSD.</w:t>
      </w:r>
      <w:r/>
    </w:p>
    <w:p>
      <w:pPr>
        <w:pStyle w:val="962"/>
        <w:pBdr/>
        <w:spacing/>
        <w:ind/>
        <w:rPr/>
      </w:pPr>
      <w:r>
        <w:rPr>
          <w:b/>
          <w:bCs/>
        </w:rPr>
        <w:t xml:space="preserve">Boundary:</w:t>
      </w:r>
      <w:r>
        <w:t xml:space="preserve"> Non-profi</w:t>
      </w:r>
      <w:r>
        <w:t xml:space="preserve">t structure does not by itself create transparency, sustainability, or ethical practice. It introduces its own risks, including donor dependence, capacity limits, governance burden, and slower execution. Those risks must remain visible in later evaluation.</w:t>
      </w:r>
      <w:r/>
    </w:p>
    <w:p>
      <w:pPr>
        <w:pBdr/>
        <w:spacing/>
        <w:ind/>
        <w:rPr/>
      </w:pPr>
      <w:r>
        <mc:AlternateContent>
          <mc:Choice Requires="wpg">
            <w:drawing>
              <wp:inline xmlns:wp="http://schemas.openxmlformats.org/drawingml/2006/wordprocessingDrawing" distT="0" distB="0" distL="0" distR="0">
                <wp:extent cx="0" cy="19050"/>
                <wp:effectExtent l="0" t="0" r="0" b="0"/>
                <wp:docPr id="6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4" o:spid="_x0000_s64" o:spt="1" type="#_x0000_t1" style="width:0.00pt;height:1.50pt;mso-wrap-distance-left:0.00pt;mso-wrap-distance-top:0.00pt;mso-wrap-distance-right:0.00pt;mso-wrap-distance-bottom:0.00pt;visibility:visible;" fillcolor="#FFFFFF" strokecolor="#000000"/>
            </w:pict>
          </mc:Fallback>
        </mc:AlternateContent>
      </w:r>
      <w:bookmarkEnd w:id="85"/>
      <w:r/>
    </w:p>
    <w:p>
      <w:pPr>
        <w:pStyle w:val="977"/>
        <w:pBdr/>
        <w:spacing/>
        <w:ind/>
        <w:rPr/>
      </w:pPr>
      <w:r/>
      <w:bookmarkStart w:id="86" w:name="funding-strategy-no-capital-investors"/>
      <w:r>
        <w:t xml:space="preserve">4.3.2 Funding Strategy: No Capital Investors</w:t>
      </w:r>
      <w:r/>
    </w:p>
    <w:p>
      <w:pPr>
        <w:pStyle w:val="963"/>
        <w:pBdr/>
        <w:spacing/>
        <w:ind/>
        <w:rPr/>
      </w:pPr>
      <w:r>
        <w:rPr>
          <w:b/>
          <w:bCs/>
        </w:rPr>
        <w:t xml:space="preserve">Decision:</w:t>
      </w:r>
      <w:r>
        <w:t xml:space="preserve"> Avoid conventional investor funding for this case.</w:t>
      </w:r>
      <w:r/>
    </w:p>
    <w:p>
      <w:pPr>
        <w:pStyle w:val="962"/>
        <w:pBdr/>
        <w:spacing/>
        <w:ind/>
        <w:rPr/>
      </w:pPr>
      <w:r>
        <w:rPr>
          <w:b/>
          <w:bCs/>
        </w:rPr>
        <w:t xml:space="preserve">I-VSD Framework Application:</w:t>
      </w:r>
      <w:r/>
    </w:p>
    <w:p>
      <w:pPr>
        <w:pStyle w:val="964"/>
        <w:numPr>
          <w:ilvl w:val="0"/>
          <w:numId w:val="103"/>
        </w:numPr>
        <w:pBdr/>
        <w:spacing/>
        <w:ind/>
        <w:rPr/>
      </w:pPr>
      <w:r>
        <w:rPr>
          <w:b/>
          <w:bCs/>
        </w:rPr>
        <w:t xml:space="preserve">Principle lens:</w:t>
      </w:r>
      <w:r>
        <w:t xml:space="preserve"> Avoiding misaligned incentives, preserving autonomy over ethical decisions, and reviewing finance structures that may create dependency or ethically problematic obligations under the thesis’s selected Islamic ethical concerns.</w:t>
      </w:r>
      <w:r/>
    </w:p>
    <w:p>
      <w:pPr>
        <w:pStyle w:val="964"/>
        <w:numPr>
          <w:ilvl w:val="0"/>
          <w:numId w:val="103"/>
        </w:numPr>
        <w:pBdr/>
        <w:spacing/>
        <w:ind/>
        <w:rPr/>
      </w:pPr>
      <w:r>
        <w:rPr>
          <w:b/>
          <w:bCs/>
        </w:rPr>
        <w:t xml:space="preserve">Heuristic Applied:</w:t>
      </w:r>
      <w:r>
        <w:t xml:space="preserve"> Funding structure should be evaluated as a design constraint because it shapes future incentives.</w:t>
      </w:r>
      <w:r/>
    </w:p>
    <w:p>
      <w:pPr>
        <w:pStyle w:val="964"/>
        <w:numPr>
          <w:ilvl w:val="0"/>
          <w:numId w:val="103"/>
        </w:numPr>
        <w:pBdr/>
        <w:spacing/>
        <w:ind/>
        <w:rPr/>
      </w:pPr>
      <w:r>
        <w:rPr>
          <w:b/>
          <w:bCs/>
        </w:rPr>
        <w:t xml:space="preserve">Rationale:</w:t>
      </w:r>
      <w:r>
        <w:t xml:space="preserve"> Conventional venture-style funding can create pressure to:</w:t>
      </w:r>
      <w:r/>
    </w:p>
    <w:p>
      <w:pPr>
        <w:pStyle w:val="964"/>
        <w:numPr>
          <w:ilvl w:val="1"/>
          <w:numId w:val="104"/>
        </w:numPr>
        <w:pBdr/>
        <w:spacing/>
        <w:ind/>
        <w:rPr/>
      </w:pPr>
      <w:r>
        <w:t xml:space="preserve">Prioritize growth over community benefit</w:t>
      </w:r>
      <w:r/>
    </w:p>
    <w:p>
      <w:pPr>
        <w:pStyle w:val="964"/>
        <w:numPr>
          <w:ilvl w:val="1"/>
          <w:numId w:val="104"/>
        </w:numPr>
        <w:pBdr/>
        <w:spacing/>
        <w:ind/>
        <w:rPr/>
      </w:pPr>
      <w:r>
        <w:t xml:space="preserve">Introduce manipulative conversion patterns</w:t>
      </w:r>
      <w:r/>
    </w:p>
    <w:p>
      <w:pPr>
        <w:pStyle w:val="964"/>
        <w:numPr>
          <w:ilvl w:val="1"/>
          <w:numId w:val="104"/>
        </w:numPr>
        <w:pBdr/>
        <w:spacing/>
        <w:ind/>
        <w:rPr/>
      </w:pPr>
      <w:r>
        <w:t xml:space="preserve">Monetize user data or attention</w:t>
      </w:r>
      <w:r/>
    </w:p>
    <w:p>
      <w:pPr>
        <w:pStyle w:val="964"/>
        <w:numPr>
          <w:ilvl w:val="1"/>
          <w:numId w:val="104"/>
        </w:numPr>
        <w:pBdr/>
        <w:spacing/>
        <w:ind/>
        <w:rPr/>
      </w:pPr>
      <w:r>
        <w:t xml:space="preserve">Prefer exit strategy over long-term stewardship</w:t>
      </w:r>
      <w:r/>
    </w:p>
    <w:p>
      <w:pPr>
        <w:pStyle w:val="964"/>
        <w:numPr>
          <w:ilvl w:val="1"/>
          <w:numId w:val="104"/>
        </w:numPr>
        <w:pBdr/>
        <w:spacing/>
        <w:ind/>
        <w:rPr/>
      </w:pPr>
      <w:r>
        <w:t xml:space="preserve">Reframe public-good infrastructure as a growth asset</w:t>
      </w:r>
      <w:r/>
    </w:p>
    <w:p>
      <w:pPr>
        <w:pStyle w:val="963"/>
        <w:pBdr/>
        <w:spacing/>
        <w:ind/>
        <w:rPr/>
      </w:pPr>
      <w:r>
        <w:rPr>
          <w:b/>
          <w:bCs/>
        </w:rPr>
        <w:t xml:space="preserve">Alternative considered:</w:t>
      </w:r>
      <w:r>
        <w:t xml:space="preserve"> Angel investors, venture capital, or other investor-led financing.</w:t>
      </w:r>
      <w:r/>
    </w:p>
    <w:p>
      <w:pPr>
        <w:pStyle w:val="962"/>
        <w:pBdr/>
        <w:spacing/>
        <w:ind/>
        <w:rPr/>
      </w:pPr>
      <w:r>
        <w:rPr>
          <w:b/>
          <w:bCs/>
        </w:rPr>
        <w:t xml:space="preserve">Why not selected for this case:</w:t>
      </w:r>
      <w:r>
        <w:t xml:space="preserve"> For ISLAMU’s intended public-interest role, investor-led financing is treated as a high-risk incentive structure. This is not a universal claim t</w:t>
      </w:r>
      <w:r>
        <w:t xml:space="preserve">hat all investment, paid SaaS, or commercial software is Islamically impermissible. It is a case-specific governance judgment that such funding would require qualified legal, financial, and scholarly review before being compatible with the thesis’s values.</w:t>
      </w:r>
      <w:r/>
    </w:p>
    <w:p>
      <w:pPr>
        <w:pStyle w:val="962"/>
        <w:pBdr/>
        <w:spacing/>
        <w:ind/>
        <w:rPr/>
      </w:pPr>
      <w:r>
        <w:rPr>
          <w:b/>
          <w:bCs/>
        </w:rPr>
        <w:t xml:space="preserve">Chosen funding direction:</w:t>
      </w:r>
      <w:r/>
    </w:p>
    <w:p>
      <w:pPr>
        <w:pStyle w:val="962"/>
        <w:pBdr/>
        <w:spacing/>
        <w:ind/>
        <w:rPr/>
      </w:pPr>
      <w:r>
        <w:t xml:space="preserve">ISLAMU’s internal planning favors community donations, mission-compatible grants, bounded support, sponsorships with influence</w:t>
      </w:r>
      <w:r>
        <w:t xml:space="preserve"> limits, and contributed effort. This approach may sacrifice growth speed for value alignment, but it also creates sustainability risks that must be evaluated through public terms, financial transparency, operational capacity, and donor/sponsor governance.</w:t>
      </w:r>
      <w:r/>
    </w:p>
    <w:p>
      <w:pPr>
        <w:pBdr/>
        <w:spacing/>
        <w:ind/>
        <w:rPr/>
      </w:pPr>
      <w:r>
        <mc:AlternateContent>
          <mc:Choice Requires="wpg">
            <w:drawing>
              <wp:inline xmlns:wp="http://schemas.openxmlformats.org/drawingml/2006/wordprocessingDrawing" distT="0" distB="0" distL="0" distR="0">
                <wp:extent cx="0" cy="19050"/>
                <wp:effectExtent l="0" t="0" r="0" b="0"/>
                <wp:docPr id="6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5" o:spid="_x0000_s65" o:spt="1" type="#_x0000_t1" style="width:0.00pt;height:1.50pt;mso-wrap-distance-left:0.00pt;mso-wrap-distance-top:0.00pt;mso-wrap-distance-right:0.00pt;mso-wrap-distance-bottom:0.00pt;visibility:visible;" fillcolor="#FFFFFF" strokecolor="#000000"/>
            </w:pict>
          </mc:Fallback>
        </mc:AlternateContent>
      </w:r>
      <w:bookmarkEnd w:id="86"/>
      <w:r/>
    </w:p>
    <w:p>
      <w:pPr>
        <w:pStyle w:val="977"/>
        <w:pBdr/>
        <w:spacing/>
        <w:ind/>
        <w:rPr/>
      </w:pPr>
      <w:r/>
      <w:bookmarkStart w:id="87" w:name="X77cde8ab67140e26f59a25eadb2343acb23e404"/>
      <w:r>
        <w:t xml:space="preserve">4.3.3 Software Philosophy: Open Source and User Freedom</w:t>
      </w:r>
      <w:r/>
    </w:p>
    <w:p>
      <w:pPr>
        <w:pStyle w:val="963"/>
        <w:pBdr/>
        <w:spacing/>
        <w:ind/>
        <w:rPr/>
      </w:pPr>
      <w:r>
        <w:t xml:space="preserve">ISLAMU’s commitment to Free and Open Source Software (FOSS) is treated</w:t>
      </w:r>
      <w:r>
        <w:t xml:space="preserve"> here as a governance affordance, not merely a technical preference. In I-VSD terms, source availability, licensing, documentation, and self-hosting affect whether users and communities can inspect claims, exit a provider, or adapt software to local needs.</w:t>
      </w:r>
      <w:r/>
    </w:p>
    <w:p>
      <w:pPr>
        <w:pStyle w:val="962"/>
        <w:pBdr/>
        <w:spacing/>
        <w:ind/>
        <w:rPr/>
      </w:pPr>
      <w:r>
        <w:rPr>
          <w:b/>
          <w:bCs/>
        </w:rPr>
        <w:t xml:space="preserve">The User Control Imperative</w:t>
      </w:r>
      <w:r/>
    </w:p>
    <w:p>
      <w:pPr>
        <w:pStyle w:val="962"/>
        <w:pBdr/>
        <w:spacing/>
        <w:ind/>
        <w:rPr/>
      </w:pPr>
      <w:r>
        <w:t xml:space="preserve">The Free Software Foundation articulates a critical principle:</w:t>
      </w:r>
      <w:r>
        <w:t xml:space="preserve"> </w:t>
      </w:r>
      <w:r>
        <w:t xml:space="preserve">“Unless you control the software, the software will control you.”</w:t>
      </w:r>
      <w:r>
        <w:t xml:space="preserve"> </w:t>
      </w:r>
      <w:r>
        <w:t xml:space="preserve">This observation is relevan</w:t>
      </w:r>
      <w:r>
        <w:t xml:space="preserve">t to I-VSD because software dependency can shift practical authority from users and communities to external providers. When users cannot examine, modify, or share the software they use, they may lack meaningful ways to verify behavior or preserve autonomy.</w:t>
      </w:r>
      <w:r/>
    </w:p>
    <w:p>
      <w:pPr>
        <w:pStyle w:val="962"/>
        <w:pBdr/>
        <w:spacing/>
        <w:ind/>
        <w:rPr/>
      </w:pPr>
      <w:r>
        <w:t xml:space="preserve">The four essential freedoms defined by the free software movement can support the thesis’s concerns with transparency, cooperation, and protection against exploitative dependency. Freedo</w:t>
      </w:r>
      <w:r>
        <w:t xml:space="preserve">m to run software for any purpose supports user autonomy. Freedom to study and modify software can make claims more inspectable. Freedom to share copies supports community cooperation. Freedom to distribute modifications can support collective improvement.</w:t>
      </w:r>
      <w:r/>
    </w:p>
    <w:p>
      <w:pPr>
        <w:pStyle w:val="962"/>
        <w:pBdr/>
        <w:spacing/>
        <w:ind/>
        <w:rPr/>
      </w:pPr>
      <w:r>
        <w:rPr>
          <w:b/>
          <w:bCs/>
        </w:rPr>
        <w:t xml:space="preserve">Contemporary Examples of Proprietary Control</w:t>
      </w:r>
      <w:r/>
    </w:p>
    <w:p>
      <w:pPr>
        <w:pStyle w:val="962"/>
        <w:pBdr/>
        <w:spacing/>
        <w:ind/>
        <w:rPr/>
      </w:pPr>
      <w:r>
        <w:t xml:space="preserve">Examples such as software-controlled agricultural equipment and remote device performance changes illustrate why software ownership and repairability matter beyond the scree</w:t>
      </w:r>
      <w:r>
        <w:t xml:space="preserve">n. These examples should be used as cautionary analogies rather than as evidence that all proprietary software is unethical. Their thesis relevance is that hidden technical control can affect livelihoods, device lifespan, user autonomy, and accountability.</w:t>
      </w:r>
      <w:r/>
    </w:p>
    <w:p>
      <w:pPr>
        <w:pStyle w:val="962"/>
        <w:pBdr/>
        <w:spacing/>
        <w:ind/>
        <w:rPr/>
      </w:pPr>
      <w:r>
        <w:rPr>
          <w:b/>
          <w:bCs/>
        </w:rPr>
        <w:t xml:space="preserve">I-VSD Application: User Sovereignty</w:t>
      </w:r>
      <w:r/>
    </w:p>
    <w:p>
      <w:pPr>
        <w:pStyle w:val="962"/>
        <w:pBdr/>
        <w:spacing/>
        <w:ind/>
        <w:rPr/>
      </w:pPr>
      <w:r>
        <w:t xml:space="preserve">ISLAMU’s software philosophy addresses these concerns through open-source licensing, self-hosting orientation, data portability goals, and documenta</w:t>
      </w:r>
      <w:r>
        <w:t xml:space="preserve">tion of operational capabilities. Open code can enable community review of ethical claims. Core community functionality should remain accessible without artificial scarcity where the project claims public-service intent. Self-hosting can provide greater pr</w:t>
      </w:r>
      <w:r>
        <w:t xml:space="preserve">actical control over data and software behavior for technically capable communities. Data portability can reduce lock-in risk when export formats, documentation, backup/restore procedures, upgrade paths, and maintenance practices are documented and tested.</w:t>
      </w:r>
      <w:r/>
    </w:p>
    <w:p>
      <w:pPr>
        <w:pStyle w:val="962"/>
        <w:pBdr/>
        <w:spacing/>
        <w:ind/>
        <w:rPr/>
      </w:pPr>
      <w:r>
        <w:t xml:space="preserve">The principle that</w:t>
      </w:r>
      <w:r>
        <w:t xml:space="preserve"> </w:t>
      </w:r>
      <w:r>
        <w:t xml:space="preserve">“free isn’t enough”</w:t>
      </w:r>
      <w:r>
        <w:t xml:space="preserve"> </w:t>
      </w:r>
      <w:r>
        <w:t xml:space="preserve">recognizes that source availability alone is insufficient. The code must also be useful, buildable, documented, and practicall</w:t>
      </w:r>
      <w:r>
        <w:t xml:space="preserve">y deployable; the community must have real capacity to participate; and governance must be transparent enough for users to evaluate the project. Open source can create exit and inspection options, but it does not by itself produce user freedom in practice.</w:t>
      </w:r>
      <w:r/>
    </w:p>
    <w:p>
      <w:pPr>
        <w:pStyle w:val="962"/>
        <w:pBdr/>
        <w:spacing/>
        <w:ind/>
        <w:rPr/>
      </w:pPr>
      <w:r>
        <w:t xml:space="preserve">The same principle applies to official mobile and desktop clients. If self-hosted ISLAMU Event instances exist but the official clients connect easily only to the official ISLAMU instance, the projec</w:t>
      </w:r>
      <w:r>
        <w:t xml:space="preserve">t risks deceptive openness: open server code in theory, but practical dependency on one provider in ordinary use. I-VSD therefore treats client instance selection, custom API URLs, verified instance lists, instance switching, and tenant switching as user-f</w:t>
      </w:r>
      <w:r>
        <w:t xml:space="preserve">reedom design requirements rather than mere convenience features. A quick official ISLAMU option can support Ihsan by reducing friction, but Sidq and Adl require that community and self-hosted options remain visible, understandable, and practically usable.</w:t>
      </w:r>
      <w:r/>
    </w:p>
    <w:p>
      <w:pPr>
        <w:pStyle w:val="962"/>
        <w:pBdr/>
        <w:spacing/>
        <w:ind/>
        <w:rPr/>
      </w:pPr>
      <w:r>
        <w:rPr>
          <w:b/>
          <w:bCs/>
        </w:rPr>
        <w:t xml:space="preserve">Islamic Alignment</w:t>
      </w:r>
      <w:r/>
    </w:p>
    <w:p>
      <w:pPr>
        <w:pStyle w:val="962"/>
        <w:pBdr/>
        <w:spacing/>
        <w:ind/>
        <w:rPr/>
      </w:pPr>
      <w:r>
        <w:t xml:space="preserve">This philos</w:t>
      </w:r>
      <w:r>
        <w:t xml:space="preserve">ophy can be interpreted through Islamic ethical concerns such as sharing beneficial knowledge, transparency in dealings, community benefit, and avoiding exploitative dependency. The thesis should not treat open source as a religious ruling or treat closed </w:t>
      </w:r>
      <w:r>
        <w:t xml:space="preserve">source as automatically impermissible. The safer claim is that open source can support Amanah and Sidq by making technical and governance claims more inspectable, while still requiring maintenance, documentation, privacy review, and responsible governance.</w:t>
      </w:r>
      <w:r/>
    </w:p>
    <w:p>
      <w:pPr>
        <w:pStyle w:val="962"/>
        <w:pBdr/>
        <w:spacing/>
        <w:ind/>
        <w:rPr/>
      </w:pPr>
      <w:r>
        <w:t xml:space="preserve">ISLAMU’s design target is to </w:t>
      </w:r>
      <w:r>
        <w:t xml:space="preserve">avoid a pattern in which open-source language is used while essential service capabilities remain inaccessible or practically unreproducible. This is a design caution about dependency, not a claim that every open-core or managed-service model is unethical.</w:t>
      </w:r>
      <w:r/>
    </w:p>
    <w:p>
      <w:pPr>
        <w:pStyle w:val="962"/>
        <w:pBdr/>
        <w:spacing/>
        <w:ind/>
        <w:rPr/>
      </w:pPr>
      <w:r>
        <w:rPr>
          <w:b/>
          <w:bCs/>
        </w:rPr>
        <w:t xml:space="preserve">Transparent Independence as a Funding Practice</w:t>
      </w:r>
      <w:r/>
    </w:p>
    <w:p>
      <w:pPr>
        <w:pStyle w:val="962"/>
        <w:pBdr/>
        <w:spacing/>
        <w:ind/>
        <w:rPr/>
      </w:pPr>
      <w:r>
        <w:t xml:space="preserve">The Ladybird browser project provides a stronger comparison point than a simple “open-source project with sponsors” example. It is attempting one of the most difficult categories of software: an independent br</w:t>
      </w:r>
      <w:r>
        <w:t xml:space="preserve">owser engine. Modern browser engines are normally sustained by corporations and ecosystems with enormous engineering capacity, long time horizons, and billions of dollars in direct or indirect strategic value. Ladybird is therefore not attractive merely be</w:t>
      </w:r>
      <w:r>
        <w:t xml:space="preserve">cause it already offers a mature replacement for incumbent browsers. Its public appeal is also moral and governance-based: it speaks to dissatisfaction with a web platform controlled by a small number of engines and organizations with their own incentives.</w:t>
      </w:r>
      <w:r/>
    </w:p>
    <w:p>
      <w:pPr>
        <w:pStyle w:val="962"/>
        <w:pBdr/>
        <w:spacing/>
        <w:ind/>
        <w:rPr/>
      </w:pPr>
      <w:r>
        <w:t xml:space="preserve">Ladybird’s own public framing makes this value proposition explicit: “The web is</w:t>
      </w:r>
      <w:r>
        <w:t xml:space="preserve"> the most important platform in computing, yet only a small number of browser engines power the entire thing, each controlled by a company with its own agenda. Ladybird is building something new: an independent engine, driven by web standards, and free fro</w:t>
      </w:r>
      <w:r>
        <w:t xml:space="preserve">m conflicts of interest.” In I-VSD terms, this is not a feature pitch alone. It is a claim about independence, conflicts of interest, standards, and user-facing infrastructure. The project is still under development, but its transparency makes its seriousn</w:t>
      </w:r>
      <w:r>
        <w:t xml:space="preserve">ess inspectable: public source history, visible development activity, community channels, public updates, sponsor disclosures, and regular progress communication allow supporters to evaluate whether the project is actually moving toward its stated mission.</w:t>
      </w:r>
      <w:r/>
    </w:p>
    <w:p>
      <w:pPr>
        <w:pStyle w:val="962"/>
        <w:pBdr/>
        <w:spacing/>
        <w:ind/>
        <w:rPr/>
      </w:pPr>
      <w:r>
        <w:t xml:space="preserve">The sponsor list is relevant because it shows how value-aligned infrastructure can attract broad support before full product maturity. Ladybird publicly lists major sponsors such as FUTO, Shopify, Cloudflare, Human Rights Foundation, Proton VPN, Guillerm</w:t>
      </w:r>
      <w:r>
        <w:t xml:space="preserve">o Rauch, ohne-makler.net, Mitchell Hashimoto, Paul Copplestone, 37signals, Axeptio, Andreas Mähler, CodeRabbit, JetBrains, Bastian Müller, Sourcegraph, SerpApi, The Primeagen, Scraping Fish, K15t, Unkey, Gravwell, an anonymous Chromium developer, Optimisin</w:t>
      </w:r>
      <w:r>
        <w:t xml:space="preserve">g.com.au, Guillaume Knispel, Broadband Map, Jonathan Lahijani, Puter, Follower24.de, Travis Heinström, Sjors Witteveen, Philip Lonsing, Clément Sibille, b1ack0wl, Gian Giovani, Timely Learning, Coursiv, Andrew Mead, styfle, Tyler Horvath, Hnefatafl Org, So</w:t>
      </w:r>
      <w:r>
        <w:t xml:space="preserve">ftwired Technologies, Zain Allarakhia, zacoons, Jakub Stęplowski, Blacksmith, and OakHost, alongside previous sponsors including Ahrefs, Cling, WorkOS, Packet Clearing House, Null Games, Playbit, Tuple, Mark Goetz, and SimonBitwise. The thesis should avoid</w:t>
      </w:r>
      <w:r>
        <w:t xml:space="preserve"> relying on unrecovered numeric donation claims unless they are separately verified; the broader point is sufficient here: visible ethical positioning, independence, and transparency can become part of why people choose to support difficult infrastructure.</w:t>
      </w:r>
      <w:r/>
    </w:p>
    <w:p>
      <w:pPr>
        <w:pStyle w:val="962"/>
        <w:pBdr/>
        <w:spacing/>
        <w:ind/>
        <w:rPr/>
      </w:pPr>
      <w:r>
        <w:t xml:space="preserve">The most relevant governance detail is the principle that support sh</w:t>
      </w:r>
      <w:r>
        <w:t xml:space="preserve">ould not buy board seats or project control. For ISLAMU, this example suggests that funding structure, sponsor disclosure, and influence boundaries should be treated as part of software design rather than as public-relations material outside the lifecycle.</w:t>
      </w:r>
      <w:r/>
    </w:p>
    <w:p>
      <w:pPr>
        <w:pStyle w:val="962"/>
        <w:pBdr/>
        <w:spacing/>
        <w:ind/>
        <w:rPr/>
      </w:pPr>
      <w:r>
        <w:t xml:space="preserve">This case should not be overstated. It does not establish that Ladybird intentionally follows I-VSD, that transparency creates success, that the project will succeed technically, or that every spo</w:t>
      </w:r>
      <w:r>
        <w:t xml:space="preserve">nsor shares the same moral reasoning. It shows a pattern ISLAMU can learn from: ambitious ethical software may need visible progress, open development, clear funding boundaries, and honest communication before users can evaluate whether trust is warranted.</w:t>
      </w:r>
      <w:r/>
    </w:p>
    <w:p>
      <w:pPr>
        <w:pStyle w:val="962"/>
        <w:pBdr/>
        <w:spacing/>
        <w:ind/>
        <w:rPr/>
      </w:pPr>
      <w:r>
        <w:rPr>
          <w:b/>
          <w:bCs/>
        </w:rPr>
        <w:t xml:space="preserve">Sources:</w:t>
      </w:r>
      <w:r>
        <w:t xml:space="preserve"> Ladybird official website, sponsor disclosures, and public updates.</w:t>
      </w:r>
      <w:r/>
    </w:p>
    <w:p>
      <w:pPr>
        <w:pStyle w:val="962"/>
        <w:pBdr/>
        <w:spacing/>
        <w:ind/>
        <w:rPr/>
      </w:pPr>
      <w:r>
        <w:rPr>
          <w:b/>
          <w:bCs/>
        </w:rPr>
        <w:t xml:space="preserve">Self-Hosted Parity and Open-Core Caution</w:t>
      </w:r>
      <w:r/>
    </w:p>
    <w:p>
      <w:pPr>
        <w:pStyle w:val="962"/>
        <w:pBdr/>
        <w:spacing/>
        <w:ind/>
        <w:rPr/>
      </w:pPr>
      <w:r>
        <w:t xml:space="preserve">ISLAMU’s open-source philosophy should distinguish genuine user freedom from source availability that leaves essential service capabilities proprietary or practically inaccessible. A project can publish a single-instance core while kee</w:t>
      </w:r>
      <w:r>
        <w:t xml:space="preserve">ping the actual managed-service wrapper difficult to reproduce: orchestration and provisioning, multi-tenant isolation, billing and metering, administrative dashboards, scaling scripts, and operational documentation can all become hidden dependency points.</w:t>
      </w:r>
      <w:r/>
    </w:p>
    <w:p>
      <w:pPr>
        <w:pStyle w:val="962"/>
        <w:pBdr/>
        <w:spacing/>
        <w:ind/>
        <w:rPr/>
      </w:pPr>
      <w:r>
        <w:t xml:space="preserve">This is why I-VSD should be cautious with open-core or “same codebase” marketing. The ethical issue is</w:t>
      </w:r>
      <w:r>
        <w:t xml:space="preserve"> not that every managed service must give away support, hosting, or operational labor for free. The issue is whether the project borrows the trust symbolism of open source while withholding the practical freedoms users reasonably associate with that label.</w:t>
      </w:r>
      <w:r/>
    </w:p>
    <w:p>
      <w:pPr>
        <w:pStyle w:val="962"/>
        <w:pBdr/>
        <w:spacing/>
        <w:ind/>
        <w:rPr/>
      </w:pPr>
      <w:r>
        <w:t xml:space="preserve">For ISLAMU Event, the target should be explicit parity where morally relevant: if multi-tenancy, billing hooks, moderation, export, federation groundwork, or administration are part of</w:t>
      </w:r>
      <w:r>
        <w:t xml:space="preserve"> the hosted offer, the public code and documentation should make clear what a community can reproduce, what requires environment variables or external provider accounts, what operators sell as managed hosting, support, and operational trust, and what is in</w:t>
      </w:r>
      <w:r>
        <w:t xml:space="preserve">tentionally unavailable. If a managed-provider model is later used, it should compete on documented operational reliability, managed service, support, and stewardship rather than artificial scarcity created by hiding the parts that make the service useful.</w:t>
      </w:r>
      <w:r/>
    </w:p>
    <w:p>
      <w:pPr>
        <w:pBdr/>
        <w:spacing/>
        <w:ind/>
        <w:rPr/>
      </w:pPr>
      <w:r>
        <mc:AlternateContent>
          <mc:Choice Requires="wpg">
            <w:drawing>
              <wp:inline xmlns:wp="http://schemas.openxmlformats.org/drawingml/2006/wordprocessingDrawing" distT="0" distB="0" distL="0" distR="0">
                <wp:extent cx="0" cy="19050"/>
                <wp:effectExtent l="0" t="0" r="0" b="0"/>
                <wp:docPr id="6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6" o:spid="_x0000_s66" o:spt="1" type="#_x0000_t1" style="width:0.00pt;height:1.50pt;mso-wrap-distance-left:0.00pt;mso-wrap-distance-top:0.00pt;mso-wrap-distance-right:0.00pt;mso-wrap-distance-bottom:0.00pt;visibility:visible;" fillcolor="#FFFFFF" strokecolor="#000000"/>
            </w:pict>
          </mc:Fallback>
        </mc:AlternateContent>
      </w:r>
      <w:bookmarkEnd w:id="87"/>
      <w:r/>
    </w:p>
    <w:p>
      <w:pPr>
        <w:pStyle w:val="977"/>
        <w:pBdr/>
        <w:spacing/>
        <w:ind/>
        <w:rPr/>
      </w:pPr>
      <w:r/>
      <w:bookmarkStart w:id="88" w:name="business-model-against-enshittification"/>
      <w:r>
        <w:t xml:space="preserve">4.3.4 Business Model: Against Enshittification</w:t>
      </w:r>
      <w:r/>
    </w:p>
    <w:p>
      <w:pPr>
        <w:pStyle w:val="963"/>
        <w:pBdr/>
        <w:spacing/>
        <w:ind/>
        <w:rPr/>
      </w:pPr>
      <w:r>
        <w:rPr>
          <w:b/>
          <w:bCs/>
        </w:rPr>
        <w:t xml:space="preserve">Decision:</w:t>
      </w:r>
      <w:r>
        <w:t xml:space="preserve"> Design against platform degradation and lock-in.</w:t>
      </w:r>
      <w:r/>
    </w:p>
    <w:p>
      <w:pPr>
        <w:pStyle w:val="962"/>
        <w:pBdr/>
        <w:spacing/>
        <w:ind/>
        <w:rPr/>
      </w:pPr>
      <w:r>
        <w:rPr>
          <w:b/>
          <w:bCs/>
        </w:rPr>
        <w:t xml:space="preserve">I-VSD Framework Application:</w:t>
      </w:r>
      <w:r/>
    </w:p>
    <w:p>
      <w:pPr>
        <w:pStyle w:val="964"/>
        <w:numPr>
          <w:ilvl w:val="0"/>
          <w:numId w:val="105"/>
        </w:numPr>
        <w:pBdr/>
        <w:spacing/>
        <w:ind/>
        <w:rPr/>
      </w:pPr>
      <w:r>
        <w:rPr>
          <w:b/>
          <w:bCs/>
        </w:rPr>
        <w:t xml:space="preserve">Principle lens:</w:t>
      </w:r>
      <w:r>
        <w:t xml:space="preserve"> Keeping commitments, long-term stewardship, service over extraction, and respect for users.</w:t>
      </w:r>
      <w:r/>
    </w:p>
    <w:p>
      <w:pPr>
        <w:pStyle w:val="964"/>
        <w:numPr>
          <w:ilvl w:val="0"/>
          <w:numId w:val="105"/>
        </w:numPr>
        <w:pBdr/>
        <w:spacing/>
        <w:ind/>
        <w:rPr/>
      </w:pPr>
      <w:r>
        <w:rPr>
          <w:b/>
          <w:bCs/>
        </w:rPr>
        <w:t xml:space="preserve">Heuristics Applied:</w:t>
      </w:r>
      <w:r>
        <w:t xml:space="preserve"> Sustainable business practices, transparent changes, exit options, and governance review.</w:t>
      </w:r>
      <w:r/>
    </w:p>
    <w:p>
      <w:pPr>
        <w:pStyle w:val="963"/>
        <w:pBdr/>
        <w:spacing/>
        <w:ind/>
        <w:rPr/>
      </w:pPr>
      <w:r>
        <w:rPr>
          <w:b/>
          <w:bCs/>
        </w:rPr>
        <w:t xml:space="preserve">Enshittification risk-reduction choices:</w:t>
      </w:r>
      <w:r/>
    </w:p>
    <w:p>
      <w:pPr>
        <w:pStyle w:val="964"/>
        <w:numPr>
          <w:ilvl w:val="0"/>
          <w:numId w:val="106"/>
        </w:numPr>
        <w:pBdr/>
        <w:spacing/>
        <w:ind/>
        <w:rPr/>
      </w:pPr>
      <w:r>
        <w:t xml:space="preserve">Non-profit structure can reduce shareholder-return pressure, while still requiring governance and accountability.</w:t>
      </w:r>
      <w:r/>
    </w:p>
    <w:p>
      <w:pPr>
        <w:pStyle w:val="964"/>
        <w:numPr>
          <w:ilvl w:val="0"/>
          <w:numId w:val="106"/>
        </w:numPr>
        <w:pBdr/>
        <w:spacing/>
        <w:ind/>
        <w:rPr/>
      </w:pPr>
      <w:r>
        <w:t xml:space="preserve">Open-source licensing can preserve an exit or fork option if the project remains buildable, documented, and legally reusable.</w:t>
      </w:r>
      <w:r/>
    </w:p>
    <w:p>
      <w:pPr>
        <w:pStyle w:val="964"/>
        <w:numPr>
          <w:ilvl w:val="0"/>
          <w:numId w:val="106"/>
        </w:numPr>
        <w:pBdr/>
        <w:spacing/>
        <w:ind/>
        <w:rPr/>
      </w:pPr>
      <w:r>
        <w:t xml:space="preserve">Avoiding investor funding removes one common source of growth pressure, while leaving donor, sponsor, capacity, and reputation pressures unresolved.</w:t>
      </w:r>
      <w:r/>
    </w:p>
    <w:p>
      <w:pPr>
        <w:pStyle w:val="964"/>
        <w:numPr>
          <w:ilvl w:val="0"/>
          <w:numId w:val="106"/>
        </w:numPr>
        <w:pBdr/>
        <w:spacing/>
        <w:ind/>
        <w:rPr/>
      </w:pPr>
      <w:r>
        <w:t xml:space="preserve">Clear mission and values can guide decisions if they are translated into public policies and review practices.</w:t>
      </w:r>
      <w:r/>
    </w:p>
    <w:p>
      <w:pPr>
        <w:pStyle w:val="964"/>
        <w:numPr>
          <w:ilvl w:val="0"/>
          <w:numId w:val="106"/>
        </w:numPr>
        <w:pBdr/>
        <w:spacing/>
        <w:ind/>
        <w:rPr/>
      </w:pPr>
      <w:r>
        <w:t xml:space="preserve">Community governance can improve accountability if participation, appeal, and decision rules are explicit.</w:t>
      </w:r>
      <w:r/>
    </w:p>
    <w:p>
      <w:pPr>
        <w:pStyle w:val="963"/>
        <w:pBdr/>
        <w:spacing/>
        <w:ind/>
        <w:rPr/>
      </w:pPr>
      <w:r>
        <w:rPr>
          <w:b/>
          <w:bCs/>
        </w:rPr>
        <w:t xml:space="preserve">Reference Sources:</w:t>
      </w:r>
      <w:r/>
    </w:p>
    <w:p>
      <w:pPr>
        <w:pStyle w:val="964"/>
        <w:numPr>
          <w:ilvl w:val="0"/>
          <w:numId w:val="107"/>
        </w:numPr>
        <w:pBdr/>
        <w:spacing/>
        <w:ind/>
        <w:rPr/>
      </w:pPr>
      <w:r>
        <w:t xml:space="preserve">Cory Doctorow’s enshittification concept</w:t>
      </w:r>
      <w:r/>
    </w:p>
    <w:p>
      <w:pPr>
        <w:pStyle w:val="964"/>
        <w:numPr>
          <w:ilvl w:val="0"/>
          <w:numId w:val="107"/>
        </w:numPr>
        <w:pBdr/>
        <w:spacing/>
        <w:ind/>
        <w:rPr/>
      </w:pPr>
      <w:r>
        <w:t xml:space="preserve">Platform degradation examples discussed in Section 2.1</w:t>
      </w:r>
      <w:r/>
    </w:p>
    <w:p>
      <w:pPr>
        <w:pStyle w:val="963"/>
        <w:pBdr/>
        <w:spacing/>
        <w:ind/>
        <w:rPr/>
      </w:pPr>
      <w:r>
        <w:rPr>
          <w:b/>
          <w:bCs/>
        </w:rPr>
        <w:t xml:space="preserve">Boundary:</w:t>
      </w:r>
      <w:r>
        <w:t xml:space="preserve"> These mechanisms are risk-reduction design choices. I-VSD makes platform-degradation risks visible so the thesis can ask what governance, licensing, funding, and documentation practices would need to be evaluated over time.</w:t>
      </w:r>
      <w:r/>
    </w:p>
    <w:p>
      <w:pPr>
        <w:pBdr/>
        <w:spacing/>
        <w:ind/>
        <w:rPr/>
      </w:pPr>
      <w:r>
        <mc:AlternateContent>
          <mc:Choice Requires="wpg">
            <w:drawing>
              <wp:inline xmlns:wp="http://schemas.openxmlformats.org/drawingml/2006/wordprocessingDrawing" distT="0" distB="0" distL="0" distR="0">
                <wp:extent cx="0" cy="19050"/>
                <wp:effectExtent l="0" t="0" r="0" b="0"/>
                <wp:docPr id="6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7" o:spid="_x0000_s67" o:spt="1" type="#_x0000_t1" style="width:0.00pt;height:1.50pt;mso-wrap-distance-left:0.00pt;mso-wrap-distance-top:0.00pt;mso-wrap-distance-right:0.00pt;mso-wrap-distance-bottom:0.00pt;visibility:visible;" fillcolor="#FFFFFF" strokecolor="#000000"/>
            </w:pict>
          </mc:Fallback>
        </mc:AlternateContent>
      </w:r>
      <w:bookmarkEnd w:id="88"/>
      <w:r/>
    </w:p>
    <w:p>
      <w:pPr>
        <w:pStyle w:val="977"/>
        <w:pBdr/>
        <w:spacing/>
        <w:ind/>
        <w:rPr/>
      </w:pPr>
      <w:r/>
      <w:bookmarkStart w:id="89" w:name="partnership-ethical-screening"/>
      <w:r>
        <w:t xml:space="preserve">4.3.5 Partnership Ethical Screening</w:t>
      </w:r>
      <w:r/>
    </w:p>
    <w:p>
      <w:pPr>
        <w:pStyle w:val="963"/>
        <w:pBdr/>
        <w:spacing/>
        <w:ind/>
        <w:rPr/>
      </w:pPr>
      <w:r>
        <w:rPr>
          <w:b/>
          <w:bCs/>
        </w:rPr>
        <w:t xml:space="preserve">Decision:</w:t>
      </w:r>
      <w:r>
        <w:t xml:space="preserve"> Treat business partnerships as governance decisions requiring review.</w:t>
      </w:r>
      <w:r/>
    </w:p>
    <w:p>
      <w:pPr>
        <w:pStyle w:val="962"/>
        <w:pBdr/>
        <w:spacing/>
        <w:ind/>
        <w:rPr/>
      </w:pPr>
      <w:r>
        <w:rPr>
          <w:b/>
          <w:bCs/>
        </w:rPr>
        <w:t xml:space="preserve">I-VSD Framework Application:</w:t>
      </w:r>
      <w:r/>
    </w:p>
    <w:p>
      <w:pPr>
        <w:pStyle w:val="964"/>
        <w:numPr>
          <w:ilvl w:val="0"/>
          <w:numId w:val="108"/>
        </w:numPr>
        <w:pBdr/>
        <w:spacing/>
        <w:ind/>
        <w:rPr/>
      </w:pPr>
      <w:r>
        <w:rPr>
          <w:b/>
          <w:bCs/>
        </w:rPr>
        <w:t xml:space="preserve">Principle lens:</w:t>
      </w:r>
      <w:r>
        <w:t xml:space="preserve"> Responsibility for foreseeable stakeholder harm, institutional dependency, and consistency between public mission and private incentives.</w:t>
      </w:r>
      <w:r/>
    </w:p>
    <w:p>
      <w:pPr>
        <w:pStyle w:val="964"/>
        <w:numPr>
          <w:ilvl w:val="0"/>
          <w:numId w:val="108"/>
        </w:numPr>
        <w:pBdr/>
        <w:spacing/>
        <w:ind/>
        <w:rPr/>
      </w:pPr>
      <w:r>
        <w:rPr>
          <w:b/>
          <w:bCs/>
        </w:rPr>
        <w:t xml:space="preserve">Heuristic Applied:</w:t>
      </w:r>
      <w:r>
        <w:t xml:space="preserve"> Ethical partner selection and periodic review.</w:t>
      </w:r>
      <w:r/>
    </w:p>
    <w:p>
      <w:pPr>
        <w:pStyle w:val="964"/>
        <w:numPr>
          <w:ilvl w:val="0"/>
          <w:numId w:val="108"/>
        </w:numPr>
        <w:pBdr/>
        <w:spacing/>
        <w:ind/>
        <w:rPr/>
      </w:pPr>
      <w:r>
        <w:rPr>
          <w:b/>
          <w:bCs/>
        </w:rPr>
        <w:t xml:space="preserve">Implementation direction:</w:t>
      </w:r>
      <w:r/>
    </w:p>
    <w:p>
      <w:pPr>
        <w:pStyle w:val="964"/>
        <w:numPr>
          <w:ilvl w:val="1"/>
          <w:numId w:val="109"/>
        </w:numPr>
        <w:pBdr/>
        <w:spacing/>
        <w:ind/>
        <w:rPr/>
      </w:pPr>
      <w:r>
        <w:t xml:space="preserve">Review potential partners for serious harm, exploitative practices, privacy risk, and conflicts with the project’s stated mission</w:t>
      </w:r>
      <w:r/>
    </w:p>
    <w:p>
      <w:pPr>
        <w:pStyle w:val="964"/>
        <w:numPr>
          <w:ilvl w:val="1"/>
          <w:numId w:val="109"/>
        </w:numPr>
        <w:pBdr/>
        <w:spacing/>
        <w:ind/>
        <w:rPr/>
      </w:pPr>
      <w:r>
        <w:t xml:space="preserve">Avoid partner influence over moderation, ranking, governance, or user data access unless explicitly justified and disclosed</w:t>
      </w:r>
      <w:r/>
    </w:p>
    <w:p>
      <w:pPr>
        <w:pStyle w:val="964"/>
        <w:numPr>
          <w:ilvl w:val="1"/>
          <w:numId w:val="109"/>
        </w:numPr>
        <w:pBdr/>
        <w:spacing/>
        <w:ind/>
        <w:rPr/>
      </w:pPr>
      <w:r>
        <w:t xml:space="preserve">Document sponsor and partner categories, influence limits, and review procedures</w:t>
      </w:r>
      <w:r/>
    </w:p>
    <w:p>
      <w:pPr>
        <w:pStyle w:val="964"/>
        <w:numPr>
          <w:ilvl w:val="1"/>
          <w:numId w:val="109"/>
        </w:numPr>
        <w:pBdr/>
        <w:spacing/>
        <w:ind/>
        <w:rPr/>
      </w:pPr>
      <w:r>
        <w:t xml:space="preserve">Reassess existing partnerships when credible new evidence changes the risk profile</w:t>
      </w:r>
      <w:r/>
    </w:p>
    <w:p>
      <w:pPr>
        <w:pStyle w:val="963"/>
        <w:pBdr/>
        <w:spacing/>
        <w:ind/>
        <w:rPr/>
      </w:pPr>
      <w:r>
        <w:rPr>
          <w:b/>
          <w:bCs/>
        </w:rPr>
        <w:t xml:space="preserve">Example application:</w:t>
      </w:r>
      <w:r>
        <w:t xml:space="preserve"> Where credible evidence links a potential partner to serious human-rights harms, I-VSD would require explicit review of</w:t>
      </w:r>
      <w:r>
        <w:t xml:space="preserve"> complicity risk, dependency risk, reputational risk, and whether the partnership would undermine the project’s stated ethical commitments. This is a governance-screening process, not a blanket theological ruling on every organization or technology vendor.</w:t>
      </w:r>
      <w:r/>
    </w:p>
    <w:p>
      <w:pPr>
        <w:pStyle w:val="962"/>
        <w:pBdr/>
        <w:spacing/>
        <w:ind/>
        <w:rPr/>
      </w:pPr>
      <w:r>
        <w:rPr>
          <w:b/>
          <w:bCs/>
        </w:rPr>
        <w:t xml:space="preserve">Boundary:</w:t>
      </w:r>
      <w:r>
        <w:t xml:space="preserve"> Partnership screening should be evidence-based, procedurally clear, and appealable where appropriate. It should avoid unsourced accusations, selective outrage, and political slogan-making while still taking stakeholder harm seriously.</w:t>
      </w:r>
      <w:r/>
    </w:p>
    <w:p>
      <w:pPr>
        <w:pBdr/>
        <w:spacing/>
        <w:ind/>
        <w:rPr/>
      </w:pPr>
      <w:r>
        <mc:AlternateContent>
          <mc:Choice Requires="wpg">
            <w:drawing>
              <wp:inline xmlns:wp="http://schemas.openxmlformats.org/drawingml/2006/wordprocessingDrawing" distT="0" distB="0" distL="0" distR="0">
                <wp:extent cx="0" cy="19050"/>
                <wp:effectExtent l="0" t="0" r="0" b="0"/>
                <wp:docPr id="6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8" o:spid="_x0000_s68" o:spt="1" type="#_x0000_t1" style="width:0.00pt;height:1.50pt;mso-wrap-distance-left:0.00pt;mso-wrap-distance-top:0.00pt;mso-wrap-distance-right:0.00pt;mso-wrap-distance-bottom:0.00pt;visibility:visible;" fillcolor="#FFFFFF" strokecolor="#000000"/>
            </w:pict>
          </mc:Fallback>
        </mc:AlternateContent>
      </w:r>
      <w:bookmarkEnd w:id="89"/>
      <w:bookmarkEnd w:id="90"/>
      <w:r/>
    </w:p>
    <w:p>
      <w:pPr>
        <w:pStyle w:val="976"/>
        <w:pBdr/>
        <w:spacing/>
        <w:ind/>
        <w:rPr/>
      </w:pPr>
      <w:r/>
      <w:bookmarkStart w:id="101" w:name="X4bc679b696778d8293110f7708b84950accab2a"/>
      <w:r>
        <w:t xml:space="preserve">4.4 Guiding Technical and Architectural Choices</w:t>
      </w:r>
      <w:r/>
    </w:p>
    <w:p>
      <w:pPr>
        <w:pStyle w:val="963"/>
        <w:pBdr/>
        <w:spacing/>
        <w:ind/>
        <w:rPr/>
      </w:pPr>
      <w:r>
        <w:t xml:space="preserve">This section applies I-VSD to Event’s technical and architectural choices. The purpose is to show how ethical principles become design constraints, architectural tradeoffs, governance requirements, and evaluation questions.</w:t>
      </w:r>
      <w:r/>
    </w:p>
    <w:p>
      <w:pPr>
        <w:pStyle w:val="962"/>
        <w:pBdr/>
        <w:spacing/>
        <w:ind/>
        <w:rPr/>
      </w:pPr>
      <w:r>
        <w:t xml:space="preserve">The technical decisions below should be read as a case-based design rationale. Open-source components, self-hosting, federation, privacy controls, moderati</w:t>
      </w:r>
      <w:r>
        <w:t xml:space="preserve">on workflows, observability, testing, release discipline, and future AI constraints provide design evidence for how I-VSD can guide architecture, but their real-world outcomes still require testing, audits, operational experience, and stakeholder feedback.</w:t>
      </w:r>
      <w:r/>
    </w:p>
    <w:p>
      <w:pPr>
        <w:pStyle w:val="962"/>
        <w:pBdr/>
        <w:spacing/>
        <w:ind/>
        <w:rPr/>
      </w:pPr>
      <w:r>
        <w:t xml:space="preserve">For ISLAMU Event, observability and testing are ethically relevant because they make operationa</w:t>
      </w:r>
      <w:r>
        <w:t xml:space="preserve">l responsibility more inspectable. Structured logging, OpenTelemetry/Prometheus-oriented metrics, health and readiness endpoints, CI workflows, architecture tests, integration tests, component tests, and E2E-oriented lanes can support diagnosis, regression</w:t>
      </w:r>
      <w:r>
        <w:t xml:space="preserve"> prevention, and maintenance. They should still be treated as readiness indicators and implementation discipline, not proof of production maturity, security success, accessibility success, user trust, or empirical validation of I-VSD. Future client applica</w:t>
      </w:r>
      <w:r>
        <w:t xml:space="preserve">tions should likewise be evaluated not primarily by whether they use KMP, Rust, C#, or another stack, but by whether their onboarding and account model preserve self-hosting, instance choice, tenant choice, portability, and truthful disclosure of defaults.</w:t>
      </w:r>
      <w:r/>
    </w:p>
    <w:p>
      <w:pPr>
        <w:pBdr/>
        <w:spacing/>
        <w:ind/>
        <w:rPr/>
      </w:pPr>
      <w:r>
        <mc:AlternateContent>
          <mc:Choice Requires="wpg">
            <w:drawing>
              <wp:inline xmlns:wp="http://schemas.openxmlformats.org/drawingml/2006/wordprocessingDrawing" distT="0" distB="0" distL="0" distR="0">
                <wp:extent cx="0" cy="19050"/>
                <wp:effectExtent l="0" t="0" r="0" b="0"/>
                <wp:docPr id="7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9" o:spid="_x0000_s69"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91" w:name="technology-stack-selection"/>
      <w:r>
        <w:t xml:space="preserve">4.4.1 Technology Stack Selection</w:t>
      </w:r>
      <w:r/>
    </w:p>
    <w:p>
      <w:pPr>
        <w:pStyle w:val="963"/>
        <w:pBdr/>
        <w:spacing/>
        <w:ind/>
        <w:rPr/>
      </w:pPr>
      <w:r>
        <w:rPr>
          <w:b/>
          <w:bCs/>
        </w:rPr>
        <w:t xml:space="preserve">Decision: Blazor + MudBlazor for islamu.ngo Website</w:t>
      </w:r>
      <w:r/>
    </w:p>
    <w:p>
      <w:pPr>
        <w:pStyle w:val="962"/>
        <w:pBdr/>
        <w:spacing/>
        <w:ind/>
        <w:rPr/>
      </w:pPr>
      <w:r>
        <w:rPr>
          <w:b/>
          <w:bCs/>
        </w:rPr>
        <w:t xml:space="preserve">I-VSD Framework Application:</w:t>
      </w:r>
      <w:r/>
    </w:p>
    <w:p>
      <w:pPr>
        <w:pStyle w:val="964"/>
        <w:numPr>
          <w:ilvl w:val="0"/>
          <w:numId w:val="110"/>
        </w:numPr>
        <w:pBdr/>
        <w:spacing/>
        <w:ind/>
        <w:rPr/>
      </w:pPr>
      <w:r>
        <w:rPr>
          <w:b/>
          <w:bCs/>
        </w:rPr>
        <w:t xml:space="preserve">Islamic Principles:</w:t>
      </w:r>
      <w:r>
        <w:t xml:space="preserve"> Transparency, user autonomy, avoiding vendor lock-in</w:t>
      </w:r>
      <w:r/>
    </w:p>
    <w:p>
      <w:pPr>
        <w:pStyle w:val="964"/>
        <w:numPr>
          <w:ilvl w:val="0"/>
          <w:numId w:val="110"/>
        </w:numPr>
        <w:pBdr/>
        <w:spacing/>
        <w:ind/>
        <w:rPr/>
      </w:pPr>
      <w:r>
        <w:rPr>
          <w:b/>
          <w:bCs/>
        </w:rPr>
        <w:t xml:space="preserve">Heuristics Applied:</w:t>
      </w:r>
      <w:r/>
    </w:p>
    <w:p>
      <w:pPr>
        <w:pStyle w:val="964"/>
        <w:numPr>
          <w:ilvl w:val="1"/>
          <w:numId w:val="111"/>
        </w:numPr>
        <w:pBdr/>
        <w:spacing/>
        <w:ind/>
        <w:rPr/>
      </w:pPr>
      <w:r>
        <w:t xml:space="preserve">Open-source technology preference</w:t>
      </w:r>
      <w:r/>
    </w:p>
    <w:p>
      <w:pPr>
        <w:pStyle w:val="964"/>
        <w:numPr>
          <w:ilvl w:val="1"/>
          <w:numId w:val="111"/>
        </w:numPr>
        <w:pBdr/>
        <w:spacing/>
        <w:ind/>
        <w:rPr/>
      </w:pPr>
      <w:r>
        <w:t xml:space="preserve">Avoid vendor lock-in</w:t>
      </w:r>
      <w:r/>
    </w:p>
    <w:p>
      <w:pPr>
        <w:pStyle w:val="964"/>
        <w:numPr>
          <w:ilvl w:val="1"/>
          <w:numId w:val="111"/>
        </w:numPr>
        <w:pBdr/>
        <w:spacing/>
        <w:ind/>
        <w:rPr/>
      </w:pPr>
      <w:r>
        <w:t xml:space="preserve">Community-supported tools</w:t>
      </w:r>
      <w:r/>
    </w:p>
    <w:p>
      <w:pPr>
        <w:pStyle w:val="963"/>
        <w:pBdr/>
        <w:spacing/>
        <w:ind/>
        <w:rPr/>
      </w:pPr>
      <w:r>
        <w:rPr>
          <w:b/>
          <w:bCs/>
        </w:rPr>
        <w:t xml:space="preserve">Technology Analysis:</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Component</w:t>
            </w:r>
            <w:r/>
          </w:p>
        </w:tc>
        <w:tc>
          <w:tcPr>
            <w:tcBorders/>
          </w:tcPr>
          <w:p>
            <w:pPr>
              <w:pStyle w:val="964"/>
              <w:pBdr/>
              <w:spacing/>
              <w:ind/>
              <w:rPr/>
            </w:pPr>
            <w:r>
              <w:t xml:space="preserve">Choice</w:t>
            </w:r>
            <w:r/>
          </w:p>
        </w:tc>
        <w:tc>
          <w:tcPr>
            <w:tcBorders/>
          </w:tcPr>
          <w:p>
            <w:pPr>
              <w:pStyle w:val="964"/>
              <w:pBdr/>
              <w:spacing/>
              <w:ind/>
              <w:rPr/>
            </w:pPr>
            <w:r>
              <w:t xml:space="preserve">Why</w:t>
            </w:r>
            <w:r/>
          </w:p>
        </w:tc>
        <w:tc>
          <w:tcPr>
            <w:tcBorders/>
          </w:tcPr>
          <w:p>
            <w:pPr>
              <w:pStyle w:val="964"/>
              <w:pBdr/>
              <w:spacing/>
              <w:ind/>
              <w:rPr/>
            </w:pPr>
            <w:r>
              <w:t xml:space="preserve">I-VSD Alignment</w:t>
            </w:r>
            <w:r/>
          </w:p>
        </w:tc>
      </w:tr>
      <w:tr>
        <w:trPr/>
        <w:tc>
          <w:tcPr>
            <w:tcBorders/>
          </w:tcPr>
          <w:p>
            <w:pPr>
              <w:pStyle w:val="964"/>
              <w:pBdr/>
              <w:spacing/>
              <w:ind/>
              <w:rPr/>
            </w:pPr>
            <w:r>
              <w:rPr>
                <w:b/>
                <w:bCs/>
              </w:rPr>
              <w:t xml:space="preserve">Frontend Framework</w:t>
            </w:r>
            <w:r/>
          </w:p>
        </w:tc>
        <w:tc>
          <w:tcPr>
            <w:tcBorders/>
          </w:tcPr>
          <w:p>
            <w:pPr>
              <w:pStyle w:val="964"/>
              <w:pBdr/>
              <w:spacing/>
              <w:ind/>
              <w:rPr/>
            </w:pPr>
            <w:r>
              <w:t xml:space="preserve">Blazor</w:t>
            </w:r>
            <w:r/>
          </w:p>
        </w:tc>
        <w:tc>
          <w:tcPr>
            <w:tcBorders/>
          </w:tcPr>
          <w:p>
            <w:pPr>
              <w:pStyle w:val="964"/>
              <w:pBdr/>
              <w:spacing/>
              <w:ind/>
              <w:rPr/>
            </w:pPr>
            <w:r>
              <w:t xml:space="preserve">Open-source, .NET ecosystem, strong typing</w:t>
            </w:r>
            <w:r/>
          </w:p>
        </w:tc>
        <w:tc>
          <w:tcPr>
            <w:tcBorders/>
          </w:tcPr>
          <w:p>
            <w:pPr>
              <w:pStyle w:val="964"/>
              <w:pBdr/>
              <w:spacing/>
              <w:ind/>
              <w:rPr/>
            </w:pPr>
            <w:r>
              <w:t xml:space="preserve">Transparency (open source)</w:t>
            </w:r>
            <w:r/>
          </w:p>
        </w:tc>
      </w:tr>
      <w:tr>
        <w:trPr/>
        <w:tc>
          <w:tcPr>
            <w:tcBorders/>
          </w:tcPr>
          <w:p>
            <w:pPr>
              <w:pStyle w:val="964"/>
              <w:pBdr/>
              <w:spacing/>
              <w:ind/>
              <w:rPr/>
            </w:pPr>
            <w:r>
              <w:rPr>
                <w:b/>
                <w:bCs/>
              </w:rPr>
              <w:t xml:space="preserve">UI Library</w:t>
            </w:r>
            <w:r/>
          </w:p>
        </w:tc>
        <w:tc>
          <w:tcPr>
            <w:tcBorders/>
          </w:tcPr>
          <w:p>
            <w:pPr>
              <w:pStyle w:val="964"/>
              <w:pBdr/>
              <w:spacing/>
              <w:ind/>
              <w:rPr/>
            </w:pPr>
            <w:r>
              <w:t xml:space="preserve">MudBlazor</w:t>
            </w:r>
            <w:r/>
          </w:p>
        </w:tc>
        <w:tc>
          <w:tcPr>
            <w:tcBorders/>
          </w:tcPr>
          <w:p>
            <w:pPr>
              <w:pStyle w:val="964"/>
              <w:pBdr/>
              <w:spacing/>
              <w:ind/>
              <w:rPr/>
            </w:pPr>
            <w:r>
              <w:t xml:space="preserve">Open-source, comprehensive, active community</w:t>
            </w:r>
            <w:r/>
          </w:p>
        </w:tc>
        <w:tc>
          <w:tcPr>
            <w:tcBorders/>
          </w:tcPr>
          <w:p>
            <w:pPr>
              <w:pStyle w:val="964"/>
              <w:pBdr/>
              <w:spacing/>
              <w:ind/>
              <w:rPr/>
            </w:pPr>
            <w:r>
              <w:t xml:space="preserve">Community support and reduced vendor-dependency risk</w:t>
            </w:r>
            <w:r/>
          </w:p>
        </w:tc>
      </w:tr>
      <w:tr>
        <w:trPr/>
        <w:tc>
          <w:tcPr>
            <w:tcBorders/>
          </w:tcPr>
          <w:p>
            <w:pPr>
              <w:pStyle w:val="964"/>
              <w:pBdr/>
              <w:spacing/>
              <w:ind/>
              <w:rPr/>
            </w:pPr>
            <w:r>
              <w:rPr>
                <w:b/>
                <w:bCs/>
              </w:rPr>
              <w:t xml:space="preserve">Database</w:t>
            </w:r>
            <w:r/>
          </w:p>
        </w:tc>
        <w:tc>
          <w:tcPr>
            <w:tcBorders/>
          </w:tcPr>
          <w:p>
            <w:pPr>
              <w:pStyle w:val="964"/>
              <w:pBdr/>
              <w:spacing/>
              <w:ind/>
              <w:rPr/>
            </w:pPr>
            <w:r>
              <w:t xml:space="preserve">PostgreSQL</w:t>
            </w:r>
            <w:r/>
          </w:p>
        </w:tc>
        <w:tc>
          <w:tcPr>
            <w:tcBorders/>
          </w:tcPr>
          <w:p>
            <w:pPr>
              <w:pStyle w:val="964"/>
              <w:pBdr/>
              <w:spacing/>
              <w:ind/>
              <w:rPr/>
            </w:pPr>
            <w:r>
              <w:t xml:space="preserve">Mature, open-source, widely used</w:t>
            </w:r>
            <w:r/>
          </w:p>
        </w:tc>
        <w:tc>
          <w:tcPr>
            <w:tcBorders/>
          </w:tcPr>
          <w:p>
            <w:pPr>
              <w:pStyle w:val="964"/>
              <w:pBdr/>
              <w:spacing/>
              <w:ind/>
              <w:rPr/>
            </w:pPr>
            <w:r>
              <w:t xml:space="preserve">Data stewardship and portability potential; Event reliability still depends on deployment, backup, upgrade, monitoring, and operational practice</w:t>
            </w:r>
            <w:r/>
          </w:p>
        </w:tc>
      </w:tr>
      <w:tr>
        <w:trPr/>
        <w:tc>
          <w:tcPr>
            <w:tcBorders/>
          </w:tcPr>
          <w:p>
            <w:pPr>
              <w:pStyle w:val="964"/>
              <w:pBdr/>
              <w:spacing/>
              <w:ind/>
              <w:rPr/>
            </w:pPr>
            <w:r>
              <w:rPr>
                <w:b/>
                <w:bCs/>
              </w:rPr>
              <w:t xml:space="preserve">Caching</w:t>
            </w:r>
            <w:r/>
          </w:p>
        </w:tc>
        <w:tc>
          <w:tcPr>
            <w:tcBorders/>
          </w:tcPr>
          <w:p>
            <w:pPr>
              <w:pStyle w:val="964"/>
              <w:pBdr/>
              <w:spacing/>
              <w:ind/>
              <w:rPr/>
            </w:pPr>
            <w:r>
              <w:t xml:space="preserve">Valkey</w:t>
            </w:r>
            <w:r/>
          </w:p>
        </w:tc>
        <w:tc>
          <w:tcPr>
            <w:tcBorders/>
          </w:tcPr>
          <w:p>
            <w:pPr>
              <w:pStyle w:val="964"/>
              <w:pBdr/>
              <w:spacing/>
              <w:ind/>
              <w:rPr/>
            </w:pPr>
            <w:r>
              <w:t xml:space="preserve">Open-source, Redis-compatible</w:t>
            </w:r>
            <w:r/>
          </w:p>
        </w:tc>
        <w:tc>
          <w:tcPr>
            <w:tcBorders/>
          </w:tcPr>
          <w:p>
            <w:pPr>
              <w:pStyle w:val="964"/>
              <w:pBdr/>
              <w:spacing/>
              <w:ind/>
              <w:rPr/>
            </w:pPr>
            <w:r>
              <w:t xml:space="preserve">Avoid proprietary solutions</w:t>
            </w:r>
            <w:r/>
          </w:p>
        </w:tc>
      </w:tr>
      <w:tr>
        <w:trPr/>
        <w:tc>
          <w:tcPr>
            <w:tcBorders/>
          </w:tcPr>
          <w:p>
            <w:pPr>
              <w:pStyle w:val="964"/>
              <w:pBdr/>
              <w:spacing/>
              <w:ind/>
              <w:rPr/>
            </w:pPr>
            <w:r>
              <w:rPr>
                <w:b/>
                <w:bCs/>
              </w:rPr>
              <w:t xml:space="preserve">Secrets Management</w:t>
            </w:r>
            <w:r/>
          </w:p>
        </w:tc>
        <w:tc>
          <w:tcPr>
            <w:tcBorders/>
          </w:tcPr>
          <w:p>
            <w:pPr>
              <w:pStyle w:val="964"/>
              <w:pBdr/>
              <w:spacing/>
              <w:ind/>
              <w:rPr/>
            </w:pPr>
            <w:r>
              <w:t xml:space="preserve">Infisical</w:t>
            </w:r>
            <w:r/>
          </w:p>
        </w:tc>
        <w:tc>
          <w:tcPr>
            <w:tcBorders/>
          </w:tcPr>
          <w:p>
            <w:pPr>
              <w:pStyle w:val="964"/>
              <w:pBdr/>
              <w:spacing/>
              <w:ind/>
              <w:rPr/>
            </w:pPr>
            <w:r>
              <w:t xml:space="preserve">Open-source, self-hostable</w:t>
            </w:r>
            <w:r/>
          </w:p>
        </w:tc>
        <w:tc>
          <w:tcPr>
            <w:tcBorders/>
          </w:tcPr>
          <w:p>
            <w:pPr>
              <w:pStyle w:val="964"/>
              <w:pBdr/>
              <w:spacing/>
              <w:ind/>
              <w:rPr/>
            </w:pPr>
            <w:r>
              <w:t xml:space="preserve">Data security, privacy</w:t>
            </w:r>
            <w:r/>
          </w:p>
        </w:tc>
      </w:tr>
    </w:tbl>
    <w:p>
      <w:pPr>
        <w:pStyle w:val="962"/>
        <w:pBdr/>
        <w:spacing/>
        <w:ind/>
        <w:rPr/>
      </w:pPr>
      <w:r>
        <w:rPr>
          <w:b/>
          <w:bCs/>
        </w:rPr>
        <w:t xml:space="preserve">Alternatives Considered and Rejected:</w:t>
      </w:r>
      <w:r/>
    </w:p>
    <w:p>
      <w:pPr>
        <w:pStyle w:val="964"/>
        <w:numPr>
          <w:ilvl w:val="0"/>
          <w:numId w:val="112"/>
        </w:numPr>
        <w:pBdr/>
        <w:spacing/>
        <w:ind/>
        <w:rPr/>
      </w:pPr>
      <w:r>
        <w:rPr>
          <w:b/>
          <w:bCs/>
        </w:rPr>
        <w:t xml:space="preserve">Proprietary frameworks:</w:t>
      </w:r>
      <w:r>
        <w:t xml:space="preserve"> Rejected for vendor lock-in concerns</w:t>
      </w:r>
      <w:r/>
    </w:p>
    <w:p>
      <w:pPr>
        <w:pStyle w:val="964"/>
        <w:numPr>
          <w:ilvl w:val="0"/>
          <w:numId w:val="112"/>
        </w:numPr>
        <w:pBdr/>
        <w:spacing/>
        <w:ind/>
        <w:rPr/>
      </w:pPr>
      <w:r>
        <w:rPr>
          <w:b/>
          <w:bCs/>
        </w:rPr>
        <w:t xml:space="preserve">Closed-source databases:</w:t>
      </w:r>
      <w:r>
        <w:t xml:space="preserve"> Rejected for transparency and lock-in</w:t>
      </w:r>
      <w:r/>
    </w:p>
    <w:p>
      <w:pPr>
        <w:pStyle w:val="964"/>
        <w:numPr>
          <w:ilvl w:val="0"/>
          <w:numId w:val="112"/>
        </w:numPr>
        <w:pBdr/>
        <w:spacing/>
        <w:ind/>
        <w:rPr/>
      </w:pPr>
      <w:r>
        <w:rPr>
          <w:b/>
          <w:bCs/>
        </w:rPr>
        <w:t xml:space="preserve">Commercial-only tools:</w:t>
      </w:r>
      <w:r>
        <w:t xml:space="preserve"> Rejected for cost and autonomy concerns</w:t>
      </w:r>
      <w:r/>
    </w:p>
    <w:p>
      <w:pPr>
        <w:pStyle w:val="963"/>
        <w:pBdr/>
        <w:spacing/>
        <w:ind/>
        <w:rPr/>
      </w:pPr>
      <w:r>
        <w:t xml:space="preserve">Future mobile and desktop technology choices should be treated as subordinate to I-VSD requirements: open APIs, documented instance setup, custom server URLs, verified instance discovery, </w:t>
      </w:r>
      <w:r>
        <w:t xml:space="preserve">and switching between instances and tenants. KMP/Compose, Rust, or C# are possible implementation candidates, but the thesis-relevant question is whether the client preserves self-hosting and user agency rather than creating an official-instance-only path.</w:t>
      </w:r>
      <w:r/>
    </w:p>
    <w:p>
      <w:pPr>
        <w:pBdr/>
        <w:spacing/>
        <w:ind/>
        <w:rPr/>
      </w:pPr>
      <w:r>
        <mc:AlternateContent>
          <mc:Choice Requires="wpg">
            <w:drawing>
              <wp:inline xmlns:wp="http://schemas.openxmlformats.org/drawingml/2006/wordprocessingDrawing" distT="0" distB="0" distL="0" distR="0">
                <wp:extent cx="0" cy="19050"/>
                <wp:effectExtent l="0" t="0" r="0" b="0"/>
                <wp:docPr id="7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0" o:spid="_x0000_s70" o:spt="1" type="#_x0000_t1" style="width:0.00pt;height:1.50pt;mso-wrap-distance-left:0.00pt;mso-wrap-distance-top:0.00pt;mso-wrap-distance-right:0.00pt;mso-wrap-distance-bottom:0.00pt;visibility:visible;" fillcolor="#FFFFFF" strokecolor="#000000"/>
            </w:pict>
          </mc:Fallback>
        </mc:AlternateContent>
      </w:r>
      <w:bookmarkEnd w:id="91"/>
      <w:r/>
    </w:p>
    <w:p>
      <w:pPr>
        <w:pStyle w:val="977"/>
        <w:pBdr/>
        <w:spacing/>
        <w:ind/>
        <w:rPr/>
      </w:pPr>
      <w:r/>
      <w:bookmarkStart w:id="92" w:name="data-architecture-decisions"/>
      <w:r>
        <w:t xml:space="preserve">4.4.2 Data Architecture Decisions</w:t>
      </w:r>
      <w:r/>
    </w:p>
    <w:p>
      <w:pPr>
        <w:pStyle w:val="963"/>
        <w:pBdr/>
        <w:spacing/>
        <w:ind/>
        <w:rPr/>
      </w:pPr>
      <w:r>
        <w:rPr>
          <w:b/>
          <w:bCs/>
        </w:rPr>
        <w:t xml:space="preserve">Decision: Self-Hostable with User Data Sovereignty</w:t>
      </w:r>
      <w:r/>
    </w:p>
    <w:p>
      <w:pPr>
        <w:pStyle w:val="962"/>
        <w:pBdr/>
        <w:spacing/>
        <w:ind/>
        <w:rPr/>
      </w:pPr>
      <w:r>
        <w:rPr>
          <w:b/>
          <w:bCs/>
        </w:rPr>
        <w:t xml:space="preserve">I-VSD Framework Application:</w:t>
      </w:r>
      <w:r/>
    </w:p>
    <w:p>
      <w:pPr>
        <w:pStyle w:val="964"/>
        <w:numPr>
          <w:ilvl w:val="0"/>
          <w:numId w:val="113"/>
        </w:numPr>
        <w:pBdr/>
        <w:spacing/>
        <w:ind/>
        <w:rPr/>
      </w:pPr>
      <w:r>
        <w:rPr>
          <w:b/>
          <w:bCs/>
        </w:rPr>
        <w:t xml:space="preserve">Islamic Principles:</w:t>
      </w:r>
      <w:r>
        <w:t xml:space="preserve"> Amanah (trust with data), transparency, user rights</w:t>
      </w:r>
      <w:r/>
    </w:p>
    <w:p>
      <w:pPr>
        <w:pStyle w:val="964"/>
        <w:numPr>
          <w:ilvl w:val="0"/>
          <w:numId w:val="113"/>
        </w:numPr>
        <w:pBdr/>
        <w:spacing/>
        <w:ind/>
        <w:rPr/>
      </w:pPr>
      <w:r>
        <w:rPr>
          <w:b/>
          <w:bCs/>
        </w:rPr>
        <w:t xml:space="preserve">Heuristics Applied:</w:t>
      </w:r>
      <w:r/>
    </w:p>
    <w:p>
      <w:pPr>
        <w:pStyle w:val="964"/>
        <w:numPr>
          <w:ilvl w:val="1"/>
          <w:numId w:val="114"/>
        </w:numPr>
        <w:pBdr/>
        <w:spacing/>
        <w:ind/>
        <w:rPr/>
      </w:pPr>
      <w:r>
        <w:t xml:space="preserve">Data sovereignty</w:t>
      </w:r>
      <w:r/>
    </w:p>
    <w:p>
      <w:pPr>
        <w:pStyle w:val="964"/>
        <w:numPr>
          <w:ilvl w:val="1"/>
          <w:numId w:val="114"/>
        </w:numPr>
        <w:pBdr/>
        <w:spacing/>
        <w:ind/>
        <w:rPr/>
      </w:pPr>
      <w:r>
        <w:t xml:space="preserve">User control</w:t>
      </w:r>
      <w:r/>
    </w:p>
    <w:p>
      <w:pPr>
        <w:pStyle w:val="964"/>
        <w:numPr>
          <w:ilvl w:val="1"/>
          <w:numId w:val="114"/>
        </w:numPr>
        <w:pBdr/>
        <w:spacing/>
        <w:ind/>
        <w:rPr/>
      </w:pPr>
      <w:r>
        <w:t xml:space="preserve">Transparent data practices</w:t>
      </w:r>
      <w:r/>
    </w:p>
    <w:p>
      <w:pPr>
        <w:pStyle w:val="963"/>
        <w:pBdr/>
        <w:spacing/>
        <w:ind/>
        <w:rPr/>
      </w:pPr>
      <w:r>
        <w:rPr>
          <w:b/>
          <w:bCs/>
        </w:rPr>
        <w:t xml:space="preserve">Implementation:</w:t>
      </w:r>
      <w:r/>
    </w:p>
    <w:p>
      <w:pPr>
        <w:numPr>
          <w:ilvl w:val="0"/>
          <w:numId w:val="115"/>
        </w:numPr>
        <w:pBdr/>
        <w:spacing/>
        <w:ind/>
        <w:rPr/>
      </w:pPr>
      <w:r>
        <w:rPr>
          <w:b/>
          <w:bCs/>
        </w:rPr>
        <w:t xml:space="preserve">Self-Hosting Option:</w:t>
      </w:r>
      <w:r/>
    </w:p>
    <w:p>
      <w:pPr>
        <w:pStyle w:val="964"/>
        <w:numPr>
          <w:ilvl w:val="1"/>
          <w:numId w:val="116"/>
        </w:numPr>
        <w:pBdr/>
        <w:spacing/>
        <w:ind/>
        <w:rPr/>
      </w:pPr>
      <w:r>
        <w:t xml:space="preserve">Technically capable operators can run an independent instance when deployment requirements, dependencies, and documentation are sufficient</w:t>
      </w:r>
      <w:r/>
    </w:p>
    <w:p>
      <w:pPr>
        <w:pStyle w:val="964"/>
        <w:numPr>
          <w:ilvl w:val="1"/>
          <w:numId w:val="116"/>
        </w:numPr>
        <w:pBdr/>
        <w:spacing/>
        <w:ind/>
        <w:rPr/>
      </w:pPr>
      <w:r>
        <w:t xml:space="preserve">Greater practical control over data and software behavior than a closed hosted-only model can offer</w:t>
      </w:r>
      <w:r/>
    </w:p>
    <w:p>
      <w:pPr>
        <w:pStyle w:val="964"/>
        <w:numPr>
          <w:ilvl w:val="1"/>
          <w:numId w:val="116"/>
        </w:numPr>
        <w:pBdr/>
        <w:spacing/>
        <w:ind/>
        <w:rPr/>
      </w:pPr>
      <w:r>
        <w:t xml:space="preserve">Reduced dependency on ISLAMU infrastructure, while still depending on operator competence, external services, backups, upgrades, and maintenance</w:t>
      </w:r>
      <w:r/>
    </w:p>
    <w:p>
      <w:pPr>
        <w:pStyle w:val="964"/>
        <w:numPr>
          <w:ilvl w:val="1"/>
          <w:numId w:val="116"/>
        </w:numPr>
        <w:pBdr/>
        <w:spacing/>
        <w:ind/>
        <w:rPr/>
      </w:pPr>
      <w:r>
        <w:t xml:space="preserve">Alignment with privacy and autonomy principles remains a design claim requiring operational review</w:t>
      </w:r>
      <w:r/>
    </w:p>
    <w:p>
      <w:pPr>
        <w:numPr>
          <w:ilvl w:val="0"/>
          <w:numId w:val="115"/>
        </w:numPr>
        <w:pBdr/>
        <w:spacing/>
        <w:ind/>
        <w:rPr/>
      </w:pPr>
      <w:r>
        <w:rPr>
          <w:b/>
          <w:bCs/>
        </w:rPr>
        <w:t xml:space="preserve">Data Portability:</w:t>
      </w:r>
      <w:r/>
    </w:p>
    <w:p>
      <w:pPr>
        <w:pStyle w:val="964"/>
        <w:numPr>
          <w:ilvl w:val="1"/>
          <w:numId w:val="117"/>
        </w:numPr>
        <w:pBdr/>
        <w:spacing/>
        <w:ind/>
        <w:rPr/>
      </w:pPr>
      <w:r>
        <w:t xml:space="preserve">Documented export paths for relevant user, organizer, event, registration, media, and configuration data</w:t>
      </w:r>
      <w:r/>
    </w:p>
    <w:p>
      <w:pPr>
        <w:pStyle w:val="964"/>
        <w:numPr>
          <w:ilvl w:val="1"/>
          <w:numId w:val="117"/>
        </w:numPr>
        <w:pBdr/>
        <w:spacing/>
        <w:ind/>
        <w:rPr/>
      </w:pPr>
      <w:r>
        <w:t xml:space="preserve">Standard or well-documented formats where feasible</w:t>
      </w:r>
      <w:r/>
    </w:p>
    <w:p>
      <w:pPr>
        <w:pStyle w:val="964"/>
        <w:numPr>
          <w:ilvl w:val="1"/>
          <w:numId w:val="117"/>
        </w:numPr>
        <w:pBdr/>
        <w:spacing/>
        <w:ind/>
        <w:rPr/>
      </w:pPr>
      <w:r>
        <w:t xml:space="preserve">Import/export functionality treated as a design requirement rather than assumed completeness</w:t>
      </w:r>
      <w:r/>
    </w:p>
    <w:p>
      <w:pPr>
        <w:pStyle w:val="964"/>
        <w:numPr>
          <w:ilvl w:val="1"/>
          <w:numId w:val="117"/>
        </w:numPr>
        <w:pBdr/>
        <w:spacing/>
        <w:ind/>
        <w:rPr/>
      </w:pPr>
      <w:r>
        <w:t xml:space="preserve">The Obsidian model is a useful analogy for inspectable data formats, but Event must be evaluated on its own database, identity, media, backup, and federation boundaries</w:t>
      </w:r>
      <w:r/>
    </w:p>
    <w:p>
      <w:pPr>
        <w:pStyle w:val="963"/>
        <w:pBdr/>
        <w:spacing/>
        <w:ind/>
        <w:rPr/>
      </w:pPr>
      <w:r>
        <w:rPr>
          <w:b/>
          <w:bCs/>
        </w:rPr>
        <w:t xml:space="preserve">Example: Obsidian Vault Structure</w:t>
      </w:r>
      <w:r>
        <w:br/>
      </w:r>
      <w:r>
        <w:t xml:space="preserve">ISLAMU project planning uses Obsidian with:</w:t>
      </w:r>
      <w:r/>
    </w:p>
    <w:p>
      <w:pPr>
        <w:pStyle w:val="964"/>
        <w:numPr>
          <w:ilvl w:val="0"/>
          <w:numId w:val="118"/>
        </w:numPr>
        <w:pBdr/>
        <w:spacing/>
        <w:ind/>
        <w:rPr/>
      </w:pPr>
      <w:r>
        <w:t xml:space="preserve">Plain Markdown files (universal format)</w:t>
      </w:r>
      <w:r/>
    </w:p>
    <w:p>
      <w:pPr>
        <w:pStyle w:val="964"/>
        <w:numPr>
          <w:ilvl w:val="0"/>
          <w:numId w:val="118"/>
        </w:numPr>
        <w:pBdr/>
        <w:spacing/>
        <w:ind/>
        <w:rPr/>
      </w:pPr>
      <w:r>
        <w:t xml:space="preserve">Local-first storage</w:t>
      </w:r>
      <w:r/>
    </w:p>
    <w:p>
      <w:pPr>
        <w:pStyle w:val="964"/>
        <w:numPr>
          <w:ilvl w:val="0"/>
          <w:numId w:val="118"/>
        </w:numPr>
        <w:pBdr/>
        <w:spacing/>
        <w:ind/>
        <w:rPr/>
      </w:pPr>
      <w:r>
        <w:t xml:space="preserve">Migration to other tools should be supported by documented export/import boundaries and tested procedures</w:t>
      </w:r>
      <w:r/>
    </w:p>
    <w:p>
      <w:pPr>
        <w:pStyle w:val="964"/>
        <w:numPr>
          <w:ilvl w:val="0"/>
          <w:numId w:val="118"/>
        </w:numPr>
        <w:pBdr/>
        <w:spacing/>
        <w:ind/>
        <w:rPr/>
      </w:pPr>
      <w:r>
        <w:t xml:space="preserve">Users and operators should understand which data they control directly, which data depends on external providers, and which operational responsibilities remain theirs</w:t>
      </w:r>
      <w:r/>
    </w:p>
    <w:p>
      <w:pPr>
        <w:pStyle w:val="964"/>
        <w:numPr>
          <w:ilvl w:val="0"/>
          <w:numId w:val="118"/>
        </w:numPr>
        <w:pBdr/>
        <w:spacing/>
        <w:ind/>
        <w:rPr/>
      </w:pPr>
      <w:r>
        <w:rPr>
          <w:b/>
          <w:bCs/>
        </w:rPr>
        <w:t xml:space="preserve">This is a model for ISLAMU software design</w:t>
      </w:r>
      <w:r/>
    </w:p>
    <w:p>
      <w:pPr>
        <w:pStyle w:val="963"/>
        <w:pBdr/>
        <w:spacing/>
        <w:ind/>
        <w:rPr/>
      </w:pPr>
      <w:r>
        <w:rPr>
          <w:b/>
          <w:bCs/>
        </w:rPr>
        <w:t xml:space="preserve">Anti-Pattern Avoided:</w:t>
      </w:r>
      <w:r>
        <w:t xml:space="preserve"> ChartDB example (browser local storage for self-hosted, forcing paid SaaS for normal functionality—Section 2.1.3.13)</w:t>
      </w:r>
      <w:r/>
    </w:p>
    <w:p>
      <w:pPr>
        <w:pBdr/>
        <w:spacing/>
        <w:ind/>
        <w:rPr/>
      </w:pPr>
      <w:r>
        <mc:AlternateContent>
          <mc:Choice Requires="wpg">
            <w:drawing>
              <wp:inline xmlns:wp="http://schemas.openxmlformats.org/drawingml/2006/wordprocessingDrawing" distT="0" distB="0" distL="0" distR="0">
                <wp:extent cx="0" cy="19050"/>
                <wp:effectExtent l="0" t="0" r="0" b="0"/>
                <wp:docPr id="7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1" o:spid="_x0000_s71" o:spt="1" type="#_x0000_t1" style="width:0.00pt;height:1.50pt;mso-wrap-distance-left:0.00pt;mso-wrap-distance-top:0.00pt;mso-wrap-distance-right:0.00pt;mso-wrap-distance-bottom:0.00pt;visibility:visible;" fillcolor="#FFFFFF" strokecolor="#000000"/>
            </w:pict>
          </mc:Fallback>
        </mc:AlternateContent>
      </w:r>
      <w:bookmarkEnd w:id="92"/>
      <w:r/>
    </w:p>
    <w:p>
      <w:pPr>
        <w:pStyle w:val="977"/>
        <w:pBdr/>
        <w:spacing/>
        <w:ind/>
        <w:rPr/>
      </w:pPr>
      <w:r/>
      <w:bookmarkStart w:id="93" w:name="security-and-privacy-architecture"/>
      <w:r>
        <w:t xml:space="preserve">4.4.3 Security and Privacy Architecture</w:t>
      </w:r>
      <w:r/>
    </w:p>
    <w:p>
      <w:pPr>
        <w:pStyle w:val="963"/>
        <w:pBdr/>
        <w:spacing/>
        <w:ind/>
        <w:rPr/>
      </w:pPr>
      <w:r>
        <w:rPr>
          <w:b/>
          <w:bCs/>
        </w:rPr>
        <w:t xml:space="preserve">Decision: Privacy-First, Security-by-Design</w:t>
      </w:r>
      <w:r/>
    </w:p>
    <w:p>
      <w:pPr>
        <w:pStyle w:val="962"/>
        <w:pBdr/>
        <w:spacing/>
        <w:ind/>
        <w:rPr/>
      </w:pPr>
      <w:r>
        <w:rPr>
          <w:b/>
          <w:bCs/>
        </w:rPr>
        <w:t xml:space="preserve">I-VSD Framework Application:</w:t>
      </w:r>
      <w:r/>
    </w:p>
    <w:p>
      <w:pPr>
        <w:pStyle w:val="964"/>
        <w:numPr>
          <w:ilvl w:val="0"/>
          <w:numId w:val="119"/>
        </w:numPr>
        <w:pBdr/>
        <w:spacing/>
        <w:ind/>
        <w:rPr/>
      </w:pPr>
      <w:r>
        <w:rPr>
          <w:b/>
          <w:bCs/>
        </w:rPr>
        <w:t xml:space="preserve">Islamic Principles:</w:t>
      </w:r>
      <w:r>
        <w:t xml:space="preserve"> Amanah, do no harm, respect for privacy</w:t>
      </w:r>
      <w:r/>
    </w:p>
    <w:p>
      <w:pPr>
        <w:pStyle w:val="964"/>
        <w:numPr>
          <w:ilvl w:val="0"/>
          <w:numId w:val="119"/>
        </w:numPr>
        <w:pBdr/>
        <w:spacing/>
        <w:ind/>
        <w:rPr/>
      </w:pPr>
      <w:r>
        <w:rPr>
          <w:b/>
          <w:bCs/>
        </w:rPr>
        <w:t xml:space="preserve">Heuristics Applied:</w:t>
      </w:r>
      <w:r/>
    </w:p>
    <w:p>
      <w:pPr>
        <w:pStyle w:val="964"/>
        <w:numPr>
          <w:ilvl w:val="1"/>
          <w:numId w:val="120"/>
        </w:numPr>
        <w:pBdr/>
        <w:spacing/>
        <w:ind/>
        <w:rPr/>
      </w:pPr>
      <w:r>
        <w:t xml:space="preserve">Security as moral obligation</w:t>
      </w:r>
      <w:r/>
    </w:p>
    <w:p>
      <w:pPr>
        <w:pStyle w:val="964"/>
        <w:numPr>
          <w:ilvl w:val="1"/>
          <w:numId w:val="120"/>
        </w:numPr>
        <w:pBdr/>
        <w:spacing/>
        <w:ind/>
        <w:rPr/>
      </w:pPr>
      <w:r>
        <w:t xml:space="preserve">Minimize data collection</w:t>
      </w:r>
      <w:r/>
    </w:p>
    <w:p>
      <w:pPr>
        <w:pStyle w:val="964"/>
        <w:numPr>
          <w:ilvl w:val="1"/>
          <w:numId w:val="120"/>
        </w:numPr>
        <w:pBdr/>
        <w:spacing/>
        <w:ind/>
        <w:rPr/>
      </w:pPr>
      <w:r>
        <w:t xml:space="preserve">Transparent data usage</w:t>
      </w:r>
      <w:r/>
    </w:p>
    <w:p>
      <w:pPr>
        <w:pStyle w:val="963"/>
        <w:pBdr/>
        <w:spacing/>
        <w:ind/>
        <w:rPr/>
      </w:pPr>
      <w:r>
        <w:rPr>
          <w:b/>
          <w:bCs/>
        </w:rPr>
        <w:t xml:space="preserve">Concrete Implementations:</w:t>
      </w:r>
      <w:r/>
    </w:p>
    <w:p>
      <w:pPr>
        <w:numPr>
          <w:ilvl w:val="0"/>
          <w:numId w:val="121"/>
        </w:numPr>
        <w:pBdr/>
        <w:spacing/>
        <w:ind/>
        <w:rPr/>
      </w:pPr>
      <w:r>
        <w:rPr>
          <w:b/>
          <w:bCs/>
        </w:rPr>
        <w:t xml:space="preserve">Password Security:</w:t>
      </w:r>
      <w:r/>
    </w:p>
    <w:p>
      <w:pPr>
        <w:pStyle w:val="964"/>
        <w:numPr>
          <w:ilvl w:val="1"/>
          <w:numId w:val="122"/>
        </w:numPr>
        <w:pBdr/>
        <w:spacing/>
        <w:ind/>
        <w:rPr/>
      </w:pPr>
      <w:r>
        <w:t xml:space="preserve">Bcrypt hashing minimum</w:t>
      </w:r>
      <w:r/>
    </w:p>
    <w:p>
      <w:pPr>
        <w:pStyle w:val="964"/>
        <w:numPr>
          <w:ilvl w:val="1"/>
          <w:numId w:val="122"/>
        </w:numPr>
        <w:pBdr/>
        <w:spacing/>
        <w:ind/>
        <w:rPr/>
      </w:pPr>
      <w:r>
        <w:t xml:space="preserve">Salt and pepper</w:t>
      </w:r>
      <w:r/>
    </w:p>
    <w:p>
      <w:pPr>
        <w:pStyle w:val="964"/>
        <w:numPr>
          <w:ilvl w:val="1"/>
          <w:numId w:val="122"/>
        </w:numPr>
        <w:pBdr/>
        <w:spacing/>
        <w:ind/>
        <w:rPr/>
      </w:pPr>
      <w:r>
        <w:t xml:space="preserve">Periodic security review appropriate to risk and maturity</w:t>
      </w:r>
      <w:r/>
    </w:p>
    <w:p>
      <w:pPr>
        <w:pStyle w:val="964"/>
        <w:numPr>
          <w:ilvl w:val="1"/>
          <w:numId w:val="122"/>
        </w:numPr>
        <w:pBdr/>
        <w:spacing/>
        <w:ind/>
        <w:rPr/>
      </w:pPr>
      <w:r>
        <w:t xml:space="preserve">Addressing failures documented in Section 2.1.3.3</w:t>
      </w:r>
      <w:r/>
    </w:p>
    <w:p>
      <w:pPr>
        <w:numPr>
          <w:ilvl w:val="0"/>
          <w:numId w:val="121"/>
        </w:numPr>
        <w:pBdr/>
        <w:spacing/>
        <w:ind/>
        <w:rPr/>
      </w:pPr>
      <w:r>
        <w:rPr>
          <w:b/>
          <w:bCs/>
        </w:rPr>
        <w:t xml:space="preserve">Data Minimization:</w:t>
      </w:r>
      <w:r/>
    </w:p>
    <w:p>
      <w:pPr>
        <w:pStyle w:val="964"/>
        <w:numPr>
          <w:ilvl w:val="1"/>
          <w:numId w:val="123"/>
        </w:numPr>
        <w:pBdr/>
        <w:spacing/>
        <w:ind/>
        <w:rPr/>
      </w:pPr>
      <w:r>
        <w:t xml:space="preserve">Collect only necessary data</w:t>
      </w:r>
      <w:r/>
    </w:p>
    <w:p>
      <w:pPr>
        <w:pStyle w:val="964"/>
        <w:numPr>
          <w:ilvl w:val="1"/>
          <w:numId w:val="123"/>
        </w:numPr>
        <w:pBdr/>
        <w:spacing/>
        <w:ind/>
        <w:rPr/>
      </w:pPr>
      <w:r>
        <w:t xml:space="preserve">Document justification for each data point</w:t>
      </w:r>
      <w:r/>
    </w:p>
    <w:p>
      <w:pPr>
        <w:pStyle w:val="964"/>
        <w:numPr>
          <w:ilvl w:val="1"/>
          <w:numId w:val="123"/>
        </w:numPr>
        <w:pBdr/>
        <w:spacing/>
        <w:ind/>
        <w:rPr/>
      </w:pPr>
      <w:r>
        <w:t xml:space="preserve">Periodic review of data collection</w:t>
      </w:r>
      <w:r/>
    </w:p>
    <w:p>
      <w:pPr>
        <w:pStyle w:val="964"/>
        <w:numPr>
          <w:ilvl w:val="1"/>
          <w:numId w:val="123"/>
        </w:numPr>
        <w:pBdr/>
        <w:spacing/>
        <w:ind/>
        <w:rPr/>
      </w:pPr>
      <w:r>
        <w:t xml:space="preserve">User control over optional data</w:t>
      </w:r>
      <w:r/>
    </w:p>
    <w:p>
      <w:pPr>
        <w:numPr>
          <w:ilvl w:val="0"/>
          <w:numId w:val="121"/>
        </w:numPr>
        <w:pBdr/>
        <w:spacing/>
        <w:ind/>
        <w:rPr/>
      </w:pPr>
      <w:r>
        <w:rPr>
          <w:b/>
          <w:bCs/>
        </w:rPr>
        <w:t xml:space="preserve">Third-Party Services:</w:t>
      </w:r>
      <w:r/>
    </w:p>
    <w:p>
      <w:pPr>
        <w:pStyle w:val="964"/>
        <w:numPr>
          <w:ilvl w:val="1"/>
          <w:numId w:val="124"/>
        </w:numPr>
        <w:pBdr/>
        <w:spacing/>
        <w:ind/>
        <w:rPr/>
      </w:pPr>
      <w:r>
        <w:t xml:space="preserve">No tracking cookies without consent</w:t>
      </w:r>
      <w:r/>
    </w:p>
    <w:p>
      <w:pPr>
        <w:pStyle w:val="964"/>
        <w:numPr>
          <w:ilvl w:val="1"/>
          <w:numId w:val="124"/>
        </w:numPr>
        <w:pBdr/>
        <w:spacing/>
        <w:ind/>
        <w:rPr/>
      </w:pPr>
      <w:r>
        <w:t xml:space="preserve">Minimize third-party analytics</w:t>
      </w:r>
      <w:r/>
    </w:p>
    <w:p>
      <w:pPr>
        <w:pStyle w:val="964"/>
        <w:numPr>
          <w:ilvl w:val="1"/>
          <w:numId w:val="124"/>
        </w:numPr>
        <w:pBdr/>
        <w:spacing/>
        <w:ind/>
        <w:rPr/>
      </w:pPr>
      <w:r>
        <w:t xml:space="preserve">Self-hosted analytics preferred (avoiding Google Analytics privacy issues)</w:t>
      </w:r>
      <w:r/>
    </w:p>
    <w:p>
      <w:pPr>
        <w:pStyle w:val="964"/>
        <w:numPr>
          <w:ilvl w:val="1"/>
          <w:numId w:val="124"/>
        </w:numPr>
        <w:pBdr/>
        <w:spacing/>
        <w:ind/>
        <w:rPr/>
      </w:pPr>
      <w:r>
        <w:t xml:space="preserve">Clear disclosure of any third-party data sharing</w:t>
      </w:r>
      <w:r/>
    </w:p>
    <w:p>
      <w:pPr>
        <w:numPr>
          <w:ilvl w:val="0"/>
          <w:numId w:val="121"/>
        </w:numPr>
        <w:pBdr/>
        <w:spacing/>
        <w:ind/>
        <w:rPr/>
      </w:pPr>
      <w:r>
        <w:rPr>
          <w:b/>
          <w:bCs/>
        </w:rPr>
        <w:t xml:space="preserve">Encryption:</w:t>
      </w:r>
      <w:r/>
    </w:p>
    <w:p>
      <w:pPr>
        <w:pStyle w:val="964"/>
        <w:numPr>
          <w:ilvl w:val="1"/>
          <w:numId w:val="125"/>
        </w:numPr>
        <w:pBdr/>
        <w:spacing/>
        <w:ind/>
        <w:rPr/>
      </w:pPr>
      <w:r>
        <w:t xml:space="preserve">HTTPS everywhere</w:t>
      </w:r>
      <w:r/>
    </w:p>
    <w:p>
      <w:pPr>
        <w:pStyle w:val="964"/>
        <w:numPr>
          <w:ilvl w:val="1"/>
          <w:numId w:val="125"/>
        </w:numPr>
        <w:pBdr/>
        <w:spacing/>
        <w:ind/>
        <w:rPr/>
      </w:pPr>
      <w:r>
        <w:t xml:space="preserve">Encrypted data at rest where appropriate</w:t>
      </w:r>
      <w:r/>
    </w:p>
    <w:p>
      <w:pPr>
        <w:pStyle w:val="964"/>
        <w:numPr>
          <w:ilvl w:val="1"/>
          <w:numId w:val="125"/>
        </w:numPr>
        <w:pBdr/>
        <w:spacing/>
        <w:ind/>
        <w:rPr/>
      </w:pPr>
      <w:r>
        <w:t xml:space="preserve">End-to-end encryption for sensitive user data</w:t>
      </w:r>
      <w:r/>
    </w:p>
    <w:p>
      <w:pPr>
        <w:numPr>
          <w:ilvl w:val="0"/>
          <w:numId w:val="121"/>
        </w:numPr>
        <w:pBdr/>
        <w:spacing/>
        <w:ind/>
        <w:rPr/>
      </w:pPr>
      <w:r>
        <w:rPr>
          <w:b/>
          <w:bCs/>
        </w:rPr>
        <w:t xml:space="preserve">Fraud-Risk and Identity-Governance Considerations:</w:t>
      </w:r>
      <w:r>
        <w:br/>
      </w:r>
      <w:r>
        <w:t xml:space="preserve">Software platforms can facilitate harm when identity, payments, organizer authority, or high-trust listings are handled carelessly. The I-VSD framework therefore treats fraud-risk controls as proportionate governance choices rather than as a universal sur</w:t>
      </w:r>
      <w:r>
        <w:t xml:space="preserve">veillance mandate. For ISLAMU Event, current implementation evidence is strongest around authorization boundaries, tenant isolation, API-key safety, rate limiting, idempotency, upload-safety boundaries, organization review surfaces, and reporting concepts.</w:t>
      </w:r>
      <w:r/>
    </w:p>
    <w:p>
      <w:pPr>
        <w:pStyle w:val="964"/>
        <w:numPr>
          <w:ilvl w:val="1"/>
          <w:numId w:val="126"/>
        </w:numPr>
        <w:pBdr/>
        <w:spacing/>
        <w:ind/>
        <w:rPr/>
      </w:pPr>
      <w:r>
        <w:t xml:space="preserve">Use risk-tiered organizer and organization review rather than requiring intrusive identity checks for every low-risk action</w:t>
      </w:r>
      <w:r/>
    </w:p>
    <w:p>
      <w:pPr>
        <w:pStyle w:val="964"/>
        <w:numPr>
          <w:ilvl w:val="1"/>
          <w:numId w:val="126"/>
        </w:numPr>
        <w:pBdr/>
        <w:spacing/>
        <w:ind/>
        <w:rPr/>
      </w:pPr>
      <w:r>
        <w:t xml:space="preserve">Support risk assessment while preserving correction and contestation routes when verification labels or restrictions are wrong</w:t>
      </w:r>
      <w:r/>
    </w:p>
    <w:p>
      <w:pPr>
        <w:pStyle w:val="964"/>
        <w:numPr>
          <w:ilvl w:val="1"/>
          <w:numId w:val="126"/>
        </w:numPr>
        <w:pBdr/>
        <w:spacing/>
        <w:ind/>
        <w:rPr/>
      </w:pPr>
      <w:r>
        <w:t xml:space="preserve">Monitor for abuse patterns through proportionate logging, rate limits, audit trails, and incident review rather than default collection of excessive personal data</w:t>
      </w:r>
      <w:r/>
    </w:p>
    <w:p>
      <w:pPr>
        <w:pStyle w:val="964"/>
        <w:numPr>
          <w:ilvl w:val="1"/>
          <w:numId w:val="126"/>
        </w:numPr>
        <w:pBdr/>
        <w:spacing/>
        <w:ind/>
        <w:rPr/>
      </w:pPr>
      <w:r>
        <w:t xml:space="preserve">Educate users on fraud risks and encourage strong security practices, including unique passwords and prompt reporting of suspicious activity</w:t>
      </w:r>
      <w:r/>
    </w:p>
    <w:p>
      <w:pPr>
        <w:pStyle w:val="964"/>
        <w:numPr>
          <w:ilvl w:val="1"/>
          <w:numId w:val="126"/>
        </w:numPr>
        <w:pBdr/>
        <w:spacing/>
        <w:ind/>
        <w:rPr/>
      </w:pPr>
      <w:r>
        <w:t xml:space="preserve">Maintain current software and security patches to reduce exploitation of known vulnerabilities</w:t>
      </w:r>
      <w:r/>
    </w:p>
    <w:p>
      <w:pPr>
        <w:pStyle w:val="964"/>
        <w:numPr>
          <w:ilvl w:val="1"/>
          <w:numId w:val="126"/>
        </w:numPr>
        <w:pBdr/>
        <w:spacing/>
        <w:ind/>
        <w:rPr/>
      </w:pPr>
      <w:r>
        <w:t xml:space="preserve">Conduct periodic fraud-risk reviews to identify gaps, but treat effectiveness as an operational evaluation question</w:t>
      </w:r>
      <w:r/>
    </w:p>
    <w:p>
      <w:pPr>
        <w:numPr>
          <w:ilvl w:val="0"/>
          <w:numId w:val="1"/>
        </w:numPr>
        <w:pBdr/>
        <w:spacing/>
        <w:ind/>
        <w:rPr/>
      </w:pPr>
      <w:r>
        <w:t xml:space="preserve">These measures align with the Amanah principle: when users trust a platform with event listings, organiz</w:t>
      </w:r>
      <w:r>
        <w:t xml:space="preserve">er identities, registrations, or transactions, the platform bears moral responsibility for reducing foreseeable fraud facilitation risks. Stronger identity checks should be proportionate to risk, documented, reviewable, and not become default surveillance.</w:t>
      </w:r>
      <w:r/>
    </w:p>
    <w:p>
      <w:pPr>
        <w:numPr>
          <w:ilvl w:val="0"/>
          <w:numId w:val="121"/>
        </w:numPr>
        <w:pBdr/>
        <w:spacing/>
        <w:ind/>
        <w:rPr/>
      </w:pPr>
      <w:r>
        <w:rPr>
          <w:b/>
          <w:bCs/>
        </w:rPr>
        <w:t xml:space="preserve">GDPR-Oriented Data-Rights Requirements and Beyond:</w:t>
      </w:r>
      <w:r/>
    </w:p>
    <w:p>
      <w:pPr>
        <w:pStyle w:val="964"/>
        <w:numPr>
          <w:ilvl w:val="1"/>
          <w:numId w:val="127"/>
        </w:numPr>
        <w:pBdr/>
        <w:spacing/>
        <w:ind/>
        <w:rPr/>
      </w:pPr>
      <w:r>
        <w:t xml:space="preserve">Treat data access, deletion, portability, transparency, and purpose limitation as design and governance requirements</w:t>
      </w:r>
      <w:r/>
    </w:p>
    <w:p>
      <w:pPr>
        <w:pStyle w:val="964"/>
        <w:numPr>
          <w:ilvl w:val="1"/>
          <w:numId w:val="127"/>
        </w:numPr>
        <w:pBdr/>
        <w:spacing/>
        <w:ind/>
        <w:rPr/>
      </w:pPr>
      <w:r>
        <w:t xml:space="preserve">Add additional protections beyond legal minimums where the thesis’s selected Islamic ethical principles justify them</w:t>
      </w:r>
      <w:r/>
    </w:p>
    <w:p>
      <w:pPr>
        <w:pStyle w:val="964"/>
        <w:numPr>
          <w:ilvl w:val="1"/>
          <w:numId w:val="127"/>
        </w:numPr>
        <w:pBdr/>
        <w:spacing/>
        <w:ind/>
        <w:rPr/>
      </w:pPr>
      <w:r>
        <w:t xml:space="preserve">Treat legal compliance as a future review and operational responsibility, not as something established by architecture alone</w:t>
      </w:r>
      <w:r/>
    </w:p>
    <w:p>
      <w:pPr>
        <w:pStyle w:val="963"/>
        <w:pBdr/>
        <w:spacing/>
        <w:ind/>
        <w:rPr/>
      </w:pPr>
      <w:r>
        <w:rPr>
          <w:b/>
          <w:bCs/>
        </w:rPr>
        <w:t xml:space="preserve">Rejected Approaches:</w:t>
      </w:r>
      <w:r/>
    </w:p>
    <w:p>
      <w:pPr>
        <w:pStyle w:val="964"/>
        <w:numPr>
          <w:ilvl w:val="0"/>
          <w:numId w:val="128"/>
        </w:numPr>
        <w:pBdr/>
        <w:spacing/>
        <w:ind/>
        <w:rPr/>
      </w:pPr>
      <w:r>
        <w:t xml:space="preserve">Third-party analytics without user consent</w:t>
      </w:r>
      <w:r/>
    </w:p>
    <w:p>
      <w:pPr>
        <w:pStyle w:val="964"/>
        <w:numPr>
          <w:ilvl w:val="0"/>
          <w:numId w:val="128"/>
        </w:numPr>
        <w:pBdr/>
        <w:spacing/>
        <w:ind/>
        <w:rPr/>
      </w:pPr>
      <w:r>
        <w:t xml:space="preserve">Selling user data (explicitly forbidden)</w:t>
      </w:r>
      <w:r/>
    </w:p>
    <w:p>
      <w:pPr>
        <w:pStyle w:val="964"/>
        <w:numPr>
          <w:ilvl w:val="0"/>
          <w:numId w:val="128"/>
        </w:numPr>
        <w:pBdr/>
        <w:spacing/>
        <w:ind/>
        <w:rPr/>
      </w:pPr>
      <w:r>
        <w:t xml:space="preserve">Weak password storage</w:t>
      </w:r>
      <w:r/>
    </w:p>
    <w:p>
      <w:pPr>
        <w:pStyle w:val="964"/>
        <w:numPr>
          <w:ilvl w:val="0"/>
          <w:numId w:val="128"/>
        </w:numPr>
        <w:pBdr/>
        <w:spacing/>
        <w:ind/>
        <w:rPr/>
      </w:pPr>
      <w:r>
        <w:t xml:space="preserve">Backdoors or surveillance features</w:t>
      </w:r>
      <w:r/>
    </w:p>
    <w:p>
      <w:pPr>
        <w:pStyle w:val="963"/>
        <w:pBdr/>
        <w:spacing/>
        <w:ind/>
        <w:rPr/>
      </w:pPr>
      <w:r>
        <w:rPr>
          <w:b/>
          <w:bCs/>
        </w:rPr>
        <w:t xml:space="preserve">Security Baseline Clarification:</w:t>
      </w:r>
      <w:r/>
    </w:p>
    <w:p>
      <w:pPr>
        <w:pStyle w:val="962"/>
        <w:pBdr/>
        <w:spacing/>
        <w:ind/>
        <w:rPr/>
      </w:pPr>
      <w:r>
        <w:t xml:space="preserve">Security-by-design also requires avoiding obs</w:t>
      </w:r>
      <w:r>
        <w:t xml:space="preserve">olete or inappropriate cryptographic primitives. For example, MD5 should not be used for password storage or integrity-sensitive security decisions; modern password handling should use dedicated password-hashing schemes such as bcrypt, Argon2, or equivalen</w:t>
      </w:r>
      <w:r>
        <w:t xml:space="preserve">t current best practice with salts and operational safeguards. The point is not merely technical correctness. Under Amanah, weak security choices betray user trust because they expose users to avoidable harm while creating a false impression of protection.</w:t>
      </w:r>
      <w:r/>
    </w:p>
    <w:p>
      <w:pPr>
        <w:pStyle w:val="962"/>
        <w:pBdr/>
        <w:spacing/>
        <w:ind/>
        <w:rPr/>
      </w:pPr>
      <w:r>
        <w:rPr>
          <w:b/>
          <w:bCs/>
        </w:rPr>
        <w:t xml:space="preserve">Point-of-Use Permission Requests:</w:t>
      </w:r>
      <w:r/>
    </w:p>
    <w:p>
      <w:pPr>
        <w:pStyle w:val="962"/>
        <w:pBdr/>
        <w:spacing/>
        <w:ind/>
        <w:rPr/>
      </w:pPr>
      <w:r>
        <w:t xml:space="preserve">Privacy-first architecture also requires permission requests to be narrow, contextual, and revocable</w:t>
      </w:r>
      <w:r>
        <w:t xml:space="preserve">. Mobile apps, OAuth integrations, and desktop applications should not ask for broad access at installation or first launch merely because it is easier for developers. File access should be requested when a user actually uploads or selects a file; calendar</w:t>
      </w:r>
      <w:r>
        <w:t xml:space="preserve">, drive, microphone, camera, location, or email scopes should be limited to the exact operation being performed. Where platform APIs support narrower scopes, choosing broader scopes for convenience normalizes excessive access and shifts risk onto the user.</w:t>
      </w:r>
      <w:r/>
    </w:p>
    <w:p>
      <w:pPr>
        <w:pStyle w:val="962"/>
        <w:pBdr/>
        <w:spacing/>
        <w:ind/>
        <w:rPr/>
      </w:pPr>
      <w:r>
        <w:t xml:space="preserve">Instance or API selection should follow the same privacy logic. A client can ask where the user wants to connect without also forcing unnecessary device, con</w:t>
      </w:r>
      <w:r>
        <w:t xml:space="preserve">tact, calendar, location, or email access. Instance choice should not become a pretext for opaque account flows or excessive permissions; the ethical requirement is to connect the user to the right authority boundary while collecting as little as possible.</w:t>
      </w:r>
      <w:r/>
    </w:p>
    <w:p>
      <w:pPr>
        <w:pStyle w:val="962"/>
        <w:pBdr/>
        <w:spacing/>
        <w:ind/>
        <w:rPr/>
      </w:pPr>
      <w:r>
        <w:t xml:space="preserve">For ISLAMU Event, this means optional integrations mu</w:t>
      </w:r>
      <w:r>
        <w:t xml:space="preserve">st request only the minimum scope needed, explain why the permission is needed, continue gracefully when optional access is refused, and avoid forcing users into an accept-or-abandon choice unless the access is genuinely essential to the requested feature.</w:t>
      </w:r>
      <w:r/>
    </w:p>
    <w:p>
      <w:pPr>
        <w:pStyle w:val="962"/>
        <w:pBdr/>
        <w:spacing/>
        <w:ind/>
        <w:rPr/>
      </w:pPr>
      <w:r>
        <w:rPr>
          <w:b/>
          <w:bCs/>
        </w:rPr>
        <w:t xml:space="preserve">Permission Scope and Data Justification Policy:</w:t>
      </w:r>
      <w:r/>
    </w:p>
    <w:p>
      <w:pPr>
        <w:pStyle w:val="962"/>
        <w:pBdr/>
        <w:spacing/>
        <w:ind/>
        <w:rPr/>
      </w:pPr>
      <w:r>
        <w:t xml:space="preserve">ISLAMU Event should treat broad permission requests as exceptional. A mobile app, OAuth integration, or browser-based workflow should not request access to files, microphone, camera, location, calendar, contacts, or extern</w:t>
      </w:r>
      <w:r>
        <w:t xml:space="preserve">al accounts merely because those permissions may be useful later. Access should be requested at the point of use, explained in plain language, scoped to the narrowest technical permission available, and revocable without destroying unrelated functionality.</w:t>
      </w:r>
      <w:r/>
    </w:p>
    <w:p>
      <w:pPr>
        <w:pStyle w:val="962"/>
        <w:pBdr/>
        <w:spacing/>
        <w:ind/>
        <w:rPr/>
      </w:pPr>
      <w:r>
        <w:t xml:space="preserve">The same principle applies to backend data design. Fraud-risk analysis, analytics, personalization, and support workflows can become excuses for collecting more than the service morally needs. ISLA</w:t>
      </w:r>
      <w:r>
        <w:t xml:space="preserve">MU should therefore keep an internal data register that links each field or permission to a specific user-facing purpose, retention period, and less-intrusive alternative considered. This makes privacy-first architecture operational rather than rhetorical.</w:t>
      </w:r>
      <w:r/>
    </w:p>
    <w:p>
      <w:pPr>
        <w:pBdr/>
        <w:spacing/>
        <w:ind/>
        <w:rPr/>
      </w:pPr>
      <w:r>
        <mc:AlternateContent>
          <mc:Choice Requires="wpg">
            <w:drawing>
              <wp:inline xmlns:wp="http://schemas.openxmlformats.org/drawingml/2006/wordprocessingDrawing" distT="0" distB="0" distL="0" distR="0">
                <wp:extent cx="0" cy="19050"/>
                <wp:effectExtent l="0" t="0" r="0" b="0"/>
                <wp:docPr id="7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2" o:spid="_x0000_s72" o:spt="1" type="#_x0000_t1" style="width:0.00pt;height:1.50pt;mso-wrap-distance-left:0.00pt;mso-wrap-distance-top:0.00pt;mso-wrap-distance-right:0.00pt;mso-wrap-distance-bottom:0.00pt;visibility:visible;" fillcolor="#FFFFFF" strokecolor="#000000"/>
            </w:pict>
          </mc:Fallback>
        </mc:AlternateContent>
      </w:r>
      <w:bookmarkEnd w:id="93"/>
      <w:r/>
    </w:p>
    <w:p>
      <w:pPr>
        <w:pStyle w:val="977"/>
        <w:pBdr/>
        <w:spacing/>
        <w:ind/>
        <w:rPr/>
      </w:pPr>
      <w:r/>
      <w:bookmarkStart w:id="94" w:name="moderation-and-governance-controls"/>
      <w:r>
        <w:t xml:space="preserve">4.4.4 Moderation and Governance Controls</w:t>
      </w:r>
      <w:r/>
    </w:p>
    <w:p>
      <w:pPr>
        <w:pStyle w:val="963"/>
        <w:pBdr/>
        <w:spacing/>
        <w:ind/>
        <w:rPr/>
      </w:pPr>
      <w:r>
        <w:rPr>
          <w:b/>
          <w:bCs/>
        </w:rPr>
        <w:t xml:space="preserve">Decision: Moderation and Governance Controls as Design Commitments</w:t>
      </w:r>
      <w:r/>
    </w:p>
    <w:p>
      <w:pPr>
        <w:pStyle w:val="962"/>
        <w:pBdr/>
        <w:spacing/>
        <w:ind/>
        <w:rPr/>
      </w:pPr>
      <w:r>
        <w:t xml:space="preserve">In this thesis, moderation is treated as a governance and traceability problem rather than as evidence that fair outcomes have alr</w:t>
      </w:r>
      <w:r>
        <w:t xml:space="preserve">eady been achieved. The current ISLAMU Event evidence supports discussing scoped administrative authority, tenant and platform separation, authorization-aware affordances, verification labels, custom-property governance flags, audit-oriented persistence, r</w:t>
      </w:r>
      <w:r>
        <w:t xml:space="preserve">eporting concepts, and escalation paths as design controls. These controls can make moderation responsibilities more explicit and reviewable, but they do not by themselves establish scam reduction, fair enforcement, user trust, or effective abuse response.</w:t>
      </w:r>
      <w:r/>
    </w:p>
    <w:p>
      <w:pPr>
        <w:pStyle w:val="962"/>
        <w:pBdr/>
        <w:spacing/>
        <w:ind/>
        <w:rPr/>
      </w:pPr>
      <w:r>
        <w:rPr>
          <w:b/>
          <w:bCs/>
        </w:rPr>
        <w:t xml:space="preserve">I-VSD Framework Application:</w:t>
      </w:r>
      <w:r/>
    </w:p>
    <w:p>
      <w:pPr>
        <w:pStyle w:val="964"/>
        <w:numPr>
          <w:ilvl w:val="0"/>
          <w:numId w:val="129"/>
        </w:numPr>
        <w:pBdr/>
        <w:spacing/>
        <w:ind/>
        <w:rPr/>
      </w:pPr>
      <w:r>
        <w:rPr>
          <w:b/>
          <w:bCs/>
        </w:rPr>
        <w:t xml:space="preserve">Islamic Principles:</w:t>
      </w:r>
      <w:r>
        <w:t xml:space="preserve"> Protection from harm, Amanah, justice in application, respect for community trust</w:t>
      </w:r>
      <w:r/>
    </w:p>
    <w:p>
      <w:pPr>
        <w:pStyle w:val="964"/>
        <w:numPr>
          <w:ilvl w:val="0"/>
          <w:numId w:val="129"/>
        </w:numPr>
        <w:pBdr/>
        <w:spacing/>
        <w:ind/>
        <w:rPr/>
      </w:pPr>
      <w:r>
        <w:rPr>
          <w:b/>
          <w:bCs/>
        </w:rPr>
        <w:t xml:space="preserve">Heuristics Applied:</w:t>
      </w:r>
      <w:r/>
    </w:p>
    <w:p>
      <w:pPr>
        <w:pStyle w:val="964"/>
        <w:numPr>
          <w:ilvl w:val="1"/>
          <w:numId w:val="130"/>
        </w:numPr>
        <w:pBdr/>
        <w:spacing/>
        <w:ind/>
        <w:rPr/>
      </w:pPr>
      <w:r>
        <w:t xml:space="preserve">Make moderation responsibilities explicit rather than hidden</w:t>
      </w:r>
      <w:r/>
    </w:p>
    <w:p>
      <w:pPr>
        <w:pStyle w:val="964"/>
        <w:numPr>
          <w:ilvl w:val="1"/>
          <w:numId w:val="130"/>
        </w:numPr>
        <w:pBdr/>
        <w:spacing/>
        <w:ind/>
        <w:rPr/>
      </w:pPr>
      <w:r>
        <w:t xml:space="preserve">Document policy boundaries and evidence standards</w:t>
      </w:r>
      <w:r/>
    </w:p>
    <w:p>
      <w:pPr>
        <w:pStyle w:val="964"/>
        <w:numPr>
          <w:ilvl w:val="1"/>
          <w:numId w:val="130"/>
        </w:numPr>
        <w:pBdr/>
        <w:spacing/>
        <w:ind/>
        <w:rPr/>
      </w:pPr>
      <w:r>
        <w:t xml:space="preserve">Use proportionate controls for foreseeable abuse risks</w:t>
      </w:r>
      <w:r/>
    </w:p>
    <w:p>
      <w:pPr>
        <w:pStyle w:val="964"/>
        <w:numPr>
          <w:ilvl w:val="1"/>
          <w:numId w:val="130"/>
        </w:numPr>
        <w:pBdr/>
        <w:spacing/>
        <w:ind/>
        <w:rPr/>
      </w:pPr>
      <w:r>
        <w:t xml:space="preserve">Keep authority scoped, reviewable, and contestable where possible</w:t>
      </w:r>
      <w:r/>
    </w:p>
    <w:p>
      <w:pPr>
        <w:pStyle w:val="963"/>
        <w:pBdr/>
        <w:spacing/>
        <w:ind/>
        <w:rPr/>
      </w:pPr>
      <w:r>
        <w:rPr>
          <w:b/>
          <w:bCs/>
        </w:rPr>
        <w:t xml:space="preserve">Implementation and Governance Controls:</w:t>
      </w:r>
      <w:r/>
    </w:p>
    <w:p>
      <w:pPr>
        <w:numPr>
          <w:ilvl w:val="0"/>
          <w:numId w:val="131"/>
        </w:numPr>
        <w:pBdr/>
        <w:spacing/>
        <w:ind/>
        <w:rPr/>
      </w:pPr>
      <w:r>
        <w:rPr>
          <w:b/>
          <w:bCs/>
        </w:rPr>
        <w:t xml:space="preserve">Official Instance Policy Boundary:</w:t>
      </w:r>
      <w:r>
        <w:br/>
      </w:r>
      <w:r>
        <w:t xml:space="preserve">The official ISLAMU Event instance may define its own scope for Islamic events, organizer expectations, public guidelines, and escalation responsibilities. This is a governance commitment</w:t>
      </w:r>
      <w:r>
        <w:t xml:space="preserve">, not a claim that all disputed cases become simple or that all community disagreement is resolved. Self-hosted or tenant-operated instances may require their own policy boundaries, provided they remain transparent about who is responsible for enforcement.</w:t>
      </w:r>
      <w:r/>
    </w:p>
    <w:p>
      <w:pPr>
        <w:numPr>
          <w:ilvl w:val="0"/>
          <w:numId w:val="131"/>
        </w:numPr>
        <w:pBdr/>
        <w:spacing/>
        <w:ind/>
        <w:rPr/>
      </w:pPr>
      <w:r>
        <w:rPr>
          <w:b/>
          <w:bCs/>
        </w:rPr>
        <w:t xml:space="preserve">Scoped Administrative Authority:</w:t>
      </w:r>
      <w:r>
        <w:br/>
      </w:r>
      <w:r>
        <w:t xml:space="preserve">Current Event evidence supports describing moderation-adjacent governance through admin hierarchy, tenant/platform separation, server-side authorization checks, and authorization-aware API affordances. These mechanisms help identify who may review, </w:t>
      </w:r>
      <w:r>
        <w:t xml:space="preserve">restrict, approve, or escalate actions in a given context. They should not be described as proof that administrators will act fairly in practice; fairness also requires training, evidence standards, appeal routes, stakeholder review, and incident learning.</w:t>
      </w:r>
      <w:r/>
    </w:p>
    <w:p>
      <w:pPr>
        <w:numPr>
          <w:ilvl w:val="0"/>
          <w:numId w:val="131"/>
        </w:numPr>
        <w:pBdr/>
        <w:spacing/>
        <w:ind/>
        <w:rPr/>
      </w:pPr>
      <w:r>
        <w:rPr>
          <w:b/>
          <w:bCs/>
        </w:rPr>
        <w:t xml:space="preserve">Verification and Trust Labels:</w:t>
      </w:r>
      <w:r>
        <w:br/>
      </w:r>
      <w:r>
        <w:t xml:space="preserve">Verification labels, organization review surfaces, organizer profiles, and reporting paths can help users distinguish official, reviewed, self-hosted, tenant-operated, or unverified actors. The ethical function is to</w:t>
      </w:r>
      <w:r>
        <w:t xml:space="preserve"> make uncertainty visible rather than to imply that verified actors are morally trustworthy or that unverified actors are illegitimate. Verification also creates exclusion and false-positive risks, so the design needs correction routes and periodic review.</w:t>
      </w:r>
      <w:r/>
    </w:p>
    <w:p>
      <w:pPr>
        <w:numPr>
          <w:ilvl w:val="0"/>
          <w:numId w:val="131"/>
        </w:numPr>
        <w:pBdr/>
        <w:spacing/>
        <w:ind/>
        <w:rPr/>
      </w:pPr>
      <w:r>
        <w:rPr>
          <w:b/>
          <w:bCs/>
        </w:rPr>
        <w:t xml:space="preserve">Reporting, Escalation, and Evidence Standards:</w:t>
      </w:r>
      <w:r>
        <w:br/>
      </w:r>
      <w:r>
        <w:t xml:space="preserve">Reports involving impersonation, fraudulent organizers, fake charities, malicious event listings, stolen-brand page</w:t>
      </w:r>
      <w:r>
        <w:t xml:space="preserve">s, credential theft, or high-impact harm should have clear escalation paths. A responsible moderation design should define who receives the report, what evidence is needed, which temporary restrictions are proportionate, how affected parties are informed, </w:t>
      </w:r>
      <w:r>
        <w:t xml:space="preserve">and how victims can seek remediation. The current evidence supports this as a governance requirement and partial implementation-traceability concern; it does not show a complete moderation queue, measured response quality, or an evidenced appeals workflow.</w:t>
      </w:r>
      <w:r/>
    </w:p>
    <w:p>
      <w:pPr>
        <w:numPr>
          <w:ilvl w:val="0"/>
          <w:numId w:val="131"/>
        </w:numPr>
        <w:pBdr/>
        <w:spacing/>
        <w:ind/>
        <w:rPr/>
      </w:pPr>
      <w:r>
        <w:rPr>
          <w:b/>
          <w:bCs/>
        </w:rPr>
        <w:t xml:space="preserve">Technology Support:</w:t>
      </w:r>
      <w:r>
        <w:br/>
      </w:r>
      <w:r>
        <w:t xml:space="preserve">Moderation technology should support human review rather than replace it. Custom-property governance flags, audit-oriented persistence, tenant-scoped data access, server-side authorization, rate limiting, idempot</w:t>
      </w:r>
      <w:r>
        <w:t xml:space="preserve">ency, and upload-safety boundaries can support abuse-risk management. Future AI-assisted moderation, if used, should remain limited to triage, prioritization, or drafting support unless stronger evidence, safeguards, and human accountability are available.</w:t>
      </w:r>
      <w:r/>
    </w:p>
    <w:p>
      <w:pPr>
        <w:pStyle w:val="963"/>
        <w:pBdr/>
        <w:spacing/>
        <w:ind/>
        <w:rPr/>
      </w:pPr>
      <w:r>
        <w:rPr>
          <w:b/>
          <w:bCs/>
        </w:rPr>
        <w:t xml:space="preserve">Anti-Pattern Avoided:</w:t>
      </w:r>
      <w:r>
        <w:t xml:space="preserve"> Unaccountable or inconsistent enforcement, where moderation decisions are hidden, unreviewable, or applied differently without documented reasons.</w:t>
      </w:r>
      <w:r/>
    </w:p>
    <w:p>
      <w:pPr>
        <w:pStyle w:val="962"/>
        <w:pBdr/>
        <w:spacing/>
        <w:ind/>
        <w:rPr/>
      </w:pPr>
      <w:r>
        <w:rPr>
          <w:b/>
          <w:bCs/>
        </w:rPr>
        <w:t xml:space="preserve">Platform Responsibility for Third-Party Abuse:</w:t>
      </w:r>
      <w:r/>
    </w:p>
    <w:p>
      <w:pPr>
        <w:pStyle w:val="962"/>
        <w:pBdr/>
        <w:spacing/>
        <w:ind/>
        <w:rPr/>
      </w:pPr>
      <w:r>
        <w:t xml:space="preserve">The recov</w:t>
      </w:r>
      <w:r>
        <w:t xml:space="preserve">ered moderation note uses a browser-extension store allegation as an example of the broader responsibility problem: if many users submit credible reports that a distributed extension or listing is harmful, the platform cannot hide behind the fact that a th</w:t>
      </w:r>
      <w:r>
        <w:t xml:space="preserve">ird party created it. Marketplaces, app stores, event platforms, and extension directories lend legitimacy and distribution power to third-party content. I-VSD therefore treats moderation as a core governance function, not as optional community management.</w:t>
      </w:r>
      <w:r/>
    </w:p>
    <w:p>
      <w:pPr>
        <w:pStyle w:val="962"/>
        <w:pBdr/>
        <w:spacing/>
        <w:ind/>
        <w:rPr/>
      </w:pPr>
      <w:r>
        <w:t xml:space="preserve">For ISLAMU Event, this means abuse-risk management should include proportionate verification, reporting, reputation thresholds, temporary restrictions for high-risk actions, documented escalation ownership, and remediation paths. These controls are in</w:t>
      </w:r>
      <w:r>
        <w:t xml:space="preserve">tended to reduce foreseeable harm while avoiding default surveillance or excessive identity demands. Their effectiveness remains a future evaluation question requiring deployment evidence, incident review, stakeholder feedback, and possibly external audit.</w:t>
      </w:r>
      <w:r/>
    </w:p>
    <w:p>
      <w:pPr>
        <w:pBdr/>
        <w:spacing/>
        <w:ind/>
        <w:rPr/>
      </w:pPr>
      <w:r>
        <mc:AlternateContent>
          <mc:Choice Requires="wpg">
            <w:drawing>
              <wp:inline xmlns:wp="http://schemas.openxmlformats.org/drawingml/2006/wordprocessingDrawing" distT="0" distB="0" distL="0" distR="0">
                <wp:extent cx="0" cy="19050"/>
                <wp:effectExtent l="0" t="0" r="0" b="0"/>
                <wp:docPr id="7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3" o:spid="_x0000_s73" o:spt="1" type="#_x0000_t1" style="width:0.00pt;height:1.50pt;mso-wrap-distance-left:0.00pt;mso-wrap-distance-top:0.00pt;mso-wrap-distance-right:0.00pt;mso-wrap-distance-bottom:0.00pt;visibility:visible;" fillcolor="#FFFFFF" strokecolor="#000000"/>
            </w:pict>
          </mc:Fallback>
        </mc:AlternateContent>
      </w:r>
      <w:bookmarkEnd w:id="94"/>
      <w:r/>
    </w:p>
    <w:p>
      <w:pPr>
        <w:pStyle w:val="977"/>
        <w:pBdr/>
        <w:spacing/>
        <w:ind/>
        <w:rPr/>
      </w:pPr>
      <w:r/>
      <w:bookmarkStart w:id="95" w:name="user-interface-design"/>
      <w:r>
        <w:t xml:space="preserve">4.4.5 User Interface Design</w:t>
      </w:r>
      <w:r/>
    </w:p>
    <w:p>
      <w:pPr>
        <w:pStyle w:val="963"/>
        <w:pBdr/>
        <w:spacing/>
        <w:ind/>
        <w:rPr/>
      </w:pPr>
      <w:r>
        <w:rPr>
          <w:b/>
          <w:bCs/>
        </w:rPr>
        <w:t xml:space="preserve">Decision: Respect-Based, Ethical UI/UX</w:t>
      </w:r>
      <w:r/>
    </w:p>
    <w:p>
      <w:pPr>
        <w:pStyle w:val="962"/>
        <w:pBdr/>
        <w:spacing/>
        <w:ind/>
        <w:rPr/>
      </w:pPr>
      <w:r>
        <w:rPr>
          <w:b/>
          <w:bCs/>
        </w:rPr>
        <w:t xml:space="preserve">I-VSD Framework Application:</w:t>
      </w:r>
      <w:r/>
    </w:p>
    <w:p>
      <w:pPr>
        <w:pStyle w:val="964"/>
        <w:numPr>
          <w:ilvl w:val="0"/>
          <w:numId w:val="132"/>
        </w:numPr>
        <w:pBdr/>
        <w:spacing/>
        <w:ind/>
        <w:rPr/>
      </w:pPr>
      <w:r>
        <w:rPr>
          <w:b/>
          <w:bCs/>
        </w:rPr>
        <w:t xml:space="preserve">Islamic Principles:</w:t>
      </w:r>
      <w:r>
        <w:t xml:space="preserve"> Adab (etiquette), honesty, no manipulation</w:t>
      </w:r>
      <w:r/>
    </w:p>
    <w:p>
      <w:pPr>
        <w:pStyle w:val="964"/>
        <w:numPr>
          <w:ilvl w:val="0"/>
          <w:numId w:val="132"/>
        </w:numPr>
        <w:pBdr/>
        <w:spacing/>
        <w:ind/>
        <w:rPr/>
      </w:pPr>
      <w:r>
        <w:rPr>
          <w:b/>
          <w:bCs/>
        </w:rPr>
        <w:t xml:space="preserve">Heuristics Applied:</w:t>
      </w:r>
      <w:r/>
    </w:p>
    <w:p>
      <w:pPr>
        <w:pStyle w:val="964"/>
        <w:numPr>
          <w:ilvl w:val="1"/>
          <w:numId w:val="133"/>
        </w:numPr>
        <w:pBdr/>
        <w:spacing/>
        <w:ind/>
        <w:rPr/>
      </w:pPr>
      <w:r>
        <w:t xml:space="preserve">Eliminate dark patterns</w:t>
      </w:r>
      <w:r/>
    </w:p>
    <w:p>
      <w:pPr>
        <w:pStyle w:val="964"/>
        <w:numPr>
          <w:ilvl w:val="1"/>
          <w:numId w:val="133"/>
        </w:numPr>
        <w:pBdr/>
        <w:spacing/>
        <w:ind/>
        <w:rPr/>
      </w:pPr>
      <w:r>
        <w:t xml:space="preserve">Transparent pricing</w:t>
      </w:r>
      <w:r/>
    </w:p>
    <w:p>
      <w:pPr>
        <w:pStyle w:val="964"/>
        <w:numPr>
          <w:ilvl w:val="1"/>
          <w:numId w:val="133"/>
        </w:numPr>
        <w:pBdr/>
        <w:spacing/>
        <w:ind/>
        <w:rPr/>
      </w:pPr>
      <w:r>
        <w:t xml:space="preserve">Respectful communication</w:t>
      </w:r>
      <w:r/>
    </w:p>
    <w:p>
      <w:pPr>
        <w:pStyle w:val="963"/>
        <w:pBdr/>
        <w:spacing/>
        <w:ind/>
        <w:rPr/>
      </w:pPr>
      <w:r>
        <w:rPr>
          <w:b/>
          <w:bCs/>
        </w:rPr>
        <w:t xml:space="preserve">Specific Design Choices:</w:t>
      </w:r>
      <w:r/>
    </w:p>
    <w:p>
      <w:pPr>
        <w:numPr>
          <w:ilvl w:val="0"/>
          <w:numId w:val="134"/>
        </w:numPr>
        <w:pBdr/>
        <w:spacing/>
        <w:ind/>
        <w:rPr/>
      </w:pPr>
      <w:r>
        <w:rPr>
          <w:b/>
          <w:bCs/>
        </w:rPr>
        <w:t xml:space="preserve">No Dark Patterns:</w:t>
      </w:r>
      <w:r/>
    </w:p>
    <w:p>
      <w:pPr>
        <w:pStyle w:val="964"/>
        <w:numPr>
          <w:ilvl w:val="1"/>
          <w:numId w:val="135"/>
        </w:numPr>
        <w:pBdr/>
        <w:spacing/>
        <w:ind/>
        <w:rPr/>
      </w:pPr>
      <w:r>
        <w:t xml:space="preserve">Subscribe/unsubscribe equally easy</w:t>
      </w:r>
      <w:r/>
    </w:p>
    <w:p>
      <w:pPr>
        <w:pStyle w:val="964"/>
        <w:numPr>
          <w:ilvl w:val="1"/>
          <w:numId w:val="135"/>
        </w:numPr>
        <w:pBdr/>
        <w:spacing/>
        <w:ind/>
        <w:rPr/>
      </w:pPr>
      <w:r>
        <w:t xml:space="preserve">Clear, neutral language for all options</w:t>
      </w:r>
      <w:r/>
    </w:p>
    <w:p>
      <w:pPr>
        <w:pStyle w:val="964"/>
        <w:numPr>
          <w:ilvl w:val="1"/>
          <w:numId w:val="135"/>
        </w:numPr>
        <w:pBdr/>
        <w:spacing/>
        <w:ind/>
        <w:rPr/>
      </w:pPr>
      <w:r>
        <w:t xml:space="preserve">No hidden costs</w:t>
      </w:r>
      <w:r/>
    </w:p>
    <w:p>
      <w:pPr>
        <w:pStyle w:val="964"/>
        <w:numPr>
          <w:ilvl w:val="1"/>
          <w:numId w:val="135"/>
        </w:numPr>
        <w:pBdr/>
        <w:spacing/>
        <w:ind/>
        <w:rPr/>
      </w:pPr>
      <w:r>
        <w:t xml:space="preserve">No false urgency</w:t>
      </w:r>
      <w:r/>
    </w:p>
    <w:p>
      <w:pPr>
        <w:pStyle w:val="964"/>
        <w:numPr>
          <w:ilvl w:val="1"/>
          <w:numId w:val="135"/>
        </w:numPr>
        <w:pBdr/>
        <w:spacing/>
        <w:ind/>
        <w:rPr/>
      </w:pPr>
      <w:r>
        <w:rPr>
          <w:b/>
          <w:bCs/>
        </w:rPr>
        <w:t xml:space="preserve">Anti-example:</w:t>
      </w:r>
      <w:r>
        <w:t xml:space="preserve"> Quranly’s</w:t>
      </w:r>
      <w:r>
        <w:t xml:space="preserve"> </w:t>
      </w:r>
      <w:r>
        <w:t xml:space="preserve">“Can’t afford”</w:t>
      </w:r>
      <w:r>
        <w:t xml:space="preserve"> </w:t>
      </w:r>
      <w:r>
        <w:t xml:space="preserve">button (Section 2.1.3.11)</w:t>
      </w:r>
      <w:r/>
    </w:p>
    <w:p>
      <w:pPr>
        <w:numPr>
          <w:ilvl w:val="0"/>
          <w:numId w:val="134"/>
        </w:numPr>
        <w:pBdr/>
        <w:spacing/>
        <w:ind/>
        <w:rPr/>
      </w:pPr>
      <w:r>
        <w:rPr>
          <w:b/>
          <w:bCs/>
        </w:rPr>
        <w:t xml:space="preserve">Pricing Display:</w:t>
      </w:r>
      <w:r/>
    </w:p>
    <w:p>
      <w:pPr>
        <w:pStyle w:val="964"/>
        <w:numPr>
          <w:ilvl w:val="1"/>
          <w:numId w:val="136"/>
        </w:numPr>
        <w:pBdr/>
        <w:spacing/>
        <w:ind/>
        <w:rPr/>
      </w:pPr>
      <w:r>
        <w:t xml:space="preserve">All costs upfront</w:t>
      </w:r>
      <w:r/>
    </w:p>
    <w:p>
      <w:pPr>
        <w:pStyle w:val="964"/>
        <w:numPr>
          <w:ilvl w:val="1"/>
          <w:numId w:val="136"/>
        </w:numPr>
        <w:pBdr/>
        <w:spacing/>
        <w:ind/>
        <w:rPr/>
      </w:pPr>
      <w:r>
        <w:t xml:space="preserve">Simple, clear pricing</w:t>
      </w:r>
      <w:r/>
    </w:p>
    <w:p>
      <w:pPr>
        <w:pStyle w:val="964"/>
        <w:numPr>
          <w:ilvl w:val="1"/>
          <w:numId w:val="136"/>
        </w:numPr>
        <w:pBdr/>
        <w:spacing/>
        <w:ind/>
        <w:rPr/>
      </w:pPr>
      <w:r>
        <w:t xml:space="preserve">Comparison tables honest and complete</w:t>
      </w:r>
      <w:r/>
    </w:p>
    <w:p>
      <w:pPr>
        <w:pStyle w:val="964"/>
        <w:numPr>
          <w:ilvl w:val="1"/>
          <w:numId w:val="136"/>
        </w:numPr>
        <w:pBdr/>
        <w:spacing/>
        <w:ind/>
        <w:rPr/>
      </w:pPr>
      <w:r>
        <w:rPr>
          <w:b/>
          <w:bCs/>
        </w:rPr>
        <w:t xml:space="preserve">Anti-example:</w:t>
      </w:r>
      <w:r>
        <w:t xml:space="preserve"> Warp’s incomprehensible pricing (Section 2.1.3.19)</w:t>
      </w:r>
      <w:r/>
    </w:p>
    <w:p>
      <w:pPr>
        <w:numPr>
          <w:ilvl w:val="0"/>
          <w:numId w:val="134"/>
        </w:numPr>
        <w:pBdr/>
        <w:spacing/>
        <w:ind/>
        <w:rPr/>
      </w:pPr>
      <w:r>
        <w:rPr>
          <w:b/>
          <w:bCs/>
        </w:rPr>
        <w:t xml:space="preserve">Meaningful Free Tier:</w:t>
      </w:r>
      <w:r/>
    </w:p>
    <w:p>
      <w:pPr>
        <w:pStyle w:val="964"/>
        <w:numPr>
          <w:ilvl w:val="1"/>
          <w:numId w:val="137"/>
        </w:numPr>
        <w:pBdr/>
        <w:spacing/>
        <w:ind/>
        <w:rPr/>
      </w:pPr>
      <w:r>
        <w:t xml:space="preserve">Real functional value in free tier</w:t>
      </w:r>
      <w:r/>
    </w:p>
    <w:p>
      <w:pPr>
        <w:pStyle w:val="964"/>
        <w:numPr>
          <w:ilvl w:val="1"/>
          <w:numId w:val="137"/>
        </w:numPr>
        <w:pBdr/>
        <w:spacing/>
        <w:ind/>
        <w:rPr/>
      </w:pPr>
      <w:r>
        <w:t xml:space="preserve">Limitations based on actual resources (storage, compute)</w:t>
      </w:r>
      <w:r/>
    </w:p>
    <w:p>
      <w:pPr>
        <w:pStyle w:val="964"/>
        <w:numPr>
          <w:ilvl w:val="1"/>
          <w:numId w:val="137"/>
        </w:numPr>
        <w:pBdr/>
        <w:spacing/>
        <w:ind/>
        <w:rPr/>
      </w:pPr>
      <w:r>
        <w:t xml:space="preserve">Clear upgrade path</w:t>
      </w:r>
      <w:r/>
    </w:p>
    <w:p>
      <w:pPr>
        <w:pStyle w:val="964"/>
        <w:numPr>
          <w:ilvl w:val="1"/>
          <w:numId w:val="137"/>
        </w:numPr>
        <w:pBdr/>
        <w:spacing/>
        <w:ind/>
        <w:rPr/>
      </w:pPr>
      <w:r>
        <w:t xml:space="preserve">No bait-and-switch</w:t>
      </w:r>
      <w:r/>
    </w:p>
    <w:p>
      <w:pPr>
        <w:pStyle w:val="964"/>
        <w:numPr>
          <w:ilvl w:val="1"/>
          <w:numId w:val="137"/>
        </w:numPr>
        <w:pBdr/>
        <w:spacing/>
        <w:ind/>
        <w:rPr/>
      </w:pPr>
      <w:r>
        <w:rPr>
          <w:b/>
          <w:bCs/>
        </w:rPr>
        <w:t xml:space="preserve">Anti-example:</w:t>
      </w:r>
      <w:r>
        <w:t xml:space="preserve"> Password manager limiting password count (Section 2.1.3.14)</w:t>
      </w:r>
      <w:r/>
    </w:p>
    <w:p>
      <w:pPr>
        <w:numPr>
          <w:ilvl w:val="0"/>
          <w:numId w:val="134"/>
        </w:numPr>
        <w:pBdr/>
        <w:spacing/>
        <w:ind/>
        <w:rPr/>
      </w:pPr>
      <w:r>
        <w:rPr>
          <w:b/>
          <w:bCs/>
        </w:rPr>
        <w:t xml:space="preserve">Respectful Communication:</w:t>
      </w:r>
      <w:r/>
    </w:p>
    <w:p>
      <w:pPr>
        <w:pStyle w:val="964"/>
        <w:numPr>
          <w:ilvl w:val="1"/>
          <w:numId w:val="138"/>
        </w:numPr>
        <w:pBdr/>
        <w:spacing/>
        <w:ind/>
        <w:rPr/>
      </w:pPr>
      <w:r>
        <w:t xml:space="preserve">No exploitative imagery</w:t>
      </w:r>
      <w:r/>
    </w:p>
    <w:p>
      <w:pPr>
        <w:pStyle w:val="964"/>
        <w:numPr>
          <w:ilvl w:val="1"/>
          <w:numId w:val="138"/>
        </w:numPr>
        <w:pBdr/>
        <w:spacing/>
        <w:ind/>
        <w:rPr/>
      </w:pPr>
      <w:r>
        <w:t xml:space="preserve">No anthropomorphization for manipulation</w:t>
      </w:r>
      <w:r/>
    </w:p>
    <w:p>
      <w:pPr>
        <w:pStyle w:val="964"/>
        <w:numPr>
          <w:ilvl w:val="1"/>
          <w:numId w:val="138"/>
        </w:numPr>
        <w:pBdr/>
        <w:spacing/>
        <w:ind/>
        <w:rPr/>
      </w:pPr>
      <w:r>
        <w:t xml:space="preserve">Professional tone</w:t>
      </w:r>
      <w:r/>
    </w:p>
    <w:p>
      <w:pPr>
        <w:pStyle w:val="964"/>
        <w:numPr>
          <w:ilvl w:val="1"/>
          <w:numId w:val="138"/>
        </w:numPr>
        <w:pBdr/>
        <w:spacing/>
        <w:ind/>
        <w:rPr/>
      </w:pPr>
      <w:r>
        <w:t xml:space="preserve">Clear, helpful error messages</w:t>
      </w:r>
      <w:r/>
    </w:p>
    <w:p>
      <w:pPr>
        <w:pStyle w:val="964"/>
        <w:numPr>
          <w:ilvl w:val="1"/>
          <w:numId w:val="138"/>
        </w:numPr>
        <w:pBdr/>
        <w:spacing/>
        <w:ind/>
        <w:rPr/>
      </w:pPr>
      <w:r>
        <w:rPr>
          <w:b/>
          <w:bCs/>
        </w:rPr>
        <w:t xml:space="preserve">Anti-example:</w:t>
      </w:r>
      <w:r>
        <w:t xml:space="preserve"> AI girlfriend apps exploiting loneliness (Section 2.1.3.21)</w:t>
      </w:r>
      <w:r/>
    </w:p>
    <w:p>
      <w:pPr>
        <w:numPr>
          <w:ilvl w:val="0"/>
          <w:numId w:val="134"/>
        </w:numPr>
        <w:pBdr/>
        <w:spacing/>
        <w:ind/>
        <w:rPr/>
      </w:pPr>
      <w:r>
        <w:rPr>
          <w:b/>
          <w:bCs/>
        </w:rPr>
        <w:t xml:space="preserve">Accessibility and Localization:</w:t>
      </w:r>
      <w:r/>
    </w:p>
    <w:p>
      <w:pPr>
        <w:pStyle w:val="964"/>
        <w:numPr>
          <w:ilvl w:val="1"/>
          <w:numId w:val="139"/>
        </w:numPr>
        <w:pBdr/>
        <w:spacing/>
        <w:ind/>
        <w:rPr/>
      </w:pPr>
      <w:r>
        <w:t xml:space="preserve">WCAG-oriented requirements as design and testing targets unless audited compliance is separately established</w:t>
      </w:r>
      <w:r/>
    </w:p>
    <w:p>
      <w:pPr>
        <w:pStyle w:val="964"/>
        <w:numPr>
          <w:ilvl w:val="1"/>
          <w:numId w:val="139"/>
        </w:numPr>
        <w:pBdr/>
        <w:spacing/>
        <w:ind/>
        <w:rPr/>
      </w:pPr>
      <w:r>
        <w:t xml:space="preserve">Screen-reader and keyboard-navigation support as implementation and validation requirements</w:t>
      </w:r>
      <w:r/>
    </w:p>
    <w:p>
      <w:pPr>
        <w:pStyle w:val="964"/>
        <w:numPr>
          <w:ilvl w:val="1"/>
          <w:numId w:val="139"/>
        </w:numPr>
        <w:pBdr/>
        <w:spacing/>
        <w:ind/>
        <w:rPr/>
      </w:pPr>
      <w:r>
        <w:t xml:space="preserve">Localization, language metadata, and directionality support for multilingual communities</w:t>
      </w:r>
      <w:r/>
    </w:p>
    <w:p>
      <w:pPr>
        <w:pStyle w:val="964"/>
        <w:numPr>
          <w:ilvl w:val="1"/>
          <w:numId w:val="139"/>
        </w:numPr>
        <w:pBdr/>
        <w:spacing/>
        <w:ind/>
        <w:rPr/>
      </w:pPr>
      <w:r>
        <w:t xml:space="preserve">User testing with affected users before claiming accessibility outcomes</w:t>
      </w:r>
      <w:r/>
    </w:p>
    <w:p>
      <w:pPr>
        <w:pStyle w:val="963"/>
        <w:pBdr/>
        <w:spacing/>
        <w:ind/>
        <w:rPr/>
      </w:pPr>
      <w:r>
        <w:rPr>
          <w:b/>
          <w:bCs/>
        </w:rPr>
        <w:t xml:space="preserve">Accessibility as Non-Optional Design:</w:t>
      </w:r>
      <w:r/>
    </w:p>
    <w:p>
      <w:pPr>
        <w:pStyle w:val="962"/>
        <w:pBdr/>
        <w:spacing/>
        <w:ind/>
        <w:rPr/>
      </w:pPr>
      <w:r>
        <w:t xml:space="preserve">For ISLAMU Event, accessibility is not an optional enhancement that can be postponed until after launch. It is part of Ihsan in interface design: the service should be designed for people with different abilities, devices, contexts, languages, and level</w:t>
      </w:r>
      <w:r>
        <w:t xml:space="preserve">s of technical fluency. WCAG should therefore function as a requirements and testing reference, not as a completed compliance claim unless an accessibility audit or equivalent validation later establishes it. The recovered accessibility source makes the st</w:t>
      </w:r>
      <w:r>
        <w:t xml:space="preserve">ronger claim that “an inaccessible product is a broken product.” In thesis terms, this means accessibility failures are not merely missing polish; they can exclude users from religious, educational, and community services that the platform claims to serve.</w:t>
      </w:r>
      <w:r/>
    </w:p>
    <w:p>
      <w:pPr>
        <w:pStyle w:val="962"/>
        <w:pBdr/>
        <w:spacing/>
        <w:ind/>
        <w:rPr/>
      </w:pPr>
      <w:r>
        <w:t xml:space="preserve">Accessibility should therefore be b</w:t>
      </w:r>
      <w:r>
        <w:t xml:space="preserve">uilt into every phase: concept, design, implementation, testing, release, and maintenance. ISLAMU should test with screen readers and keyboard navigation, use semantic HTML, maintain contrast and readable typography, avoid inaccessible custom components wh</w:t>
      </w:r>
      <w:r>
        <w:t xml:space="preserve">ere native controls would work, consult users who rely on assistive technologies, and budget for accessibility expertise rather than treating it as unpaid advice from affected users. Many accessibility improvements also benefit everyone: captions help nois</w:t>
      </w:r>
      <w:r>
        <w:t xml:space="preserve">y environments, semantic structure improves navigation and search, keyboard support helps power users, and clear language helps users under stress. Automated checks can help, but they do not replace testing with real accessibility tools and affected users.</w:t>
      </w:r>
      <w:r/>
    </w:p>
    <w:p>
      <w:pPr>
        <w:pStyle w:val="962"/>
        <w:pBdr/>
        <w:spacing/>
        <w:ind/>
        <w:rPr/>
      </w:pPr>
      <w:r>
        <w:t xml:space="preserve">The current Event evidence should be described as accessibility-oriented implementation traceability: language preference handling, RTL/direction plumbing, accessibility services for focus and announcements, skip-naviga</w:t>
      </w:r>
      <w:r>
        <w:t xml:space="preserve">tion and main-landmark patterns, live-region/status-message conventions, component conventions, and selected component or architecture tests can make inclusion more inspectable. They do not by themselves establish that the product is accessible in operatio</w:t>
      </w:r>
      <w:r>
        <w:t xml:space="preserve">n, that translations are complete, or that users with disabilities have been adequately served. Those stronger claims require assistive-technology testing, translation review, user feedback, browser-level accessibility automation, and maintenance evidence.</w:t>
      </w:r>
      <w:r/>
    </w:p>
    <w:p>
      <w:pPr>
        <w:pStyle w:val="962"/>
        <w:pBdr/>
        <w:spacing/>
        <w:ind/>
        <w:rPr/>
      </w:pPr>
      <w:r>
        <w:rPr>
          <w:b/>
          <w:bCs/>
        </w:rPr>
        <w:t xml:space="preserve">Development-State Disclosure:</w:t>
      </w:r>
      <w:r/>
    </w:p>
    <w:p>
      <w:pPr>
        <w:pStyle w:val="962"/>
        <w:pBdr/>
        <w:spacing/>
        <w:ind/>
        <w:rPr/>
      </w:pPr>
      <w:r>
        <w:t xml:space="preserve">When a product is public but still contains demo data, seed records, incomplete workflows, or experimental behavior, the ethical UI should disclose that state clearly. A persistent announcement bar o</w:t>
      </w:r>
      <w:r>
        <w:t xml:space="preserve">r similar low-friction notice can tell users that visible data is demo data, that the system is under development, or that a feature is not yet production-ready. Allowing dismissal after the user has seen the notice can balance transparency with usability.</w:t>
      </w:r>
      <w:r/>
    </w:p>
    <w:p>
      <w:pPr>
        <w:pStyle w:val="962"/>
        <w:pBdr/>
        <w:spacing/>
        <w:ind/>
        <w:rPr/>
      </w:pPr>
      <w:r>
        <w:t xml:space="preserve">For ISLAMU Event, this pattern supports tr</w:t>
      </w:r>
      <w:r>
        <w:t xml:space="preserve">uthfulness without adding unnecessary friction: users should not have to infer whether displayed information is real, sample, imported, or temporary. Clear status messaging prevents accidental deception and aligns development-stage communication with Sidq.</w:t>
      </w:r>
      <w:r/>
    </w:p>
    <w:p>
      <w:pPr>
        <w:pStyle w:val="962"/>
        <w:pBdr/>
        <w:spacing/>
        <w:ind/>
        <w:rPr/>
      </w:pPr>
      <w:r>
        <w:rPr>
          <w:b/>
          <w:bCs/>
        </w:rPr>
        <w:t xml:space="preserve">Context-Aware Defaults:</w:t>
      </w:r>
      <w:r/>
    </w:p>
    <w:p>
      <w:pPr>
        <w:pStyle w:val="962"/>
        <w:pBdr/>
        <w:spacing/>
        <w:ind/>
        <w:rPr/>
      </w:pPr>
      <w:r>
        <w:t xml:space="preserve">Respect-based UI also requires cultural and situational awareness. If ISLAMU Event knows that a user, organization, or community context requires stricter content controls, different language, or different visibility defaults, it should not hide behind a s</w:t>
      </w:r>
      <w:r>
        <w:t xml:space="preserve">ingle global default optimized for broad growth. Context-aware defaults should be configurable and transparent: users should understand why a default exists, how to change it, and whether it reflects community policy, legal context, or personal preference.</w:t>
      </w:r>
      <w:r/>
    </w:p>
    <w:p>
      <w:pPr>
        <w:pStyle w:val="962"/>
        <w:pBdr/>
        <w:spacing/>
        <w:ind/>
        <w:rPr/>
      </w:pPr>
      <w:r>
        <w:t xml:space="preserve">First-launch instance selection is also a U</w:t>
      </w:r>
      <w:r>
        <w:t xml:space="preserve">I ethics issue. A quick official ISLAMU instance option may reduce friction for ordinary users, but it should not hide self-hosted or community options. Verified instance lists, custom URL input, clear setup instructions, and reversible instance and tenant</w:t>
      </w:r>
      <w:r>
        <w:t xml:space="preserve"> switching reduce dark-pattern risk around defaults. This maps Sidq to truthful onboarding, Amanah to clear trust signals, Adl to practical access for self-hosters and communities, and La Darar to reducing lock-in and misleading dependence on one provider.</w:t>
      </w:r>
      <w:r/>
    </w:p>
    <w:p>
      <w:pPr>
        <w:pBdr/>
        <w:spacing/>
        <w:ind/>
        <w:rPr/>
      </w:pPr>
      <w:r>
        <mc:AlternateContent>
          <mc:Choice Requires="wpg">
            <w:drawing>
              <wp:inline xmlns:wp="http://schemas.openxmlformats.org/drawingml/2006/wordprocessingDrawing" distT="0" distB="0" distL="0" distR="0">
                <wp:extent cx="0" cy="19050"/>
                <wp:effectExtent l="0" t="0" r="0" b="0"/>
                <wp:docPr id="7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4" o:spid="_x0000_s74" o:spt="1" type="#_x0000_t1" style="width:0.00pt;height:1.50pt;mso-wrap-distance-left:0.00pt;mso-wrap-distance-top:0.00pt;mso-wrap-distance-right:0.00pt;mso-wrap-distance-bottom:0.00pt;visibility:visible;" fillcolor="#FFFFFF" strokecolor="#000000"/>
            </w:pict>
          </mc:Fallback>
        </mc:AlternateContent>
      </w:r>
      <w:bookmarkEnd w:id="95"/>
      <w:r/>
    </w:p>
    <w:p>
      <w:pPr>
        <w:pStyle w:val="977"/>
        <w:pBdr/>
        <w:spacing/>
        <w:ind/>
        <w:rPr/>
      </w:pPr>
      <w:r/>
      <w:bookmarkStart w:id="96" w:name="marketing-and-communication-strategy"/>
      <w:r>
        <w:t xml:space="preserve">4.4.6 Marketing and Communication Strategy</w:t>
      </w:r>
      <w:r/>
    </w:p>
    <w:p>
      <w:pPr>
        <w:pStyle w:val="963"/>
        <w:pBdr/>
        <w:spacing/>
        <w:ind/>
        <w:rPr/>
      </w:pPr>
      <w:r>
        <w:rPr>
          <w:b/>
          <w:bCs/>
        </w:rPr>
        <w:t xml:space="preserve">Decision: Honest, Value-Based Marketing</w:t>
      </w:r>
      <w:r/>
    </w:p>
    <w:p>
      <w:pPr>
        <w:pStyle w:val="962"/>
        <w:pBdr/>
        <w:spacing/>
        <w:ind/>
        <w:rPr/>
      </w:pPr>
      <w:r>
        <w:rPr>
          <w:b/>
          <w:bCs/>
        </w:rPr>
        <w:t xml:space="preserve">I-VSD Framework Application:</w:t>
      </w:r>
      <w:r/>
    </w:p>
    <w:p>
      <w:pPr>
        <w:pStyle w:val="964"/>
        <w:numPr>
          <w:ilvl w:val="0"/>
          <w:numId w:val="140"/>
        </w:numPr>
        <w:pBdr/>
        <w:spacing/>
        <w:ind/>
        <w:rPr/>
      </w:pPr>
      <w:r>
        <w:rPr>
          <w:b/>
          <w:bCs/>
        </w:rPr>
        <w:t xml:space="preserve">Islamic Principles:</w:t>
      </w:r>
      <w:r>
        <w:t xml:space="preserve"> Truthfulness, no deception, respect for others</w:t>
      </w:r>
      <w:r/>
    </w:p>
    <w:p>
      <w:pPr>
        <w:pStyle w:val="964"/>
        <w:numPr>
          <w:ilvl w:val="0"/>
          <w:numId w:val="140"/>
        </w:numPr>
        <w:pBdr/>
        <w:spacing/>
        <w:ind/>
        <w:rPr/>
      </w:pPr>
      <w:r>
        <w:rPr>
          <w:b/>
          <w:bCs/>
        </w:rPr>
        <w:t xml:space="preserve">Heuristics Applied:</w:t>
      </w:r>
      <w:r/>
    </w:p>
    <w:p>
      <w:pPr>
        <w:pStyle w:val="964"/>
        <w:numPr>
          <w:ilvl w:val="1"/>
          <w:numId w:val="141"/>
        </w:numPr>
        <w:pBdr/>
        <w:spacing/>
        <w:ind/>
        <w:rPr/>
      </w:pPr>
      <w:r>
        <w:t xml:space="preserve">Truthful marketing</w:t>
      </w:r>
      <w:r/>
    </w:p>
    <w:p>
      <w:pPr>
        <w:pStyle w:val="964"/>
        <w:numPr>
          <w:ilvl w:val="1"/>
          <w:numId w:val="141"/>
        </w:numPr>
        <w:pBdr/>
        <w:spacing/>
        <w:ind/>
        <w:rPr/>
      </w:pPr>
      <w:r>
        <w:t xml:space="preserve">Respect user attention</w:t>
      </w:r>
      <w:r/>
    </w:p>
    <w:p>
      <w:pPr>
        <w:pStyle w:val="964"/>
        <w:numPr>
          <w:ilvl w:val="1"/>
          <w:numId w:val="141"/>
        </w:numPr>
        <w:pBdr/>
        <w:spacing/>
        <w:ind/>
        <w:rPr/>
      </w:pPr>
      <w:r>
        <w:t xml:space="preserve">Compete on merit</w:t>
      </w:r>
      <w:r/>
    </w:p>
    <w:p>
      <w:pPr>
        <w:pStyle w:val="963"/>
        <w:pBdr/>
        <w:spacing/>
        <w:ind/>
        <w:rPr/>
      </w:pPr>
      <w:r>
        <w:rPr>
          <w:b/>
          <w:bCs/>
        </w:rPr>
        <w:t xml:space="preserve">Implementation:</w:t>
      </w:r>
      <w:r/>
    </w:p>
    <w:p>
      <w:pPr>
        <w:numPr>
          <w:ilvl w:val="0"/>
          <w:numId w:val="142"/>
        </w:numPr>
        <w:pBdr/>
        <w:spacing/>
        <w:ind/>
        <w:rPr/>
      </w:pPr>
      <w:r>
        <w:rPr>
          <w:b/>
          <w:bCs/>
        </w:rPr>
        <w:t xml:space="preserve">Truthful Claims:</w:t>
      </w:r>
      <w:r/>
    </w:p>
    <w:p>
      <w:pPr>
        <w:pStyle w:val="964"/>
        <w:numPr>
          <w:ilvl w:val="1"/>
          <w:numId w:val="143"/>
        </w:numPr>
        <w:pBdr/>
        <w:spacing/>
        <w:ind/>
        <w:rPr/>
      </w:pPr>
      <w:r>
        <w:t xml:space="preserve">Accurate feature descriptions</w:t>
      </w:r>
      <w:r/>
    </w:p>
    <w:p>
      <w:pPr>
        <w:pStyle w:val="964"/>
        <w:numPr>
          <w:ilvl w:val="1"/>
          <w:numId w:val="143"/>
        </w:numPr>
        <w:pBdr/>
        <w:spacing/>
        <w:ind/>
        <w:rPr/>
      </w:pPr>
      <w:r>
        <w:t xml:space="preserve">No exaggeration</w:t>
      </w:r>
      <w:r/>
    </w:p>
    <w:p>
      <w:pPr>
        <w:pStyle w:val="964"/>
        <w:numPr>
          <w:ilvl w:val="1"/>
          <w:numId w:val="143"/>
        </w:numPr>
        <w:pBdr/>
        <w:spacing/>
        <w:ind/>
        <w:rPr/>
      </w:pPr>
      <w:r>
        <w:t xml:space="preserve">Realistic use cases</w:t>
      </w:r>
      <w:r/>
    </w:p>
    <w:p>
      <w:pPr>
        <w:pStyle w:val="964"/>
        <w:numPr>
          <w:ilvl w:val="1"/>
          <w:numId w:val="143"/>
        </w:numPr>
        <w:pBdr/>
        <w:spacing/>
        <w:ind/>
        <w:rPr/>
      </w:pPr>
      <w:r>
        <w:t xml:space="preserve">Honest about limitations</w:t>
      </w:r>
      <w:r/>
    </w:p>
    <w:p>
      <w:pPr>
        <w:pStyle w:val="964"/>
        <w:numPr>
          <w:ilvl w:val="1"/>
          <w:numId w:val="143"/>
        </w:numPr>
        <w:pBdr/>
        <w:spacing/>
        <w:ind/>
        <w:rPr/>
      </w:pPr>
      <w:r>
        <w:rPr>
          <w:b/>
          <w:bCs/>
        </w:rPr>
        <w:t xml:space="preserve">Anti-pattern avoided:</w:t>
      </w:r>
      <w:r>
        <w:t xml:space="preserve"> OpenAI valuation inflation through fake announcements (Section 2.1.3.24)</w:t>
      </w:r>
      <w:r/>
    </w:p>
    <w:p>
      <w:pPr>
        <w:numPr>
          <w:ilvl w:val="0"/>
          <w:numId w:val="142"/>
        </w:numPr>
        <w:pBdr/>
        <w:spacing/>
        <w:ind/>
        <w:rPr/>
      </w:pPr>
      <w:r>
        <w:rPr>
          <w:b/>
          <w:bCs/>
        </w:rPr>
        <w:t xml:space="preserve">Feature Roadmap Communication:</w:t>
      </w:r>
      <w:r/>
    </w:p>
    <w:p>
      <w:pPr>
        <w:pStyle w:val="964"/>
        <w:numPr>
          <w:ilvl w:val="1"/>
          <w:numId w:val="144"/>
        </w:numPr>
        <w:pBdr/>
        <w:spacing/>
        <w:ind/>
        <w:rPr/>
      </w:pPr>
      <w:r>
        <w:t xml:space="preserve">Roadmap on website/blog, not in app</w:t>
      </w:r>
      <w:r/>
    </w:p>
    <w:p>
      <w:pPr>
        <w:pStyle w:val="964"/>
        <w:numPr>
          <w:ilvl w:val="1"/>
          <w:numId w:val="144"/>
        </w:numPr>
        <w:pBdr/>
        <w:spacing/>
        <w:ind/>
        <w:rPr/>
      </w:pPr>
      <w:r>
        <w:t xml:space="preserve">No</w:t>
      </w:r>
      <w:r>
        <w:t xml:space="preserve"> </w:t>
      </w:r>
      <w:r>
        <w:t xml:space="preserve">“Coming Soon”</w:t>
      </w:r>
      <w:r>
        <w:t xml:space="preserve"> </w:t>
      </w:r>
      <w:r>
        <w:t xml:space="preserve">features in app itself</w:t>
      </w:r>
      <w:r/>
    </w:p>
    <w:p>
      <w:pPr>
        <w:pStyle w:val="964"/>
        <w:numPr>
          <w:ilvl w:val="1"/>
          <w:numId w:val="144"/>
        </w:numPr>
        <w:pBdr/>
        <w:spacing/>
        <w:ind/>
        <w:rPr/>
      </w:pPr>
      <w:r>
        <w:t xml:space="preserve">Clear timelines or</w:t>
      </w:r>
      <w:r>
        <w:t xml:space="preserve"> </w:t>
      </w:r>
      <w:r>
        <w:t xml:space="preserve">“no timeline”</w:t>
      </w:r>
      <w:r>
        <w:t xml:space="preserve"> </w:t>
      </w:r>
      <w:r>
        <w:t xml:space="preserve">disclosure</w:t>
      </w:r>
      <w:r/>
    </w:p>
    <w:p>
      <w:pPr>
        <w:pStyle w:val="964"/>
        <w:numPr>
          <w:ilvl w:val="1"/>
          <w:numId w:val="144"/>
        </w:numPr>
        <w:pBdr/>
        <w:spacing/>
        <w:ind/>
        <w:rPr/>
      </w:pPr>
      <w:r>
        <w:rPr>
          <w:b/>
          <w:bCs/>
        </w:rPr>
        <w:t xml:space="preserve">Anti-pattern avoided:</w:t>
      </w:r>
      <w:r>
        <w:t xml:space="preserve"> Blitz app</w:t>
      </w:r>
      <w:r>
        <w:t xml:space="preserve"> </w:t>
      </w:r>
      <w:r>
        <w:t xml:space="preserve">“Coming Soon”</w:t>
      </w:r>
      <w:r>
        <w:t xml:space="preserve"> </w:t>
      </w:r>
      <w:r>
        <w:t xml:space="preserve">trap (Section 2.1.3.24)</w:t>
      </w:r>
      <w:r/>
    </w:p>
    <w:p>
      <w:pPr>
        <w:numPr>
          <w:ilvl w:val="0"/>
          <w:numId w:val="142"/>
        </w:numPr>
        <w:pBdr/>
        <w:spacing/>
        <w:ind/>
        <w:rPr/>
      </w:pPr>
      <w:r>
        <w:rPr>
          <w:b/>
          <w:bCs/>
        </w:rPr>
        <w:t xml:space="preserve">Email Communication:</w:t>
      </w:r>
      <w:r/>
    </w:p>
    <w:p>
      <w:pPr>
        <w:pStyle w:val="964"/>
        <w:numPr>
          <w:ilvl w:val="1"/>
          <w:numId w:val="145"/>
        </w:numPr>
        <w:pBdr/>
        <w:spacing/>
        <w:ind/>
        <w:rPr/>
      </w:pPr>
      <w:r>
        <w:t xml:space="preserve">Reasonable frequency (max weekly for updates)</w:t>
      </w:r>
      <w:r/>
    </w:p>
    <w:p>
      <w:pPr>
        <w:pStyle w:val="964"/>
        <w:numPr>
          <w:ilvl w:val="1"/>
          <w:numId w:val="145"/>
        </w:numPr>
        <w:pBdr/>
        <w:spacing/>
        <w:ind/>
        <w:rPr/>
      </w:pPr>
      <w:r>
        <w:t xml:space="preserve">Opt-in required</w:t>
      </w:r>
      <w:r/>
    </w:p>
    <w:p>
      <w:pPr>
        <w:pStyle w:val="964"/>
        <w:numPr>
          <w:ilvl w:val="1"/>
          <w:numId w:val="145"/>
        </w:numPr>
        <w:pBdr/>
        <w:spacing/>
        <w:ind/>
        <w:rPr/>
      </w:pPr>
      <w:r>
        <w:t xml:space="preserve">Easy unsubscribe</w:t>
      </w:r>
      <w:r/>
    </w:p>
    <w:p>
      <w:pPr>
        <w:pStyle w:val="964"/>
        <w:numPr>
          <w:ilvl w:val="1"/>
          <w:numId w:val="145"/>
        </w:numPr>
        <w:pBdr/>
        <w:spacing/>
        <w:ind/>
        <w:rPr/>
      </w:pPr>
      <w:r>
        <w:t xml:space="preserve">Valuable content only</w:t>
      </w:r>
      <w:r/>
    </w:p>
    <w:p>
      <w:pPr>
        <w:pStyle w:val="964"/>
        <w:numPr>
          <w:ilvl w:val="1"/>
          <w:numId w:val="145"/>
        </w:numPr>
        <w:pBdr/>
        <w:spacing/>
        <w:ind/>
        <w:rPr/>
      </w:pPr>
      <w:r>
        <w:rPr>
          <w:b/>
          <w:bCs/>
        </w:rPr>
        <w:t xml:space="preserve">Anti-pattern avoided:</w:t>
      </w:r>
      <w:r>
        <w:t xml:space="preserve"> Multiple emails per day spam (Section 2.1.3.24)</w:t>
      </w:r>
      <w:r/>
    </w:p>
    <w:p>
      <w:pPr>
        <w:numPr>
          <w:ilvl w:val="0"/>
          <w:numId w:val="142"/>
        </w:numPr>
        <w:pBdr/>
        <w:spacing/>
        <w:ind/>
        <w:rPr/>
      </w:pPr>
      <w:r>
        <w:rPr>
          <w:b/>
          <w:bCs/>
        </w:rPr>
        <w:t xml:space="preserve">Competitive Positioning:</w:t>
      </w:r>
      <w:r/>
    </w:p>
    <w:p>
      <w:pPr>
        <w:pStyle w:val="964"/>
        <w:numPr>
          <w:ilvl w:val="1"/>
          <w:numId w:val="146"/>
        </w:numPr>
        <w:pBdr/>
        <w:spacing/>
        <w:ind/>
        <w:rPr/>
      </w:pPr>
      <w:r>
        <w:t xml:space="preserve">Focus on ISLAMU value proposition</w:t>
      </w:r>
      <w:r/>
    </w:p>
    <w:p>
      <w:pPr>
        <w:pStyle w:val="964"/>
        <w:numPr>
          <w:ilvl w:val="1"/>
          <w:numId w:val="146"/>
        </w:numPr>
        <w:pBdr/>
        <w:spacing/>
        <w:ind/>
        <w:rPr/>
      </w:pPr>
      <w:r>
        <w:t xml:space="preserve">No negative attacks on competitors</w:t>
      </w:r>
      <w:r/>
    </w:p>
    <w:p>
      <w:pPr>
        <w:pStyle w:val="964"/>
        <w:numPr>
          <w:ilvl w:val="1"/>
          <w:numId w:val="146"/>
        </w:numPr>
        <w:pBdr/>
        <w:spacing/>
        <w:ind/>
        <w:rPr/>
      </w:pPr>
      <w:r>
        <w:t xml:space="preserve">Honest comparisons if made</w:t>
      </w:r>
      <w:r/>
    </w:p>
    <w:p>
      <w:pPr>
        <w:pStyle w:val="964"/>
        <w:numPr>
          <w:ilvl w:val="1"/>
          <w:numId w:val="146"/>
        </w:numPr>
        <w:pBdr/>
        <w:spacing/>
        <w:ind/>
        <w:rPr/>
      </w:pPr>
      <w:r>
        <w:t xml:space="preserve">Compete through better service</w:t>
      </w:r>
      <w:r/>
    </w:p>
    <w:p>
      <w:pPr>
        <w:pStyle w:val="964"/>
        <w:numPr>
          <w:ilvl w:val="1"/>
          <w:numId w:val="146"/>
        </w:numPr>
        <w:pBdr/>
        <w:spacing/>
        <w:ind/>
        <w:rPr/>
      </w:pPr>
      <w:r>
        <w:rPr>
          <w:b/>
          <w:bCs/>
        </w:rPr>
        <w:t xml:space="preserve">Anti-pattern avoided:</w:t>
      </w:r>
      <w:r>
        <w:t xml:space="preserve"> Reputation attacks on competitors (Section 2.1.3.16)</w:t>
      </w:r>
      <w:r/>
    </w:p>
    <w:p>
      <w:pPr>
        <w:numPr>
          <w:ilvl w:val="0"/>
          <w:numId w:val="142"/>
        </w:numPr>
        <w:pBdr/>
        <w:spacing/>
        <w:ind/>
        <w:rPr/>
      </w:pPr>
      <w:r>
        <w:rPr>
          <w:b/>
          <w:bCs/>
        </w:rPr>
        <w:t xml:space="preserve">Authentic Reviews:</w:t>
      </w:r>
      <w:r/>
    </w:p>
    <w:p>
      <w:pPr>
        <w:pStyle w:val="964"/>
        <w:numPr>
          <w:ilvl w:val="1"/>
          <w:numId w:val="147"/>
        </w:numPr>
        <w:pBdr/>
        <w:spacing/>
        <w:ind/>
        <w:rPr/>
      </w:pPr>
      <w:r>
        <w:t xml:space="preserve">Only genuine user reviews</w:t>
      </w:r>
      <w:r/>
    </w:p>
    <w:p>
      <w:pPr>
        <w:pStyle w:val="964"/>
        <w:numPr>
          <w:ilvl w:val="1"/>
          <w:numId w:val="147"/>
        </w:numPr>
        <w:pBdr/>
        <w:spacing/>
        <w:ind/>
        <w:rPr/>
      </w:pPr>
      <w:r>
        <w:t xml:space="preserve">Link reviews to verified sources (Twitter, Trustpilot)</w:t>
      </w:r>
      <w:r/>
    </w:p>
    <w:p>
      <w:pPr>
        <w:pStyle w:val="964"/>
        <w:numPr>
          <w:ilvl w:val="1"/>
          <w:numId w:val="147"/>
        </w:numPr>
        <w:pBdr/>
        <w:spacing/>
        <w:ind/>
        <w:rPr/>
      </w:pPr>
      <w:r>
        <w:t xml:space="preserve">No fake accounts or bot reviews</w:t>
      </w:r>
      <w:r/>
    </w:p>
    <w:p>
      <w:pPr>
        <w:pStyle w:val="964"/>
        <w:numPr>
          <w:ilvl w:val="1"/>
          <w:numId w:val="147"/>
        </w:numPr>
        <w:pBdr/>
        <w:spacing/>
        <w:ind/>
        <w:rPr/>
      </w:pPr>
      <w:r>
        <w:t xml:space="preserve">No incentivized reviews without disclosure</w:t>
      </w:r>
      <w:r/>
    </w:p>
    <w:p>
      <w:pPr>
        <w:pStyle w:val="964"/>
        <w:numPr>
          <w:ilvl w:val="1"/>
          <w:numId w:val="147"/>
        </w:numPr>
        <w:pBdr/>
        <w:spacing/>
        <w:ind/>
        <w:rPr/>
      </w:pPr>
      <w:r>
        <w:rPr>
          <w:b/>
          <w:bCs/>
        </w:rPr>
        <w:t xml:space="preserve">Anti-pattern avoided:</w:t>
      </w:r>
      <w:r>
        <w:t xml:space="preserve"> Fake reviews (Section 2.1.3.12)</w:t>
      </w:r>
      <w:r/>
    </w:p>
    <w:p>
      <w:pPr>
        <w:pStyle w:val="963"/>
        <w:pBdr/>
        <w:spacing/>
        <w:ind/>
        <w:rPr/>
      </w:pPr>
      <w:r>
        <w:rPr>
          <w:b/>
          <w:bCs/>
        </w:rPr>
        <w:t xml:space="preserve">Metric Definition Integrity:</w:t>
      </w:r>
      <w:r/>
    </w:p>
    <w:p>
      <w:pPr>
        <w:pStyle w:val="962"/>
        <w:pBdr/>
        <w:spacing/>
        <w:ind/>
        <w:rPr/>
      </w:pPr>
      <w:r>
        <w:t xml:space="preserve">Honest marketing also requir</w:t>
      </w:r>
      <w:r>
        <w:t xml:space="preserve">es precise metric language. A product should distinguish between accounts, active users, paying customers, organizations, downloads, sign-ups, and people reached. Saying “10,000 users” when the evidence only supports “10,000 accounts” may seem subtle, but </w:t>
      </w:r>
      <w:r>
        <w:t xml:space="preserve">it turns an ambiguous operational metric into a stronger social-trust claim. I-VSD does not require hostile skepticism toward every approximate number; it requires choosing wording that does not inflate trust signals beyond what the data actually supports.</w:t>
      </w:r>
      <w:r/>
    </w:p>
    <w:p>
      <w:pPr>
        <w:pStyle w:val="962"/>
        <w:pBdr/>
        <w:spacing/>
        <w:ind/>
        <w:rPr/>
      </w:pPr>
      <w:r>
        <w:t xml:space="preserve">For ISLAMU Event, public metrics should therefore defi</w:t>
      </w:r>
      <w:r>
        <w:t xml:space="preserve">ne what is being counted, over what period, and whether the number reflects accounts, participants, events, organizations, or active usage. This protects Sidq in communication and prevents marketing from converting uncertainty into exaggerated credibility.</w:t>
      </w:r>
      <w:r/>
    </w:p>
    <w:p>
      <w:pPr>
        <w:pStyle w:val="962"/>
        <w:pBdr/>
        <w:spacing/>
        <w:ind/>
        <w:rPr/>
      </w:pPr>
      <w:r>
        <w:rPr>
          <w:b/>
          <w:bCs/>
        </w:rPr>
        <w:t xml:space="preserve">Evidence-Backed Claims and Comparison Ethics:</w:t>
      </w:r>
      <w:r/>
    </w:p>
    <w:p>
      <w:pPr>
        <w:pStyle w:val="962"/>
        <w:pBdr/>
        <w:spacing/>
        <w:ind/>
        <w:rPr/>
      </w:pPr>
      <w:r>
        <w:t xml:space="preserve">ISLAMU’s marketing should treat sources as part of moral communication. Claims such as “best,” “most transparent,” “scientifically proven,” “used by X organizations,” “AI-powered,” or “la</w:t>
      </w:r>
      <w:r>
        <w:t xml:space="preserve">test research” need dates, scope, source links, and criteria. The purpose is not merely academic rigor; it sets a public norm that trustworthy actors should provide evidence and makes it easier to challenge untrustworthy actors who make unsupported claims.</w:t>
      </w:r>
      <w:r/>
    </w:p>
    <w:p>
      <w:pPr>
        <w:pStyle w:val="962"/>
        <w:pBdr/>
        <w:spacing/>
        <w:ind/>
        <w:rPr/>
      </w:pPr>
      <w:r>
        <w:t xml:space="preserve">Comparison content should also avoid the usual SaaS manipulation pattern. If ISLAMU publishes competitor comparisons, it should explain the use case, weighting, update date, and limitat</w:t>
      </w:r>
      <w:r>
        <w:t xml:space="preserve">ions. A comparison page can build more trust by saying “use another provider if you need this specific enterprise feature” than by forcing every criterion to favor ISLAMU. For feature matrices, weighted or depth-based indicators are more honest than identi</w:t>
      </w:r>
      <w:r>
        <w:t xml:space="preserve">cal green checkmarks for features of unequal importance. For reviews, repeating the same testimonials in an infinite carousel should be avoided unless repetition is visually obvious; otherwise it can simulate more social-trust signals than actually exists.</w:t>
      </w:r>
      <w:r/>
    </w:p>
    <w:p>
      <w:pPr>
        <w:pStyle w:val="962"/>
        <w:pBdr/>
        <w:spacing/>
        <w:ind/>
        <w:rPr/>
      </w:pPr>
      <w:r>
        <w:t xml:space="preserve">A comparison page can build more trust by including a “Who We Are NOT For” section, using a Harvey Ball or depth scale instead of </w:t>
      </w:r>
      <w:r>
        <w:t xml:space="preserve">flat checkmarks when features differ in importance, writing narrative one-on-one comparisons for real user scenarios, and offering an interactive needs-based matcher that is allowed to recommend a competitor when the competitor better fits the stated need.</w:t>
      </w:r>
      <w:r/>
    </w:p>
    <w:p>
      <w:pPr>
        <w:pBdr/>
        <w:spacing/>
        <w:ind/>
        <w:rPr/>
      </w:pPr>
      <w:r>
        <mc:AlternateContent>
          <mc:Choice Requires="wpg">
            <w:drawing>
              <wp:inline xmlns:wp="http://schemas.openxmlformats.org/drawingml/2006/wordprocessingDrawing" distT="0" distB="0" distL="0" distR="0">
                <wp:extent cx="0" cy="19050"/>
                <wp:effectExtent l="0" t="0" r="0" b="0"/>
                <wp:docPr id="7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5" o:spid="_x0000_s75" o:spt="1" type="#_x0000_t1" style="width:0.00pt;height:1.50pt;mso-wrap-distance-left:0.00pt;mso-wrap-distance-top:0.00pt;mso-wrap-distance-right:0.00pt;mso-wrap-distance-bottom:0.00pt;visibility:visible;" fillcolor="#FFFFFF" strokecolor="#000000"/>
            </w:pict>
          </mc:Fallback>
        </mc:AlternateContent>
      </w:r>
      <w:bookmarkEnd w:id="96"/>
      <w:r/>
    </w:p>
    <w:p>
      <w:pPr>
        <w:pStyle w:val="977"/>
        <w:pBdr/>
        <w:spacing/>
        <w:ind/>
        <w:rPr/>
      </w:pPr>
      <w:r/>
      <w:bookmarkStart w:id="97" w:name="ai-integration-for-future-features"/>
      <w:r>
        <w:t xml:space="preserve">4.4.7 AI Integration (for Future Features)</w:t>
      </w:r>
      <w:r/>
    </w:p>
    <w:p>
      <w:pPr>
        <w:pStyle w:val="963"/>
        <w:pBdr/>
        <w:spacing/>
        <w:ind/>
        <w:rPr/>
      </w:pPr>
      <w:r>
        <w:rPr>
          <w:b/>
          <w:bCs/>
        </w:rPr>
        <w:t xml:space="preserve">Decision: Responsible AI Use</w:t>
      </w:r>
      <w:r/>
    </w:p>
    <w:p>
      <w:pPr>
        <w:pStyle w:val="962"/>
        <w:pBdr/>
        <w:spacing/>
        <w:ind/>
        <w:rPr/>
      </w:pPr>
      <w:r>
        <w:rPr>
          <w:b/>
          <w:bCs/>
        </w:rPr>
        <w:t xml:space="preserve">I-VSD Framework Application:</w:t>
      </w:r>
      <w:r/>
    </w:p>
    <w:p>
      <w:pPr>
        <w:pStyle w:val="964"/>
        <w:numPr>
          <w:ilvl w:val="0"/>
          <w:numId w:val="148"/>
        </w:numPr>
        <w:pBdr/>
        <w:spacing/>
        <w:ind/>
        <w:rPr/>
      </w:pPr>
      <w:r>
        <w:rPr>
          <w:b/>
          <w:bCs/>
        </w:rPr>
        <w:t xml:space="preserve">Islamic Principles:</w:t>
      </w:r>
      <w:r>
        <w:t xml:space="preserve"> Honesty about limitations, do no harm, justice</w:t>
      </w:r>
      <w:r/>
    </w:p>
    <w:p>
      <w:pPr>
        <w:pStyle w:val="964"/>
        <w:numPr>
          <w:ilvl w:val="0"/>
          <w:numId w:val="148"/>
        </w:numPr>
        <w:pBdr/>
        <w:spacing/>
        <w:ind/>
        <w:rPr/>
      </w:pPr>
      <w:r>
        <w:rPr>
          <w:b/>
          <w:bCs/>
        </w:rPr>
        <w:t xml:space="preserve">Heuristics Applied:</w:t>
      </w:r>
      <w:r/>
    </w:p>
    <w:p>
      <w:pPr>
        <w:pStyle w:val="964"/>
        <w:numPr>
          <w:ilvl w:val="1"/>
          <w:numId w:val="149"/>
        </w:numPr>
        <w:pBdr/>
        <w:spacing/>
        <w:ind/>
        <w:rPr/>
      </w:pPr>
      <w:r>
        <w:t xml:space="preserve">Disclose AI limitations</w:t>
      </w:r>
      <w:r/>
    </w:p>
    <w:p>
      <w:pPr>
        <w:pStyle w:val="964"/>
        <w:numPr>
          <w:ilvl w:val="1"/>
          <w:numId w:val="149"/>
        </w:numPr>
        <w:pBdr/>
        <w:spacing/>
        <w:ind/>
        <w:rPr/>
      </w:pPr>
      <w:r>
        <w:t xml:space="preserve">Balanced training data</w:t>
      </w:r>
      <w:r/>
    </w:p>
    <w:p>
      <w:pPr>
        <w:pStyle w:val="964"/>
        <w:numPr>
          <w:ilvl w:val="1"/>
          <w:numId w:val="149"/>
        </w:numPr>
        <w:pBdr/>
        <w:spacing/>
        <w:ind/>
        <w:rPr/>
      </w:pPr>
      <w:r>
        <w:t xml:space="preserve">Human oversight</w:t>
      </w:r>
      <w:r/>
    </w:p>
    <w:p>
      <w:pPr>
        <w:pStyle w:val="963"/>
        <w:pBdr/>
        <w:spacing/>
        <w:ind/>
        <w:rPr/>
      </w:pPr>
      <w:r>
        <w:rPr>
          <w:b/>
          <w:bCs/>
        </w:rPr>
        <w:t xml:space="preserve">Planned Implementation:</w:t>
      </w:r>
      <w:r/>
    </w:p>
    <w:p>
      <w:pPr>
        <w:numPr>
          <w:ilvl w:val="0"/>
          <w:numId w:val="150"/>
        </w:numPr>
        <w:pBdr/>
        <w:spacing/>
        <w:ind/>
        <w:rPr/>
      </w:pPr>
      <w:r>
        <w:rPr>
          <w:b/>
          <w:bCs/>
        </w:rPr>
        <w:t xml:space="preserve">Transparency:</w:t>
      </w:r>
      <w:r/>
    </w:p>
    <w:p>
      <w:pPr>
        <w:pStyle w:val="964"/>
        <w:numPr>
          <w:ilvl w:val="1"/>
          <w:numId w:val="151"/>
        </w:numPr>
        <w:pBdr/>
        <w:spacing/>
        <w:ind/>
        <w:rPr/>
      </w:pPr>
      <w:r>
        <w:t xml:space="preserve">Clear labeling of AI-generated content</w:t>
      </w:r>
      <w:r/>
    </w:p>
    <w:p>
      <w:pPr>
        <w:pStyle w:val="964"/>
        <w:numPr>
          <w:ilvl w:val="1"/>
          <w:numId w:val="151"/>
        </w:numPr>
        <w:pBdr/>
        <w:spacing/>
        <w:ind/>
        <w:rPr/>
      </w:pPr>
      <w:r>
        <w:t xml:space="preserve">Disclosure of AI capabilities and limitations</w:t>
      </w:r>
      <w:r/>
    </w:p>
    <w:p>
      <w:pPr>
        <w:pStyle w:val="964"/>
        <w:numPr>
          <w:ilvl w:val="1"/>
          <w:numId w:val="151"/>
        </w:numPr>
        <w:pBdr/>
        <w:spacing/>
        <w:ind/>
        <w:rPr/>
      </w:pPr>
      <w:r>
        <w:t xml:space="preserve">Warning about potential hallucinations</w:t>
      </w:r>
      <w:r/>
    </w:p>
    <w:p>
      <w:pPr>
        <w:pStyle w:val="964"/>
        <w:numPr>
          <w:ilvl w:val="1"/>
          <w:numId w:val="151"/>
        </w:numPr>
        <w:pBdr/>
        <w:spacing/>
        <w:ind/>
        <w:rPr/>
      </w:pPr>
      <w:r>
        <w:t xml:space="preserve">Never claim AI as infallible</w:t>
      </w:r>
      <w:r/>
    </w:p>
    <w:p>
      <w:pPr>
        <w:numPr>
          <w:ilvl w:val="0"/>
          <w:numId w:val="150"/>
        </w:numPr>
        <w:pBdr/>
        <w:spacing/>
        <w:ind/>
        <w:rPr/>
      </w:pPr>
      <w:r>
        <w:rPr>
          <w:b/>
          <w:bCs/>
        </w:rPr>
        <w:t xml:space="preserve">Training Data:</w:t>
      </w:r>
      <w:r/>
    </w:p>
    <w:p>
      <w:pPr>
        <w:pStyle w:val="964"/>
        <w:numPr>
          <w:ilvl w:val="1"/>
          <w:numId w:val="152"/>
        </w:numPr>
        <w:pBdr/>
        <w:spacing/>
        <w:ind/>
        <w:rPr/>
      </w:pPr>
      <w:r>
        <w:t xml:space="preserve">Audit for anti-Islamic bias</w:t>
      </w:r>
      <w:r/>
    </w:p>
    <w:p>
      <w:pPr>
        <w:pStyle w:val="964"/>
        <w:numPr>
          <w:ilvl w:val="1"/>
          <w:numId w:val="152"/>
        </w:numPr>
        <w:pBdr/>
        <w:spacing/>
        <w:ind/>
        <w:rPr/>
      </w:pPr>
      <w:r>
        <w:t xml:space="preserve">Diverse, balanced sources</w:t>
      </w:r>
      <w:r/>
    </w:p>
    <w:p>
      <w:pPr>
        <w:pStyle w:val="964"/>
        <w:numPr>
          <w:ilvl w:val="1"/>
          <w:numId w:val="152"/>
        </w:numPr>
        <w:pBdr/>
        <w:spacing/>
        <w:ind/>
        <w:rPr/>
      </w:pPr>
      <w:r>
        <w:t xml:space="preserve">Regular bias testing</w:t>
      </w:r>
      <w:r/>
    </w:p>
    <w:p>
      <w:pPr>
        <w:pStyle w:val="964"/>
        <w:numPr>
          <w:ilvl w:val="1"/>
          <w:numId w:val="152"/>
        </w:numPr>
        <w:pBdr/>
        <w:spacing/>
        <w:ind/>
        <w:rPr/>
      </w:pPr>
      <w:r>
        <w:t xml:space="preserve">Mitigation strategies</w:t>
      </w:r>
      <w:r/>
    </w:p>
    <w:p>
      <w:pPr>
        <w:pStyle w:val="964"/>
        <w:numPr>
          <w:ilvl w:val="1"/>
          <w:numId w:val="152"/>
        </w:numPr>
        <w:pBdr/>
        <w:spacing/>
        <w:ind/>
        <w:rPr/>
      </w:pPr>
      <w:r>
        <w:rPr>
          <w:b/>
          <w:bCs/>
        </w:rPr>
        <w:t xml:space="preserve">Addresses:</w:t>
      </w:r>
      <w:r>
        <w:t xml:space="preserve"> Islamophobic AI outputs from biased training (Section 2.1.3.7)</w:t>
      </w:r>
      <w:r/>
    </w:p>
    <w:p>
      <w:pPr>
        <w:numPr>
          <w:ilvl w:val="0"/>
          <w:numId w:val="150"/>
        </w:numPr>
        <w:pBdr/>
        <w:spacing/>
        <w:ind/>
        <w:rPr/>
      </w:pPr>
      <w:r>
        <w:rPr>
          <w:b/>
          <w:bCs/>
        </w:rPr>
        <w:t xml:space="preserve">Use Cases:</w:t>
      </w:r>
      <w:r/>
    </w:p>
    <w:p>
      <w:pPr>
        <w:pStyle w:val="964"/>
        <w:numPr>
          <w:ilvl w:val="1"/>
          <w:numId w:val="153"/>
        </w:numPr>
        <w:pBdr/>
        <w:spacing/>
        <w:ind/>
        <w:rPr/>
      </w:pPr>
      <w:r>
        <w:t xml:space="preserve">Content recommendations</w:t>
      </w:r>
      <w:r/>
    </w:p>
    <w:p>
      <w:pPr>
        <w:pStyle w:val="964"/>
        <w:numPr>
          <w:ilvl w:val="1"/>
          <w:numId w:val="153"/>
        </w:numPr>
        <w:pBdr/>
        <w:spacing/>
        <w:ind/>
        <w:rPr/>
      </w:pPr>
      <w:r>
        <w:t xml:space="preserve">Search improvement</w:t>
      </w:r>
      <w:r/>
    </w:p>
    <w:p>
      <w:pPr>
        <w:pStyle w:val="964"/>
        <w:numPr>
          <w:ilvl w:val="1"/>
          <w:numId w:val="153"/>
        </w:numPr>
        <w:pBdr/>
        <w:spacing/>
        <w:ind/>
        <w:rPr/>
      </w:pPr>
      <w:r>
        <w:t xml:space="preserve">NOT for critical decisions without human oversight</w:t>
      </w:r>
      <w:r/>
    </w:p>
    <w:p>
      <w:pPr>
        <w:pStyle w:val="964"/>
        <w:numPr>
          <w:ilvl w:val="1"/>
          <w:numId w:val="153"/>
        </w:numPr>
        <w:pBdr/>
        <w:spacing/>
        <w:ind/>
        <w:rPr/>
      </w:pPr>
      <w:r>
        <w:t xml:space="preserve">Clear labeling of AI assistance</w:t>
      </w:r>
      <w:r/>
    </w:p>
    <w:p>
      <w:pPr>
        <w:numPr>
          <w:ilvl w:val="0"/>
          <w:numId w:val="150"/>
        </w:numPr>
        <w:pBdr/>
        <w:spacing/>
        <w:ind/>
        <w:rPr/>
      </w:pPr>
      <w:r>
        <w:rPr>
          <w:b/>
          <w:bCs/>
        </w:rPr>
        <w:t xml:space="preserve">Safety:</w:t>
      </w:r>
      <w:r/>
    </w:p>
    <w:p>
      <w:pPr>
        <w:pStyle w:val="964"/>
        <w:numPr>
          <w:ilvl w:val="1"/>
          <w:numId w:val="154"/>
        </w:numPr>
        <w:pBdr/>
        <w:spacing/>
        <w:ind/>
        <w:rPr/>
      </w:pPr>
      <w:r>
        <w:t xml:space="preserve">Prevent jailbreaking for harmful content</w:t>
      </w:r>
      <w:r/>
    </w:p>
    <w:p>
      <w:pPr>
        <w:pStyle w:val="964"/>
        <w:numPr>
          <w:ilvl w:val="1"/>
          <w:numId w:val="154"/>
        </w:numPr>
        <w:pBdr/>
        <w:spacing/>
        <w:ind/>
        <w:rPr/>
      </w:pPr>
      <w:r>
        <w:t xml:space="preserve">No bomb-making or dangerous information</w:t>
      </w:r>
      <w:r/>
    </w:p>
    <w:p>
      <w:pPr>
        <w:pStyle w:val="964"/>
        <w:numPr>
          <w:ilvl w:val="1"/>
          <w:numId w:val="154"/>
        </w:numPr>
        <w:pBdr/>
        <w:spacing/>
        <w:ind/>
        <w:rPr/>
      </w:pPr>
      <w:r>
        <w:t xml:space="preserve">Appropriate content filters</w:t>
      </w:r>
      <w:r/>
    </w:p>
    <w:p>
      <w:pPr>
        <w:pStyle w:val="964"/>
        <w:numPr>
          <w:ilvl w:val="1"/>
          <w:numId w:val="154"/>
        </w:numPr>
        <w:pBdr/>
        <w:spacing/>
        <w:ind/>
        <w:rPr/>
      </w:pPr>
      <w:r>
        <w:t xml:space="preserve">Regular security updates</w:t>
      </w:r>
      <w:r/>
    </w:p>
    <w:p>
      <w:pPr>
        <w:numPr>
          <w:ilvl w:val="0"/>
          <w:numId w:val="150"/>
        </w:numPr>
        <w:pBdr/>
        <w:spacing/>
        <w:ind/>
        <w:rPr/>
      </w:pPr>
      <w:r>
        <w:rPr>
          <w:b/>
          <w:bCs/>
        </w:rPr>
        <w:t xml:space="preserve">Agentic AI and Destructive-Action Boundaries:</w:t>
      </w:r>
      <w:r/>
    </w:p>
    <w:p>
      <w:pPr>
        <w:pStyle w:val="964"/>
        <w:numPr>
          <w:ilvl w:val="1"/>
          <w:numId w:val="155"/>
        </w:numPr>
        <w:pBdr/>
        <w:spacing/>
        <w:ind/>
        <w:rPr/>
      </w:pPr>
      <w:r>
        <w:t xml:space="preserve">AI agents must not receive broad production permissions by default</w:t>
      </w:r>
      <w:r/>
    </w:p>
    <w:p>
      <w:pPr>
        <w:pStyle w:val="964"/>
        <w:numPr>
          <w:ilvl w:val="1"/>
          <w:numId w:val="155"/>
        </w:numPr>
        <w:pBdr/>
        <w:spacing/>
        <w:ind/>
        <w:rPr/>
      </w:pPr>
      <w:r>
        <w:t xml:space="preserve">Destructive operations require explicit human confirmation, scoped tokens, and reversible workflows</w:t>
      </w:r>
      <w:r/>
    </w:p>
    <w:p>
      <w:pPr>
        <w:pStyle w:val="964"/>
        <w:numPr>
          <w:ilvl w:val="1"/>
          <w:numId w:val="155"/>
        </w:numPr>
        <w:pBdr/>
        <w:spacing/>
        <w:ind/>
        <w:rPr/>
      </w:pPr>
      <w:r>
        <w:t xml:space="preserve">Database backups must be isolated from the credentials and automation paths that can modify production data</w:t>
      </w:r>
      <w:r/>
    </w:p>
    <w:p>
      <w:pPr>
        <w:pStyle w:val="964"/>
        <w:numPr>
          <w:ilvl w:val="1"/>
          <w:numId w:val="155"/>
        </w:numPr>
        <w:pBdr/>
        <w:spacing/>
        <w:ind/>
        <w:rPr/>
      </w:pPr>
      <w:r>
        <w:t xml:space="preserve">AI-generated or AI-assisted actions should be logged with enough detail for audit and rollback</w:t>
      </w:r>
      <w:r/>
    </w:p>
    <w:p>
      <w:pPr>
        <w:pStyle w:val="964"/>
        <w:numPr>
          <w:ilvl w:val="1"/>
          <w:numId w:val="155"/>
        </w:numPr>
        <w:pBdr/>
        <w:spacing/>
        <w:ind/>
        <w:rPr/>
      </w:pPr>
      <w:r>
        <w:t xml:space="preserve">Vendor reliability claims should be checked against incident history, not accepted as marketing promises</w:t>
      </w:r>
      <w:r/>
    </w:p>
    <w:p>
      <w:pPr>
        <w:pStyle w:val="963"/>
        <w:pBdr/>
        <w:spacing/>
        <w:ind/>
        <w:rPr/>
      </w:pPr>
      <w:r>
        <w:t xml:space="preserve">The recovered AI incident notes are useful not as final verdicts on any one vendor, but as risk categories. Repo</w:t>
      </w:r>
      <w:r>
        <w:t xml:space="preserve">rted incidents involving coding agents, billing confusion, cache regressions, hallucinated legal citations, aggressive crawling, copyright disputes, or destructive infrastructure actions show that “AI assistance” can fail at product, legal, operational, an</w:t>
      </w:r>
      <w:r>
        <w:t xml:space="preserve">d trust layers. I-VSD therefore treats AI integration as a governance problem, not merely a feature decision. Human oversight must include permission design, backup isolation, postmortem transparency, source/provenance review, and clear user-facing limits.</w:t>
      </w:r>
      <w:r/>
    </w:p>
    <w:p>
      <w:pPr>
        <w:pStyle w:val="962"/>
        <w:pBdr/>
        <w:spacing/>
        <w:ind/>
        <w:rPr/>
      </w:pPr>
      <w:r>
        <w:t xml:space="preserve">For ISLAMU Event, future AI features should begin with low-risk assistance: search, summarization, moderation triage, translation drafts, or administrative suggestions. They should not directly delete data, approve high-impact moderation decisions, chang</w:t>
      </w:r>
      <w:r>
        <w:t xml:space="preserve">e billing, send mass communications, or modify production infrastructure without human review and constrained execution. The goal is to benefit from AI while refusing the false efficiency of giving an unreliable system authority over irreversible outcomes.</w:t>
      </w:r>
      <w:r/>
    </w:p>
    <w:p>
      <w:pPr>
        <w:pBdr/>
        <w:spacing/>
        <w:ind/>
        <w:rPr/>
      </w:pPr>
      <w:r>
        <mc:AlternateContent>
          <mc:Choice Requires="wpg">
            <w:drawing>
              <wp:inline xmlns:wp="http://schemas.openxmlformats.org/drawingml/2006/wordprocessingDrawing" distT="0" distB="0" distL="0" distR="0">
                <wp:extent cx="0" cy="19050"/>
                <wp:effectExtent l="0" t="0" r="0" b="0"/>
                <wp:docPr id="7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6" o:spid="_x0000_s76" o:spt="1" type="#_x0000_t1" style="width:0.00pt;height:1.50pt;mso-wrap-distance-left:0.00pt;mso-wrap-distance-top:0.00pt;mso-wrap-distance-right:0.00pt;mso-wrap-distance-bottom:0.00pt;visibility:visible;" fillcolor="#FFFFFF" strokecolor="#000000"/>
            </w:pict>
          </mc:Fallback>
        </mc:AlternateContent>
      </w:r>
      <w:bookmarkEnd w:id="97"/>
      <w:r/>
    </w:p>
    <w:p>
      <w:pPr>
        <w:pStyle w:val="977"/>
        <w:pBdr/>
        <w:spacing/>
        <w:ind/>
        <w:rPr/>
      </w:pPr>
      <w:r/>
      <w:bookmarkStart w:id="98" w:name="maintenance-and-support-stewardship"/>
      <w:r>
        <w:t xml:space="preserve">4.4.8 Maintenance and Support Stewardship</w:t>
      </w:r>
      <w:r/>
    </w:p>
    <w:p>
      <w:pPr>
        <w:pStyle w:val="963"/>
        <w:pBdr/>
        <w:spacing/>
        <w:ind/>
        <w:rPr/>
      </w:pPr>
      <w:r>
        <w:rPr>
          <w:b/>
          <w:bCs/>
        </w:rPr>
        <w:t xml:space="preserve">Decision: Maintenance Stewardship as an I-VSD Design Responsibility</w:t>
      </w:r>
      <w:r/>
    </w:p>
    <w:p>
      <w:pPr>
        <w:pStyle w:val="962"/>
        <w:pBdr/>
        <w:spacing/>
        <w:ind/>
        <w:rPr/>
      </w:pPr>
      <w:r>
        <w:rPr>
          <w:b/>
          <w:bCs/>
        </w:rPr>
        <w:t xml:space="preserve">I-VSD Framework Application:</w:t>
      </w:r>
      <w:r/>
    </w:p>
    <w:p>
      <w:pPr>
        <w:pStyle w:val="964"/>
        <w:numPr>
          <w:ilvl w:val="0"/>
          <w:numId w:val="156"/>
        </w:numPr>
        <w:pBdr/>
        <w:spacing/>
        <w:ind/>
        <w:rPr/>
      </w:pPr>
      <w:r>
        <w:rPr>
          <w:b/>
          <w:bCs/>
        </w:rPr>
        <w:t xml:space="preserve">Islamic Principles:</w:t>
      </w:r>
      <w:r>
        <w:t xml:space="preserve"> Amanah, Wafa, responsibility, do no harm</w:t>
      </w:r>
      <w:r/>
    </w:p>
    <w:p>
      <w:pPr>
        <w:pStyle w:val="964"/>
        <w:numPr>
          <w:ilvl w:val="0"/>
          <w:numId w:val="156"/>
        </w:numPr>
        <w:pBdr/>
        <w:spacing/>
        <w:ind/>
        <w:rPr/>
      </w:pPr>
      <w:r>
        <w:rPr>
          <w:b/>
          <w:bCs/>
        </w:rPr>
        <w:t xml:space="preserve">Heuristics Applied:</w:t>
      </w:r>
      <w:r/>
    </w:p>
    <w:p>
      <w:pPr>
        <w:pStyle w:val="964"/>
        <w:numPr>
          <w:ilvl w:val="1"/>
          <w:numId w:val="157"/>
        </w:numPr>
        <w:pBdr/>
        <w:spacing/>
        <w:ind/>
        <w:rPr/>
      </w:pPr>
      <w:r>
        <w:t xml:space="preserve">Maintenance as stewardship rather than a one-time launch promise</w:t>
      </w:r>
      <w:r/>
    </w:p>
    <w:p>
      <w:pPr>
        <w:pStyle w:val="964"/>
        <w:numPr>
          <w:ilvl w:val="1"/>
          <w:numId w:val="157"/>
        </w:numPr>
        <w:pBdr/>
        <w:spacing/>
        <w:ind/>
        <w:rPr/>
      </w:pPr>
      <w:r>
        <w:t xml:space="preserve">Sustainable operational practices</w:t>
      </w:r>
      <w:r/>
    </w:p>
    <w:p>
      <w:pPr>
        <w:pStyle w:val="964"/>
        <w:numPr>
          <w:ilvl w:val="1"/>
          <w:numId w:val="157"/>
        </w:numPr>
        <w:pBdr/>
        <w:spacing/>
        <w:ind/>
        <w:rPr/>
      </w:pPr>
      <w:r>
        <w:t xml:space="preserve">Transparent limits on support, continuity, and end-of-life obligations</w:t>
      </w:r>
      <w:r/>
    </w:p>
    <w:p>
      <w:pPr>
        <w:pStyle w:val="963"/>
        <w:pBdr/>
        <w:spacing/>
        <w:ind/>
        <w:rPr/>
      </w:pPr>
      <w:r>
        <w:t xml:space="preserve">Maintenance claims must be handled carefully. The current Event repository supports</w:t>
      </w:r>
      <w:r>
        <w:t xml:space="preserve"> maintenance and self-hosting as operational design: Docker Compose topology, .NET Aspire local orchestration, health and readiness endpoints, startup migrations, release checklists, backup/restore/upgrade runbooks, CI/CD governance, container build eviden</w:t>
      </w:r>
      <w:r>
        <w:t xml:space="preserve">ce, and a security disclosure channel make operational responsibility more inspectable. This evidence does not prove long-term sustainability, production reliability, mature support operations, backup success, upgrade reliability, or guaranteed continuity.</w:t>
      </w:r>
      <w:r/>
    </w:p>
    <w:p>
      <w:pPr>
        <w:pStyle w:val="962"/>
        <w:pBdr/>
        <w:spacing/>
        <w:ind/>
        <w:rPr/>
      </w:pPr>
      <w:r>
        <w:rPr>
          <w:b/>
          <w:bCs/>
        </w:rPr>
        <w:t xml:space="preserve">Stewardship requirements:</w:t>
      </w:r>
      <w:r/>
    </w:p>
    <w:p>
      <w:pPr>
        <w:numPr>
          <w:ilvl w:val="0"/>
          <w:numId w:val="158"/>
        </w:numPr>
        <w:pBdr/>
        <w:spacing/>
        <w:ind/>
        <w:rPr/>
      </w:pPr>
      <w:r>
        <w:rPr>
          <w:b/>
          <w:bCs/>
        </w:rPr>
        <w:t xml:space="preserve">Security update and disclosure expectations:</w:t>
      </w:r>
      <w:r/>
    </w:p>
    <w:p>
      <w:pPr>
        <w:pStyle w:val="964"/>
        <w:numPr>
          <w:ilvl w:val="1"/>
          <w:numId w:val="159"/>
        </w:numPr>
        <w:pBdr/>
        <w:spacing/>
        <w:ind/>
        <w:rPr/>
      </w:pPr>
      <w:r>
        <w:t xml:space="preserve">Define a responsible disclosure path and triage process for critical vulnerabilities</w:t>
      </w:r>
      <w:r/>
    </w:p>
    <w:p>
      <w:pPr>
        <w:pStyle w:val="964"/>
        <w:numPr>
          <w:ilvl w:val="1"/>
          <w:numId w:val="159"/>
        </w:numPr>
        <w:pBdr/>
        <w:spacing/>
        <w:ind/>
        <w:rPr/>
      </w:pPr>
      <w:r>
        <w:t xml:space="preserve">Publish target response windows as support goals only when the team can sustain them</w:t>
      </w:r>
      <w:r/>
    </w:p>
    <w:p>
      <w:pPr>
        <w:pStyle w:val="964"/>
        <w:numPr>
          <w:ilvl w:val="1"/>
          <w:numId w:val="159"/>
        </w:numPr>
        <w:pBdr/>
        <w:spacing/>
        <w:ind/>
        <w:rPr/>
      </w:pPr>
      <w:r>
        <w:t xml:space="preserve">Maintain dependency-update expectations and document how security updates are communicated</w:t>
      </w:r>
      <w:r/>
    </w:p>
    <w:p>
      <w:pPr>
        <w:pStyle w:val="964"/>
        <w:numPr>
          <w:ilvl w:val="1"/>
          <w:numId w:val="159"/>
        </w:numPr>
        <w:pBdr/>
        <w:spacing/>
        <w:ind/>
        <w:rPr/>
      </w:pPr>
      <w:r>
        <w:t xml:space="preserve">Use external review or audit where risk, maturity, or public reliance justifies it</w:t>
      </w:r>
      <w:r/>
    </w:p>
    <w:p>
      <w:pPr>
        <w:pStyle w:val="964"/>
        <w:numPr>
          <w:ilvl w:val="1"/>
          <w:numId w:val="159"/>
        </w:numPr>
        <w:pBdr/>
        <w:spacing/>
        <w:ind/>
        <w:rPr/>
      </w:pPr>
      <w:r>
        <w:rPr>
          <w:b/>
          <w:bCs/>
        </w:rPr>
        <w:t xml:space="preserve">Anti-example:</w:t>
      </w:r>
      <w:r>
        <w:t xml:space="preserve"> Keycloak 2FA bypass left for months (Section 2.1.3.3)</w:t>
      </w:r>
      <w:r/>
    </w:p>
    <w:p>
      <w:pPr>
        <w:numPr>
          <w:ilvl w:val="0"/>
          <w:numId w:val="158"/>
        </w:numPr>
        <w:pBdr/>
        <w:spacing/>
        <w:ind/>
        <w:rPr/>
      </w:pPr>
      <w:r>
        <w:rPr>
          <w:b/>
          <w:bCs/>
        </w:rPr>
        <w:t xml:space="preserve">Compatibility and deprecation governance:</w:t>
      </w:r>
      <w:r/>
    </w:p>
    <w:p>
      <w:pPr>
        <w:pStyle w:val="964"/>
        <w:numPr>
          <w:ilvl w:val="1"/>
          <w:numId w:val="160"/>
        </w:numPr>
        <w:pBdr/>
        <w:spacing/>
        <w:ind/>
        <w:rPr/>
      </w:pPr>
      <w:r>
        <w:t xml:space="preserve">Avoid changing terms, pricing, or access in ways that quietly harm existing users</w:t>
      </w:r>
      <w:r/>
    </w:p>
    <w:p>
      <w:pPr>
        <w:pStyle w:val="964"/>
        <w:numPr>
          <w:ilvl w:val="1"/>
          <w:numId w:val="160"/>
        </w:numPr>
        <w:pBdr/>
        <w:spacing/>
        <w:ind/>
        <w:rPr/>
      </w:pPr>
      <w:r>
        <w:t xml:space="preserve">Where long-lived commitments are made, publish their scope and limits clearly</w:t>
      </w:r>
      <w:r/>
    </w:p>
    <w:p>
      <w:pPr>
        <w:pStyle w:val="964"/>
        <w:numPr>
          <w:ilvl w:val="1"/>
          <w:numId w:val="160"/>
        </w:numPr>
        <w:pBdr/>
        <w:spacing/>
        <w:ind/>
        <w:rPr/>
      </w:pPr>
      <w:r>
        <w:t xml:space="preserve">Provide deprecation criteria, advance notice, migration guidance, and a reviewable exception path</w:t>
      </w:r>
      <w:r/>
    </w:p>
    <w:p>
      <w:pPr>
        <w:pStyle w:val="964"/>
        <w:numPr>
          <w:ilvl w:val="1"/>
          <w:numId w:val="160"/>
        </w:numPr>
        <w:pBdr/>
        <w:spacing/>
        <w:ind/>
        <w:rPr/>
      </w:pPr>
      <w:r>
        <w:rPr>
          <w:b/>
          <w:bCs/>
        </w:rPr>
        <w:t xml:space="preserve">Anti-example:</w:t>
      </w:r>
      <w:r>
        <w:t xml:space="preserve"> Lifetime deal violations (Section 2.1.3.12)</w:t>
      </w:r>
      <w:r/>
    </w:p>
    <w:p>
      <w:pPr>
        <w:numPr>
          <w:ilvl w:val="0"/>
          <w:numId w:val="158"/>
        </w:numPr>
        <w:pBdr/>
        <w:spacing/>
        <w:ind/>
        <w:rPr/>
      </w:pPr>
      <w:r>
        <w:rPr>
          <w:b/>
          <w:bCs/>
        </w:rPr>
        <w:t xml:space="preserve">Support responsiveness as an operational target:</w:t>
      </w:r>
      <w:r/>
    </w:p>
    <w:p>
      <w:pPr>
        <w:pStyle w:val="964"/>
        <w:numPr>
          <w:ilvl w:val="1"/>
          <w:numId w:val="161"/>
        </w:numPr>
        <w:pBdr/>
        <w:spacing/>
        <w:ind/>
        <w:rPr/>
      </w:pPr>
      <w:r>
        <w:t xml:space="preserve">Define issue-reporting paths and expected support channels</w:t>
      </w:r>
      <w:r/>
    </w:p>
    <w:p>
      <w:pPr>
        <w:pStyle w:val="964"/>
        <w:numPr>
          <w:ilvl w:val="1"/>
          <w:numId w:val="161"/>
        </w:numPr>
        <w:pBdr/>
        <w:spacing/>
        <w:ind/>
        <w:rPr/>
      </w:pPr>
      <w:r>
        <w:t xml:space="preserve">Distinguish community support, paid support, security disclosure, and governance complaints</w:t>
      </w:r>
      <w:r/>
    </w:p>
    <w:p>
      <w:pPr>
        <w:pStyle w:val="964"/>
        <w:numPr>
          <w:ilvl w:val="1"/>
          <w:numId w:val="161"/>
        </w:numPr>
        <w:pBdr/>
        <w:spacing/>
        <w:ind/>
        <w:rPr/>
      </w:pPr>
      <w:r>
        <w:t xml:space="preserve">Track whether issues are acknowledged, triaged, and resolved in practice before claiming support maturity</w:t>
      </w:r>
      <w:r/>
    </w:p>
    <w:p>
      <w:pPr>
        <w:pStyle w:val="964"/>
        <w:numPr>
          <w:ilvl w:val="1"/>
          <w:numId w:val="161"/>
        </w:numPr>
        <w:pBdr/>
        <w:spacing/>
        <w:ind/>
        <w:rPr/>
      </w:pPr>
      <w:r>
        <w:rPr>
          <w:b/>
          <w:bCs/>
        </w:rPr>
        <w:t xml:space="preserve">Addresses:</w:t>
      </w:r>
      <w:r>
        <w:t xml:space="preserve"> Poor communication, a common pattern in industry ethical failures</w:t>
      </w:r>
      <w:r/>
    </w:p>
    <w:p>
      <w:pPr>
        <w:numPr>
          <w:ilvl w:val="0"/>
          <w:numId w:val="158"/>
        </w:numPr>
        <w:pBdr/>
        <w:spacing/>
        <w:ind/>
        <w:rPr/>
      </w:pPr>
      <w:r>
        <w:rPr>
          <w:b/>
          <w:bCs/>
        </w:rPr>
        <w:t xml:space="preserve">End-of-life and continuity planning:</w:t>
      </w:r>
      <w:r/>
    </w:p>
    <w:p>
      <w:pPr>
        <w:pStyle w:val="964"/>
        <w:numPr>
          <w:ilvl w:val="1"/>
          <w:numId w:val="162"/>
        </w:numPr>
        <w:pBdr/>
        <w:spacing/>
        <w:ind/>
        <w:rPr/>
      </w:pPr>
      <w:r>
        <w:t xml:space="preserve">Communicate discontinued features or services before users are trapped by the change</w:t>
      </w:r>
      <w:r/>
    </w:p>
    <w:p>
      <w:pPr>
        <w:pStyle w:val="964"/>
        <w:numPr>
          <w:ilvl w:val="1"/>
          <w:numId w:val="162"/>
        </w:numPr>
        <w:pBdr/>
        <w:spacing/>
        <w:ind/>
        <w:rPr/>
      </w:pPr>
      <w:r>
        <w:t xml:space="preserve">Provide export guidance, migration documentation, and continuity options where feasible</w:t>
      </w:r>
      <w:r/>
    </w:p>
    <w:p>
      <w:pPr>
        <w:pStyle w:val="964"/>
        <w:numPr>
          <w:ilvl w:val="1"/>
          <w:numId w:val="162"/>
        </w:numPr>
        <w:pBdr/>
        <w:spacing/>
        <w:ind/>
        <w:rPr/>
      </w:pPr>
      <w:r>
        <w:t xml:space="preserve">Explain which parts of the system can remain self-hosted, forked, or operated by another provider</w:t>
      </w:r>
      <w:r/>
    </w:p>
    <w:p>
      <w:pPr>
        <w:pStyle w:val="964"/>
        <w:numPr>
          <w:ilvl w:val="1"/>
          <w:numId w:val="162"/>
        </w:numPr>
        <w:pBdr/>
        <w:spacing/>
        <w:ind/>
        <w:rPr/>
      </w:pPr>
      <w:r>
        <w:t xml:space="preserve">Treat source-code availability, release artifacts, database backups, object storage, secrets, and identity-provider configuration as distinct continuity concerns</w:t>
      </w:r>
      <w:r/>
    </w:p>
    <w:p>
      <w:pPr>
        <w:pStyle w:val="964"/>
        <w:numPr>
          <w:ilvl w:val="1"/>
          <w:numId w:val="162"/>
        </w:numPr>
        <w:pBdr/>
        <w:spacing/>
        <w:ind/>
        <w:rPr/>
      </w:pPr>
      <w:r>
        <w:rPr>
          <w:b/>
          <w:bCs/>
        </w:rPr>
        <w:t xml:space="preserve">Anti-example:</w:t>
      </w:r>
      <w:r>
        <w:t xml:space="preserve"> Windows 10 support ending while many users still depend on it, contributing to hardware obsolescence pressure</w:t>
      </w:r>
      <w:r/>
    </w:p>
    <w:p>
      <w:pPr>
        <w:pStyle w:val="963"/>
        <w:pBdr/>
        <w:spacing/>
        <w:ind/>
        <w:rPr/>
      </w:pPr>
      <w:r>
        <w:rPr>
          <w:b/>
          <w:bCs/>
        </w:rPr>
        <w:t xml:space="preserve">Community Support as Maintenance Resilience</w:t>
      </w:r>
      <w:r/>
    </w:p>
    <w:p>
      <w:pPr>
        <w:pStyle w:val="962"/>
        <w:pBdr/>
        <w:spacing/>
        <w:ind/>
        <w:rPr/>
      </w:pPr>
      <w:r>
        <w:t xml:space="preserve">The MonoGame example shows why maintenance is not only an internal staffing question. When a software project becomes trusted infrastructure, downstre</w:t>
      </w:r>
      <w:r>
        <w:t xml:space="preserve">am users and organizations may have an incentive to help keep it alive. Donations from developers or companies that depend on an open-source toolchain are not charity alone; they can also preserve an ecosystem that would be costly or morally risky to lose.</w:t>
      </w:r>
      <w:r/>
    </w:p>
    <w:p>
      <w:pPr>
        <w:pStyle w:val="962"/>
        <w:pBdr/>
        <w:spacing/>
        <w:ind/>
        <w:rPr/>
      </w:pPr>
      <w:r>
        <w:t xml:space="preserve">For ISLAMU, this means maintenance commitments should be designed so that community support is possible. Public issue tracking, transparent roadmaps, documented architecture, contribution pathw</w:t>
      </w:r>
      <w:r>
        <w:t xml:space="preserve">ays, honest funding needs, release notes, backup/restore guidance, and upgrade documentation make it easier for others to evaluate and help. If the project hides its operational model or keeps critical knowledge locked inside one maintainer’s head, the com</w:t>
      </w:r>
      <w:r>
        <w:t xml:space="preserve">munity cannot meaningfully support continuity. Maintenance transparency therefore becomes part of Amanah: the organization is entrusted not only with today’s service, but with making the service responsibly maintainable, transferable, or gracefully sunset.</w:t>
      </w:r>
      <w:r/>
    </w:p>
    <w:p>
      <w:pPr>
        <w:pStyle w:val="964"/>
        <w:numPr>
          <w:ilvl w:val="0"/>
          <w:numId w:val="163"/>
        </w:numPr>
        <w:pBdr/>
        <w:spacing/>
        <w:ind/>
        <w:rPr/>
      </w:pPr>
      <w:r>
        <w:rPr>
          <w:b/>
          <w:bCs/>
        </w:rPr>
        <w:t xml:space="preserve">Community-sustained maintenance signals:</w:t>
      </w:r>
      <w:r/>
    </w:p>
    <w:p>
      <w:pPr>
        <w:pStyle w:val="964"/>
        <w:numPr>
          <w:ilvl w:val="1"/>
          <w:numId w:val="164"/>
        </w:numPr>
        <w:pBdr/>
        <w:spacing/>
        <w:ind/>
        <w:rPr/>
      </w:pPr>
      <w:r>
        <w:t xml:space="preserve">Publish maintenance status, roadmap changes, release notes, and support limitations transparently</w:t>
      </w:r>
      <w:r/>
    </w:p>
    <w:p>
      <w:pPr>
        <w:pStyle w:val="964"/>
        <w:numPr>
          <w:ilvl w:val="1"/>
          <w:numId w:val="164"/>
        </w:numPr>
        <w:pBdr/>
        <w:spacing/>
        <w:ind/>
        <w:rPr/>
      </w:pPr>
      <w:r>
        <w:t xml:space="preserve">Make it possible for community contributors to help maintain open components</w:t>
      </w:r>
      <w:r/>
    </w:p>
    <w:p>
      <w:pPr>
        <w:pStyle w:val="964"/>
        <w:numPr>
          <w:ilvl w:val="1"/>
          <w:numId w:val="164"/>
        </w:numPr>
        <w:pBdr/>
        <w:spacing/>
        <w:ind/>
        <w:rPr/>
      </w:pPr>
      <w:r>
        <w:t xml:space="preserve">Separate unrestricted donations, sponsorship, paid support, and governance influence</w:t>
      </w:r>
      <w:r/>
    </w:p>
    <w:p>
      <w:pPr>
        <w:pStyle w:val="964"/>
        <w:numPr>
          <w:ilvl w:val="1"/>
          <w:numId w:val="164"/>
        </w:numPr>
        <w:pBdr/>
        <w:spacing/>
        <w:ind/>
        <w:rPr/>
      </w:pPr>
      <w:r>
        <w:t xml:space="preserve">Avoid selling influence over user-impacting decisions as a hidden funding mechanism</w:t>
      </w:r>
      <w:r/>
    </w:p>
    <w:p>
      <w:pPr>
        <w:pStyle w:val="964"/>
        <w:numPr>
          <w:ilvl w:val="1"/>
          <w:numId w:val="164"/>
        </w:numPr>
        <w:pBdr/>
        <w:spacing/>
        <w:ind/>
        <w:rPr/>
      </w:pPr>
      <w:r>
        <w:t xml:space="preserve">Treat documentation, operator runbooks, backup/restore practice, and upgrade guidance as part of maintainability</w:t>
      </w:r>
      <w:r/>
    </w:p>
    <w:p>
      <w:pPr>
        <w:pStyle w:val="963"/>
        <w:pBdr/>
        <w:spacing/>
        <w:ind/>
        <w:rPr/>
      </w:pPr>
      <w:r>
        <w:t xml:space="preserve">The MonoGame and Ladybird examples show why maintenance is not only a cost center. Projects that preserve user freedom, communicate honestly, and ma</w:t>
      </w:r>
      <w:r>
        <w:t xml:space="preserve">ke their development visible can sometimes attract help from the people and organizations that depend on them. This is not guaranteed and should not replace sustainable budgeting, maintainer capacity, release discipline, incident review, or support metrics</w:t>
      </w:r>
      <w:r>
        <w:t xml:space="preserve">. It changes the moral meaning of maintenance more modestly: users are not merely customers waiting for a vendor; they may become part of a community that helps preserve beneficial infrastructure when trust has been earned and participation paths are real.</w:t>
      </w:r>
      <w:r/>
    </w:p>
    <w:p>
      <w:pPr>
        <w:pStyle w:val="962"/>
        <w:pBdr/>
        <w:spacing/>
        <w:ind/>
        <w:rPr/>
      </w:pPr>
      <w:r>
        <w:t xml:space="preserve">For ISLAMU Event, support commitments should therefore be paired with public mainten</w:t>
      </w:r>
      <w:r>
        <w:t xml:space="preserve">ance signals: issue triage, release notes, dependency-update policy, security disclosure expectations, sponsor or donation boundaries, backup/restore and upgrade runbooks, and end-of-life planning. Under Amanah, users should not discover project abandonmen</w:t>
      </w:r>
      <w:r>
        <w:t xml:space="preserve">t only when something breaks. They should be able to see whether the service is maintained, what support is actually offered, which operational responsibilities remain theirs when self-hosting, and whether financial support creates inappropriate influence.</w:t>
      </w:r>
      <w:r/>
    </w:p>
    <w:p>
      <w:pPr>
        <w:pBdr/>
        <w:spacing/>
        <w:ind/>
        <w:rPr/>
      </w:pPr>
      <w:r>
        <mc:AlternateContent>
          <mc:Choice Requires="wpg">
            <w:drawing>
              <wp:inline xmlns:wp="http://schemas.openxmlformats.org/drawingml/2006/wordprocessingDrawing" distT="0" distB="0" distL="0" distR="0">
                <wp:extent cx="0" cy="19050"/>
                <wp:effectExtent l="0" t="0" r="0" b="0"/>
                <wp:docPr id="7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7" o:spid="_x0000_s77" o:spt="1" type="#_x0000_t1" style="width:0.00pt;height:1.50pt;mso-wrap-distance-left:0.00pt;mso-wrap-distance-top:0.00pt;mso-wrap-distance-right:0.00pt;mso-wrap-distance-bottom:0.00pt;visibility:visible;" fillcolor="#FFFFFF" strokecolor="#000000"/>
            </w:pict>
          </mc:Fallback>
        </mc:AlternateContent>
      </w:r>
      <w:bookmarkEnd w:id="98"/>
      <w:r/>
    </w:p>
    <w:p>
      <w:pPr>
        <w:pStyle w:val="977"/>
        <w:pBdr/>
        <w:spacing/>
        <w:ind/>
        <w:rPr/>
      </w:pPr>
      <w:r/>
      <w:bookmarkStart w:id="99" w:name="legal-and-compliance-architecture"/>
      <w:r>
        <w:t xml:space="preserve">4.4.9 Legal and Compliance Architecture</w:t>
      </w:r>
      <w:r/>
    </w:p>
    <w:p>
      <w:pPr>
        <w:pStyle w:val="963"/>
        <w:pBdr/>
        <w:spacing/>
        <w:ind/>
        <w:rPr/>
      </w:pPr>
      <w:r>
        <w:rPr>
          <w:b/>
          <w:bCs/>
        </w:rPr>
        <w:t xml:space="preserve">Decision: Compliance Plus Ethics</w:t>
      </w:r>
      <w:r/>
    </w:p>
    <w:p>
      <w:pPr>
        <w:pStyle w:val="962"/>
        <w:pBdr/>
        <w:spacing/>
        <w:ind/>
        <w:rPr/>
      </w:pPr>
      <w:r>
        <w:rPr>
          <w:b/>
          <w:bCs/>
        </w:rPr>
        <w:t xml:space="preserve">I-VSD Framework Application:</w:t>
      </w:r>
      <w:r/>
    </w:p>
    <w:p>
      <w:pPr>
        <w:pStyle w:val="964"/>
        <w:numPr>
          <w:ilvl w:val="0"/>
          <w:numId w:val="165"/>
        </w:numPr>
        <w:pBdr/>
        <w:spacing/>
        <w:ind/>
        <w:rPr/>
      </w:pPr>
      <w:r>
        <w:rPr>
          <w:b/>
          <w:bCs/>
        </w:rPr>
        <w:t xml:space="preserve">Islamic Principles:</w:t>
      </w:r>
      <w:r>
        <w:t xml:space="preserve"> Following laws of the land (as long as they don’t contradict Islam), exceeding minimum requirements</w:t>
      </w:r>
      <w:r/>
    </w:p>
    <w:p>
      <w:pPr>
        <w:pStyle w:val="964"/>
        <w:numPr>
          <w:ilvl w:val="0"/>
          <w:numId w:val="165"/>
        </w:numPr>
        <w:pBdr/>
        <w:spacing/>
        <w:ind/>
        <w:rPr/>
      </w:pPr>
      <w:r>
        <w:rPr>
          <w:b/>
          <w:bCs/>
        </w:rPr>
        <w:t xml:space="preserve">Heuristics Applied:</w:t>
      </w:r>
      <w:r>
        <w:t xml:space="preserve"> Various compliance heuristics</w:t>
      </w:r>
      <w:r/>
    </w:p>
    <w:p>
      <w:pPr>
        <w:pStyle w:val="963"/>
        <w:pBdr/>
        <w:spacing/>
        <w:ind/>
        <w:rPr/>
      </w:pPr>
      <w:r>
        <w:rPr>
          <w:b/>
          <w:bCs/>
        </w:rPr>
        <w:t xml:space="preserve">Implementation:</w:t>
      </w:r>
      <w:r/>
    </w:p>
    <w:p>
      <w:pPr>
        <w:numPr>
          <w:ilvl w:val="0"/>
          <w:numId w:val="166"/>
        </w:numPr>
        <w:pBdr/>
        <w:spacing/>
        <w:ind/>
        <w:rPr/>
      </w:pPr>
      <w:r>
        <w:rPr>
          <w:b/>
          <w:bCs/>
        </w:rPr>
        <w:t xml:space="preserve">GDPR-oriented requirements:</w:t>
      </w:r>
      <w:r/>
    </w:p>
    <w:p>
      <w:pPr>
        <w:pStyle w:val="964"/>
        <w:numPr>
          <w:ilvl w:val="1"/>
          <w:numId w:val="167"/>
        </w:numPr>
        <w:pBdr/>
        <w:spacing/>
        <w:ind/>
        <w:rPr/>
      </w:pPr>
      <w:r>
        <w:t xml:space="preserve">GDPR-oriented data-rights requirements, including access, deletion, portability, transparency, and purpose limitation</w:t>
      </w:r>
      <w:r/>
    </w:p>
    <w:p>
      <w:pPr>
        <w:pStyle w:val="964"/>
        <w:numPr>
          <w:ilvl w:val="1"/>
          <w:numId w:val="167"/>
        </w:numPr>
        <w:pBdr/>
        <w:spacing/>
        <w:ind/>
        <w:rPr/>
      </w:pPr>
      <w:r>
        <w:t xml:space="preserve">Right to access data</w:t>
      </w:r>
      <w:r/>
    </w:p>
    <w:p>
      <w:pPr>
        <w:pStyle w:val="964"/>
        <w:numPr>
          <w:ilvl w:val="1"/>
          <w:numId w:val="167"/>
        </w:numPr>
        <w:pBdr/>
        <w:spacing/>
        <w:ind/>
        <w:rPr/>
      </w:pPr>
      <w:r>
        <w:t xml:space="preserve">Right to deletion</w:t>
      </w:r>
      <w:r/>
    </w:p>
    <w:p>
      <w:pPr>
        <w:pStyle w:val="964"/>
        <w:numPr>
          <w:ilvl w:val="1"/>
          <w:numId w:val="167"/>
        </w:numPr>
        <w:pBdr/>
        <w:spacing/>
        <w:ind/>
        <w:rPr/>
      </w:pPr>
      <w:r>
        <w:t xml:space="preserve">Right to portability</w:t>
      </w:r>
      <w:r/>
    </w:p>
    <w:p>
      <w:pPr>
        <w:pStyle w:val="964"/>
        <w:numPr>
          <w:ilvl w:val="1"/>
          <w:numId w:val="167"/>
        </w:numPr>
        <w:pBdr/>
        <w:spacing/>
        <w:ind/>
        <w:rPr/>
      </w:pPr>
      <w:r>
        <w:t xml:space="preserve">Data processing transparency</w:t>
      </w:r>
      <w:r/>
    </w:p>
    <w:p>
      <w:pPr>
        <w:numPr>
          <w:ilvl w:val="0"/>
          <w:numId w:val="166"/>
        </w:numPr>
        <w:pBdr/>
        <w:spacing/>
        <w:ind/>
        <w:rPr/>
      </w:pPr>
      <w:r>
        <w:rPr>
          <w:b/>
          <w:bCs/>
        </w:rPr>
        <w:t xml:space="preserve">Beyond Legal Requirements:</w:t>
      </w:r>
      <w:r/>
    </w:p>
    <w:p>
      <w:pPr>
        <w:pStyle w:val="964"/>
        <w:numPr>
          <w:ilvl w:val="1"/>
          <w:numId w:val="168"/>
        </w:numPr>
        <w:pBdr/>
        <w:spacing/>
        <w:ind/>
        <w:rPr/>
      </w:pPr>
      <w:r>
        <w:t xml:space="preserve">Islamic ethical requirements may exceed legal minimums</w:t>
      </w:r>
      <w:r/>
    </w:p>
    <w:p>
      <w:pPr>
        <w:pStyle w:val="964"/>
        <w:numPr>
          <w:ilvl w:val="1"/>
          <w:numId w:val="168"/>
        </w:numPr>
        <w:pBdr/>
        <w:spacing/>
        <w:ind/>
        <w:rPr/>
      </w:pPr>
      <w:r>
        <w:t xml:space="preserve">When conflict: Islamic ethics take precedence (within legal boundaries)</w:t>
      </w:r>
      <w:r/>
    </w:p>
    <w:p>
      <w:pPr>
        <w:pStyle w:val="964"/>
        <w:numPr>
          <w:ilvl w:val="1"/>
          <w:numId w:val="168"/>
        </w:numPr>
        <w:pBdr/>
        <w:spacing/>
        <w:ind/>
        <w:rPr/>
      </w:pPr>
      <w:r>
        <w:t xml:space="preserve">Example: Legal to sell user data in some jurisdictions, but haram to betray trust</w:t>
      </w:r>
      <w:r/>
    </w:p>
    <w:p>
      <w:pPr>
        <w:numPr>
          <w:ilvl w:val="0"/>
          <w:numId w:val="166"/>
        </w:numPr>
        <w:pBdr/>
        <w:spacing/>
        <w:ind/>
        <w:rPr/>
      </w:pPr>
      <w:r>
        <w:rPr>
          <w:b/>
          <w:bCs/>
        </w:rPr>
        <w:t xml:space="preserve">Terms of Service:</w:t>
      </w:r>
      <w:r/>
    </w:p>
    <w:p>
      <w:pPr>
        <w:pStyle w:val="964"/>
        <w:numPr>
          <w:ilvl w:val="1"/>
          <w:numId w:val="169"/>
        </w:numPr>
        <w:pBdr/>
        <w:spacing/>
        <w:ind/>
        <w:rPr/>
      </w:pPr>
      <w:r>
        <w:t xml:space="preserve">Plain language terms</w:t>
      </w:r>
      <w:r/>
    </w:p>
    <w:p>
      <w:pPr>
        <w:pStyle w:val="964"/>
        <w:numPr>
          <w:ilvl w:val="1"/>
          <w:numId w:val="169"/>
        </w:numPr>
        <w:pBdr/>
        <w:spacing/>
        <w:ind/>
        <w:rPr/>
      </w:pPr>
      <w:r>
        <w:t xml:space="preserve">Reasonable length (no</w:t>
      </w:r>
      <w:r>
        <w:t xml:space="preserve"> </w:t>
      </w:r>
      <w:r>
        <w:t xml:space="preserve">“thousand line legal documents”</w:t>
      </w:r>
      <w:r>
        <w:t xml:space="preserve">)</w:t>
      </w:r>
      <w:r/>
    </w:p>
    <w:p>
      <w:pPr>
        <w:pStyle w:val="964"/>
        <w:numPr>
          <w:ilvl w:val="1"/>
          <w:numId w:val="169"/>
        </w:numPr>
        <w:pBdr/>
        <w:spacing/>
        <w:ind/>
        <w:rPr/>
      </w:pPr>
      <w:r>
        <w:t xml:space="preserve">Highlight important terms</w:t>
      </w:r>
      <w:r/>
    </w:p>
    <w:p>
      <w:pPr>
        <w:pStyle w:val="964"/>
        <w:numPr>
          <w:ilvl w:val="1"/>
          <w:numId w:val="169"/>
        </w:numPr>
        <w:pBdr/>
        <w:spacing/>
        <w:ind/>
        <w:rPr/>
      </w:pPr>
      <w:r>
        <w:t xml:space="preserve">Changes communicated clearly</w:t>
      </w:r>
      <w:r/>
    </w:p>
    <w:p>
      <w:pPr>
        <w:pStyle w:val="964"/>
        <w:numPr>
          <w:ilvl w:val="1"/>
          <w:numId w:val="169"/>
        </w:numPr>
        <w:pBdr/>
        <w:spacing/>
        <w:ind/>
        <w:rPr/>
      </w:pPr>
      <w:r>
        <w:rPr>
          <w:b/>
          <w:bCs/>
        </w:rPr>
        <w:t xml:space="preserve">Addresses:</w:t>
      </w:r>
      <w:r>
        <w:t xml:space="preserve"> Lack of transparency (Section 2.1.3.19)</w:t>
      </w:r>
      <w:r/>
    </w:p>
    <w:p>
      <w:pPr>
        <w:numPr>
          <w:ilvl w:val="0"/>
          <w:numId w:val="166"/>
        </w:numPr>
        <w:pBdr/>
        <w:spacing/>
        <w:ind/>
        <w:rPr/>
      </w:pPr>
      <w:r>
        <w:rPr>
          <w:b/>
          <w:bCs/>
        </w:rPr>
        <w:t xml:space="preserve">Framework Implementation Support:</w:t>
      </w:r>
      <w:r>
        <w:br/>
      </w:r>
      <w:r>
        <w:t xml:space="preserve">I-VSD compliance support cannot be reduced to static code checks, because many moral questions depend on context, business policy, marketing language, and actual user impact</w:t>
      </w:r>
      <w:r>
        <w:t xml:space="preserve">. ISLAMU can therefore treat compliance support as a layered implementation aid: a practitioner-facing AI-agent skill for local review, a CLI or API workflow for structured moral-compliance checks, and optional consultancy/training for teams that need huma</w:t>
      </w:r>
      <w:r>
        <w:t xml:space="preserve">n judgment. These tools should guide practitioners through the framework, retrieve relevant ISLAMU documentation, and aim to reduce hallucination risk by grounding answers in the moral framework rather than replacing ethical responsibility with automation.</w:t>
      </w:r>
      <w:r/>
    </w:p>
    <w:p>
      <w:pPr>
        <w:pStyle w:val="964"/>
        <w:numPr>
          <w:ilvl w:val="1"/>
          <w:numId w:val="170"/>
        </w:numPr>
        <w:pBdr/>
        <w:spacing/>
        <w:ind/>
        <w:rPr/>
      </w:pPr>
      <w:r>
        <w:rPr>
          <w:b/>
          <w:bCs/>
        </w:rPr>
        <w:t xml:space="preserve">Evidence status:</w:t>
      </w:r>
      <w:r>
        <w:t xml:space="preserve"> future service/tooling strategy and author design reasoning; not legal certification, Sharia certification, market validation, or proof of moral compliance.</w:t>
      </w:r>
      <w:r/>
    </w:p>
    <w:p>
      <w:pPr>
        <w:pStyle w:val="964"/>
        <w:numPr>
          <w:ilvl w:val="1"/>
          <w:numId w:val="170"/>
        </w:numPr>
        <w:pBdr/>
        <w:spacing/>
        <w:ind/>
        <w:rPr/>
      </w:pPr>
      <w:r>
        <w:rPr>
          <w:b/>
          <w:bCs/>
        </w:rPr>
        <w:t xml:space="preserve">Boundary:</w:t>
      </w:r>
      <w:r>
        <w:t xml:space="preserve"> tooling is a support mechanism, not evidence that a product is morally compliant.</w:t>
      </w:r>
      <w:r/>
    </w:p>
    <w:p>
      <w:pPr>
        <w:pBdr/>
        <w:spacing/>
        <w:ind/>
        <w:rPr/>
      </w:pPr>
      <w:r>
        <mc:AlternateContent>
          <mc:Choice Requires="wpg">
            <w:drawing>
              <wp:inline xmlns:wp="http://schemas.openxmlformats.org/drawingml/2006/wordprocessingDrawing" distT="0" distB="0" distL="0" distR="0">
                <wp:extent cx="0" cy="19050"/>
                <wp:effectExtent l="0" t="0" r="0" b="0"/>
                <wp:docPr id="7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8" o:spid="_x0000_s78" o:spt="1" type="#_x0000_t1" style="width:0.00pt;height:1.50pt;mso-wrap-distance-left:0.00pt;mso-wrap-distance-top:0.00pt;mso-wrap-distance-right:0.00pt;mso-wrap-distance-bottom:0.00pt;visibility:visible;" fillcolor="#FFFFFF" strokecolor="#000000"/>
            </w:pict>
          </mc:Fallback>
        </mc:AlternateContent>
      </w:r>
      <w:bookmarkEnd w:id="99"/>
      <w:r/>
    </w:p>
    <w:p>
      <w:pPr>
        <w:pStyle w:val="977"/>
        <w:pBdr/>
        <w:spacing/>
        <w:ind/>
        <w:rPr/>
      </w:pPr>
      <w:r/>
      <w:bookmarkStart w:id="100" w:name="summary-i-vsd-framework-in-action"/>
      <w:r>
        <w:t xml:space="preserve">4.4.10 Summary: I-VSD Framework in Action</w:t>
      </w:r>
      <w:r/>
    </w:p>
    <w:p>
      <w:pPr>
        <w:pStyle w:val="963"/>
        <w:pBdr/>
        <w:spacing/>
        <w:ind/>
        <w:rPr/>
      </w:pPr>
      <w:r>
        <w:t xml:space="preserve">This summary re</w:t>
      </w:r>
      <w:r>
        <w:t xml:space="preserve">cords how the ISLAMU Event case maps I-VSD principles into cross-domain software decisions. The table is an evidence ledger for design reasoning: it distinguishes the ISLAMU Event choice from the strength of the claim that can responsibly be made about it.</w:t>
      </w:r>
      <w:r/>
    </w:p>
    <w:tbl>
      <w:tblPr>
        <w:tblStyle w:val="996"/>
        <w:tblW w:w="5000" w:type="pct"/>
        <w:tblBorders/>
        <w:tblLayout w:type="fixed"/>
        <w:tblLook w:val="0020" w:firstRow="1" w:lastRow="0" w:firstColumn="0" w:lastColumn="0" w:noHBand="0" w:noVBand="0"/>
      </w:tblPr>
      <w:tblGrid>
        <w:gridCol w:w="1584"/>
        <w:gridCol w:w="1584"/>
        <w:gridCol w:w="1584"/>
        <w:gridCol w:w="1584"/>
        <w:gridCol w:w="1584"/>
      </w:tblGrid>
      <w:tr>
        <w:trPr>
          <w:tblHeader/>
        </w:trPr>
        <w:tc>
          <w:tcPr>
            <w:tcBorders/>
          </w:tcPr>
          <w:p>
            <w:pPr>
              <w:pStyle w:val="964"/>
              <w:pBdr/>
              <w:spacing/>
              <w:ind/>
              <w:rPr/>
            </w:pPr>
            <w:r>
              <w:t xml:space="preserve">Decision area</w:t>
            </w:r>
            <w:r/>
          </w:p>
        </w:tc>
        <w:tc>
          <w:tcPr>
            <w:tcBorders/>
          </w:tcPr>
          <w:p>
            <w:pPr>
              <w:pStyle w:val="964"/>
              <w:pBdr/>
              <w:spacing/>
              <w:ind/>
              <w:rPr/>
            </w:pPr>
            <w:r>
              <w:t xml:space="preserve">ISLAMU Event choice</w:t>
            </w:r>
            <w:r/>
          </w:p>
        </w:tc>
        <w:tc>
          <w:tcPr>
            <w:tcBorders/>
          </w:tcPr>
          <w:p>
            <w:pPr>
              <w:pStyle w:val="964"/>
              <w:pBdr/>
              <w:spacing/>
              <w:ind/>
              <w:rPr/>
            </w:pPr>
            <w:r>
              <w:t xml:space="preserve">Main I-VSD principles</w:t>
            </w:r>
            <w:r/>
          </w:p>
        </w:tc>
        <w:tc>
          <w:tcPr>
            <w:tcBorders/>
          </w:tcPr>
          <w:p>
            <w:pPr>
              <w:pStyle w:val="964"/>
              <w:pBdr/>
              <w:spacing/>
              <w:ind/>
              <w:rPr/>
            </w:pPr>
            <w:r>
              <w:t xml:space="preserve">Primary domain(s)</w:t>
            </w:r>
            <w:r/>
          </w:p>
        </w:tc>
        <w:tc>
          <w:tcPr>
            <w:tcBorders/>
          </w:tcPr>
          <w:p>
            <w:pPr>
              <w:pStyle w:val="964"/>
              <w:pBdr/>
              <w:spacing/>
              <w:ind/>
              <w:rPr/>
            </w:pPr>
            <w:r>
              <w:t xml:space="preserve">Responsible claim strength</w:t>
            </w:r>
            <w:r/>
          </w:p>
        </w:tc>
      </w:tr>
      <w:tr>
        <w:trPr/>
        <w:tc>
          <w:tcPr>
            <w:tcBorders/>
          </w:tcPr>
          <w:p>
            <w:pPr>
              <w:pStyle w:val="964"/>
              <w:pBdr/>
              <w:spacing/>
              <w:ind/>
              <w:rPr/>
            </w:pPr>
            <w:r>
              <w:t xml:space="preserve">Organization and funding</w:t>
            </w:r>
            <w:r/>
          </w:p>
        </w:tc>
        <w:tc>
          <w:tcPr>
            <w:tcBorders/>
          </w:tcPr>
          <w:p>
            <w:pPr>
              <w:pStyle w:val="964"/>
              <w:pBdr/>
              <w:spacing/>
              <w:ind/>
              <w:rPr/>
            </w:pPr>
            <w:r>
              <w:t xml:space="preserve">Non-profit orientation, no investor-control model</w:t>
            </w:r>
            <w:r/>
          </w:p>
        </w:tc>
        <w:tc>
          <w:tcPr>
            <w:tcBorders/>
          </w:tcPr>
          <w:p>
            <w:pPr>
              <w:pStyle w:val="964"/>
              <w:pBdr/>
              <w:spacing/>
              <w:ind/>
              <w:rPr/>
            </w:pPr>
            <w:r>
              <w:t xml:space="preserve">Amanah, Adl, avoiding Riba and Gharar</w:t>
            </w:r>
            <w:r/>
          </w:p>
        </w:tc>
        <w:tc>
          <w:tcPr>
            <w:tcBorders/>
          </w:tcPr>
          <w:p>
            <w:pPr>
              <w:pStyle w:val="964"/>
              <w:pBdr/>
              <w:spacing/>
              <w:ind/>
              <w:rPr/>
            </w:pPr>
            <w:r>
              <w:t xml:space="preserve">Strategic, Governance</w:t>
            </w:r>
            <w:r/>
          </w:p>
        </w:tc>
        <w:tc>
          <w:tcPr>
            <w:tcBorders/>
          </w:tcPr>
          <w:p>
            <w:pPr>
              <w:pStyle w:val="964"/>
              <w:pBdr/>
              <w:spacing/>
              <w:ind/>
              <w:rPr/>
            </w:pPr>
            <w:r>
              <w:t xml:space="preserve">Illustrative governance choice; sustainability remains future evaluation.</w:t>
            </w:r>
            <w:r/>
          </w:p>
        </w:tc>
      </w:tr>
      <w:tr>
        <w:trPr/>
        <w:tc>
          <w:tcPr>
            <w:tcBorders/>
          </w:tcPr>
          <w:p>
            <w:pPr>
              <w:pStyle w:val="964"/>
              <w:pBdr/>
              <w:spacing/>
              <w:ind/>
              <w:rPr/>
            </w:pPr>
            <w:r>
              <w:t xml:space="preserve">Software philosophy</w:t>
            </w:r>
            <w:r/>
          </w:p>
        </w:tc>
        <w:tc>
          <w:tcPr>
            <w:tcBorders/>
          </w:tcPr>
          <w:p>
            <w:pPr>
              <w:pStyle w:val="964"/>
              <w:pBdr/>
              <w:spacing/>
              <w:ind/>
              <w:rPr/>
            </w:pPr>
            <w:r>
              <w:t xml:space="preserve">Free/open-source and self-hostable direction</w:t>
            </w:r>
            <w:r/>
          </w:p>
        </w:tc>
        <w:tc>
          <w:tcPr>
            <w:tcBorders/>
          </w:tcPr>
          <w:p>
            <w:pPr>
              <w:pStyle w:val="964"/>
              <w:pBdr/>
              <w:spacing/>
              <w:ind/>
              <w:rPr/>
            </w:pPr>
            <w:r>
              <w:t xml:space="preserve">Amanah, Sidq, Wafa, Huquq al-’Ibad</w:t>
            </w:r>
            <w:r/>
          </w:p>
        </w:tc>
        <w:tc>
          <w:tcPr>
            <w:tcBorders/>
          </w:tcPr>
          <w:p>
            <w:pPr>
              <w:pStyle w:val="964"/>
              <w:pBdr/>
              <w:spacing/>
              <w:ind/>
              <w:rPr/>
            </w:pPr>
            <w:r>
              <w:t xml:space="preserve">Strategic, Technical, Governance</w:t>
            </w:r>
            <w:r/>
          </w:p>
        </w:tc>
        <w:tc>
          <w:tcPr>
            <w:tcBorders/>
          </w:tcPr>
          <w:p>
            <w:pPr>
              <w:pStyle w:val="964"/>
              <w:pBdr/>
              <w:spacing/>
              <w:ind/>
              <w:rPr/>
            </w:pPr>
            <w:r>
              <w:t xml:space="preserve">Design evidence for transparency and portability if implementation/docs support it.</w:t>
            </w:r>
            <w:r/>
          </w:p>
        </w:tc>
      </w:tr>
      <w:tr>
        <w:trPr/>
        <w:tc>
          <w:tcPr>
            <w:tcBorders/>
          </w:tcPr>
          <w:p>
            <w:pPr>
              <w:pStyle w:val="964"/>
              <w:pBdr/>
              <w:spacing/>
              <w:ind/>
              <w:rPr/>
            </w:pPr>
            <w:r>
              <w:t xml:space="preserve">Business model</w:t>
            </w:r>
            <w:r/>
          </w:p>
        </w:tc>
        <w:tc>
          <w:tcPr>
            <w:tcBorders/>
          </w:tcPr>
          <w:p>
            <w:pPr>
              <w:pStyle w:val="964"/>
              <w:pBdr/>
              <w:spacing/>
              <w:ind/>
              <w:rPr/>
            </w:pPr>
            <w:r>
              <w:t xml:space="preserve">Transparent fees, meaningful free use, service-based revenue</w:t>
            </w:r>
            <w:r/>
          </w:p>
        </w:tc>
        <w:tc>
          <w:tcPr>
            <w:tcBorders/>
          </w:tcPr>
          <w:p>
            <w:pPr>
              <w:pStyle w:val="964"/>
              <w:pBdr/>
              <w:spacing/>
              <w:ind/>
              <w:rPr/>
            </w:pPr>
            <w:r>
              <w:t xml:space="preserve">Sidq, Adl, avoiding Ghish and Gharar</w:t>
            </w:r>
            <w:r/>
          </w:p>
        </w:tc>
        <w:tc>
          <w:tcPr>
            <w:tcBorders/>
          </w:tcPr>
          <w:p>
            <w:pPr>
              <w:pStyle w:val="964"/>
              <w:pBdr/>
              <w:spacing/>
              <w:ind/>
              <w:rPr/>
            </w:pPr>
            <w:r>
              <w:t xml:space="preserve">Strategic, Design, Evaluation</w:t>
            </w:r>
            <w:r/>
          </w:p>
        </w:tc>
        <w:tc>
          <w:tcPr>
            <w:tcBorders/>
          </w:tcPr>
          <w:p>
            <w:pPr>
              <w:pStyle w:val="964"/>
              <w:pBdr/>
              <w:spacing/>
              <w:ind/>
              <w:rPr/>
            </w:pPr>
            <w:r>
              <w:t xml:space="preserve">Business design claim; fairness requires review of actual pricing and user understanding.</w:t>
            </w:r>
            <w:r/>
          </w:p>
        </w:tc>
      </w:tr>
      <w:tr>
        <w:trPr/>
        <w:tc>
          <w:tcPr>
            <w:tcBorders/>
          </w:tcPr>
          <w:p>
            <w:pPr>
              <w:pStyle w:val="964"/>
              <w:pBdr/>
              <w:spacing/>
              <w:ind/>
              <w:rPr/>
            </w:pPr>
            <w:r>
              <w:t xml:space="preserve">Data architecture</w:t>
            </w:r>
            <w:r/>
          </w:p>
        </w:tc>
        <w:tc>
          <w:tcPr>
            <w:tcBorders/>
          </w:tcPr>
          <w:p>
            <w:pPr>
              <w:pStyle w:val="964"/>
              <w:pBdr/>
              <w:spacing/>
              <w:ind/>
              <w:rPr/>
            </w:pPr>
            <w:r>
              <w:t xml:space="preserve">Export, deletion, minimization, self-hosting</w:t>
            </w:r>
            <w:r/>
          </w:p>
        </w:tc>
        <w:tc>
          <w:tcPr>
            <w:tcBorders/>
          </w:tcPr>
          <w:p>
            <w:pPr>
              <w:pStyle w:val="964"/>
              <w:pBdr/>
              <w:spacing/>
              <w:ind/>
              <w:rPr/>
            </w:pPr>
            <w:r>
              <w:t xml:space="preserve">Amanah, avoiding Tajassus, La Darar</w:t>
            </w:r>
            <w:r/>
          </w:p>
        </w:tc>
        <w:tc>
          <w:tcPr>
            <w:tcBorders/>
          </w:tcPr>
          <w:p>
            <w:pPr>
              <w:pStyle w:val="964"/>
              <w:pBdr/>
              <w:spacing/>
              <w:ind/>
              <w:rPr/>
            </w:pPr>
            <w:r>
              <w:t xml:space="preserve">Technical, Operational, Governance</w:t>
            </w:r>
            <w:r/>
          </w:p>
        </w:tc>
        <w:tc>
          <w:tcPr>
            <w:tcBorders/>
          </w:tcPr>
          <w:p>
            <w:pPr>
              <w:pStyle w:val="964"/>
              <w:pBdr/>
              <w:spacing/>
              <w:ind/>
              <w:rPr/>
            </w:pPr>
            <w:r>
              <w:t xml:space="preserve">Architecture commitment; privacy outcomes require audit and incident evidence.</w:t>
            </w:r>
            <w:r/>
          </w:p>
        </w:tc>
      </w:tr>
      <w:tr>
        <w:trPr/>
        <w:tc>
          <w:tcPr>
            <w:tcBorders/>
          </w:tcPr>
          <w:p>
            <w:pPr>
              <w:pStyle w:val="964"/>
              <w:pBdr/>
              <w:spacing/>
              <w:ind/>
              <w:rPr/>
            </w:pPr>
            <w:r>
              <w:t xml:space="preserve">Security</w:t>
            </w:r>
            <w:r/>
          </w:p>
        </w:tc>
        <w:tc>
          <w:tcPr>
            <w:tcBorders/>
          </w:tcPr>
          <w:p>
            <w:pPr>
              <w:pStyle w:val="964"/>
              <w:pBdr/>
              <w:spacing/>
              <w:ind/>
              <w:rPr/>
            </w:pPr>
            <w:r>
              <w:t xml:space="preserve">Authentication, authorization, fraud controls, careful permission design</w:t>
            </w:r>
            <w:r/>
          </w:p>
        </w:tc>
        <w:tc>
          <w:tcPr>
            <w:tcBorders/>
          </w:tcPr>
          <w:p>
            <w:pPr>
              <w:pStyle w:val="964"/>
              <w:pBdr/>
              <w:spacing/>
              <w:ind/>
              <w:rPr/>
            </w:pPr>
            <w:r>
              <w:t xml:space="preserve">Amanah, La Darar, Ihsan</w:t>
            </w:r>
            <w:r/>
          </w:p>
        </w:tc>
        <w:tc>
          <w:tcPr>
            <w:tcBorders/>
          </w:tcPr>
          <w:p>
            <w:pPr>
              <w:pStyle w:val="964"/>
              <w:pBdr/>
              <w:spacing/>
              <w:ind/>
              <w:rPr/>
            </w:pPr>
            <w:r>
              <w:t xml:space="preserve">Technical, Operational</w:t>
            </w:r>
            <w:r/>
          </w:p>
        </w:tc>
        <w:tc>
          <w:tcPr>
            <w:tcBorders/>
          </w:tcPr>
          <w:p>
            <w:pPr>
              <w:pStyle w:val="964"/>
              <w:pBdr/>
              <w:spacing/>
              <w:ind/>
              <w:rPr/>
            </w:pPr>
            <w:r>
              <w:t xml:space="preserve">Design rationale; stronger security claims require review and operational evidence.</w:t>
            </w:r>
            <w:r/>
          </w:p>
        </w:tc>
      </w:tr>
      <w:tr>
        <w:trPr/>
        <w:tc>
          <w:tcPr>
            <w:tcBorders/>
          </w:tcPr>
          <w:p>
            <w:pPr>
              <w:pStyle w:val="964"/>
              <w:pBdr/>
              <w:spacing/>
              <w:ind/>
              <w:rPr/>
            </w:pPr>
            <w:r>
              <w:t xml:space="preserve">Moderation</w:t>
            </w:r>
            <w:r/>
          </w:p>
        </w:tc>
        <w:tc>
          <w:tcPr>
            <w:tcBorders/>
          </w:tcPr>
          <w:p>
            <w:pPr>
              <w:pStyle w:val="964"/>
              <w:pBdr/>
              <w:spacing/>
              <w:ind/>
              <w:rPr/>
            </w:pPr>
            <w:r>
              <w:t xml:space="preserve">Islamic scope, reports, verification, escalation</w:t>
            </w:r>
            <w:r/>
          </w:p>
        </w:tc>
        <w:tc>
          <w:tcPr>
            <w:tcBorders/>
          </w:tcPr>
          <w:p>
            <w:pPr>
              <w:pStyle w:val="964"/>
              <w:pBdr/>
              <w:spacing/>
              <w:ind/>
              <w:rPr/>
            </w:pPr>
            <w:r>
              <w:t xml:space="preserve">Haya, Adl, La Darar, Amanah</w:t>
            </w:r>
            <w:r/>
          </w:p>
        </w:tc>
        <w:tc>
          <w:tcPr>
            <w:tcBorders/>
          </w:tcPr>
          <w:p>
            <w:pPr>
              <w:pStyle w:val="964"/>
              <w:pBdr/>
              <w:spacing/>
              <w:ind/>
              <w:rPr/>
            </w:pPr>
            <w:r>
              <w:t xml:space="preserve">Governance, Operational, Design</w:t>
            </w:r>
            <w:r/>
          </w:p>
        </w:tc>
        <w:tc>
          <w:tcPr>
            <w:tcBorders/>
          </w:tcPr>
          <w:p>
            <w:pPr>
              <w:pStyle w:val="964"/>
              <w:pBdr/>
              <w:spacing/>
              <w:ind/>
              <w:rPr/>
            </w:pPr>
            <w:r>
              <w:t xml:space="preserve">Governance design; fairness requires appeals and stakeholder review.</w:t>
            </w:r>
            <w:r/>
          </w:p>
        </w:tc>
      </w:tr>
      <w:tr>
        <w:trPr/>
        <w:tc>
          <w:tcPr>
            <w:tcBorders/>
          </w:tcPr>
          <w:p>
            <w:pPr>
              <w:pStyle w:val="964"/>
              <w:pBdr/>
              <w:spacing/>
              <w:ind/>
              <w:rPr/>
            </w:pPr>
            <w:r>
              <w:t xml:space="preserve">Interface design and accessibility/localization</w:t>
            </w:r>
            <w:r/>
          </w:p>
        </w:tc>
        <w:tc>
          <w:tcPr>
            <w:tcBorders/>
          </w:tcPr>
          <w:p>
            <w:pPr>
              <w:pStyle w:val="964"/>
              <w:pBdr/>
              <w:spacing/>
              <w:ind/>
              <w:rPr/>
            </w:pPr>
            <w:r>
              <w:t xml:space="preserve">No dark patterns, clear status labels, transparent pricing, localization/directionality support, and accessibility-oriented UI conventions</w:t>
            </w:r>
            <w:r/>
          </w:p>
        </w:tc>
        <w:tc>
          <w:tcPr>
            <w:tcBorders/>
          </w:tcPr>
          <w:p>
            <w:pPr>
              <w:pStyle w:val="964"/>
              <w:pBdr/>
              <w:spacing/>
              <w:ind/>
              <w:rPr/>
            </w:pPr>
            <w:r>
              <w:t xml:space="preserve">Sidq, avoiding Ghish, Haya, Ihsan, Adl</w:t>
            </w:r>
            <w:r/>
          </w:p>
        </w:tc>
        <w:tc>
          <w:tcPr>
            <w:tcBorders/>
          </w:tcPr>
          <w:p>
            <w:pPr>
              <w:pStyle w:val="964"/>
              <w:pBdr/>
              <w:spacing/>
              <w:ind/>
              <w:rPr/>
            </w:pPr>
            <w:r>
              <w:t xml:space="preserve">Design, Technical, Evaluation</w:t>
            </w:r>
            <w:r/>
          </w:p>
        </w:tc>
        <w:tc>
          <w:tcPr>
            <w:tcBorders/>
          </w:tcPr>
          <w:p>
            <w:pPr>
              <w:pStyle w:val="964"/>
              <w:pBdr/>
              <w:spacing/>
              <w:ind/>
              <w:rPr/>
            </w:pPr>
            <w:r>
              <w:t xml:space="preserve">Design and implementation-traceability claim; user comprehension, translation quality, assistive-technology usability, and accessibility outcomes require testing and feedback.</w:t>
            </w:r>
            <w:r/>
          </w:p>
        </w:tc>
      </w:tr>
      <w:tr>
        <w:trPr/>
        <w:tc>
          <w:tcPr>
            <w:tcBorders/>
          </w:tcPr>
          <w:p>
            <w:pPr>
              <w:pStyle w:val="964"/>
              <w:pBdr/>
              <w:spacing/>
              <w:ind/>
              <w:rPr/>
            </w:pPr>
            <w:r>
              <w:t xml:space="preserve">Discovery and AI</w:t>
            </w:r>
            <w:r/>
          </w:p>
        </w:tc>
        <w:tc>
          <w:tcPr>
            <w:tcBorders/>
          </w:tcPr>
          <w:p>
            <w:pPr>
              <w:pStyle w:val="964"/>
              <w:pBdr/>
              <w:spacing/>
              <w:ind/>
              <w:rPr/>
            </w:pPr>
            <w:r>
              <w:t xml:space="preserve">Optional recommendations, explainability, future constrained AI use</w:t>
            </w:r>
            <w:r/>
          </w:p>
        </w:tc>
        <w:tc>
          <w:tcPr>
            <w:tcBorders/>
          </w:tcPr>
          <w:p>
            <w:pPr>
              <w:pStyle w:val="964"/>
              <w:pBdr/>
              <w:spacing/>
              <w:ind/>
              <w:rPr/>
            </w:pPr>
            <w:r>
              <w:t xml:space="preserve">Sidq, Adl, La Darar, Amanah</w:t>
            </w:r>
            <w:r/>
          </w:p>
        </w:tc>
        <w:tc>
          <w:tcPr>
            <w:tcBorders/>
          </w:tcPr>
          <w:p>
            <w:pPr>
              <w:pStyle w:val="964"/>
              <w:pBdr/>
              <w:spacing/>
              <w:ind/>
              <w:rPr/>
            </w:pPr>
            <w:r>
              <w:t xml:space="preserve">Technical, Design, Evaluation</w:t>
            </w:r>
            <w:r/>
          </w:p>
        </w:tc>
        <w:tc>
          <w:tcPr>
            <w:tcBorders/>
          </w:tcPr>
          <w:p>
            <w:pPr>
              <w:pStyle w:val="964"/>
              <w:pBdr/>
              <w:spacing/>
              <w:ind/>
              <w:rPr/>
            </w:pPr>
            <w:r>
              <w:t xml:space="preserve">Future design claim; requires audit and user feedback before stronger claims.</w:t>
            </w:r>
            <w:r/>
          </w:p>
        </w:tc>
      </w:tr>
      <w:tr>
        <w:trPr/>
        <w:tc>
          <w:tcPr>
            <w:tcBorders/>
          </w:tcPr>
          <w:p>
            <w:pPr>
              <w:pStyle w:val="964"/>
              <w:pBdr/>
              <w:spacing/>
              <w:ind/>
              <w:rPr/>
            </w:pPr>
            <w:r>
              <w:t xml:space="preserve">Maintenance and support</w:t>
            </w:r>
            <w:r/>
          </w:p>
        </w:tc>
        <w:tc>
          <w:tcPr>
            <w:tcBorders/>
          </w:tcPr>
          <w:p>
            <w:pPr>
              <w:pStyle w:val="964"/>
              <w:pBdr/>
              <w:spacing/>
              <w:ind/>
              <w:rPr/>
            </w:pPr>
            <w:r>
              <w:t xml:space="preserve">Maintenance stewardship, release/upgrade documentation, backup/restore guidance, public issue paths, and continuity planning</w:t>
            </w:r>
            <w:r/>
          </w:p>
        </w:tc>
        <w:tc>
          <w:tcPr>
            <w:tcBorders/>
          </w:tcPr>
          <w:p>
            <w:pPr>
              <w:pStyle w:val="964"/>
              <w:pBdr/>
              <w:spacing/>
              <w:ind/>
              <w:rPr/>
            </w:pPr>
            <w:r>
              <w:t xml:space="preserve">Amanah, Wafa, Ihsan</w:t>
            </w:r>
            <w:r/>
          </w:p>
        </w:tc>
        <w:tc>
          <w:tcPr>
            <w:tcBorders/>
          </w:tcPr>
          <w:p>
            <w:pPr>
              <w:pStyle w:val="964"/>
              <w:pBdr/>
              <w:spacing/>
              <w:ind/>
              <w:rPr/>
            </w:pPr>
            <w:r>
              <w:t xml:space="preserve">Operational, Governance</w:t>
            </w:r>
            <w:r/>
          </w:p>
        </w:tc>
        <w:tc>
          <w:tcPr>
            <w:tcBorders/>
          </w:tcPr>
          <w:p>
            <w:pPr>
              <w:pStyle w:val="964"/>
              <w:pBdr/>
              <w:spacing/>
              <w:ind/>
              <w:rPr/>
            </w:pPr>
            <w:r>
              <w:t xml:space="preserve">Operational design claim; continuity requires funding, maintainer capacity, support metrics, incident review, and maintenance evidence.</w:t>
            </w:r>
            <w:r/>
          </w:p>
        </w:tc>
      </w:tr>
      <w:tr>
        <w:trPr/>
        <w:tc>
          <w:tcPr>
            <w:tcBorders/>
          </w:tcPr>
          <w:p>
            <w:pPr>
              <w:pStyle w:val="964"/>
              <w:pBdr/>
              <w:spacing/>
              <w:ind/>
              <w:rPr/>
            </w:pPr>
            <w:r>
              <w:t xml:space="preserve">Observability and testing</w:t>
            </w:r>
            <w:r/>
          </w:p>
        </w:tc>
        <w:tc>
          <w:tcPr>
            <w:tcBorders/>
          </w:tcPr>
          <w:p>
            <w:pPr>
              <w:pStyle w:val="964"/>
              <w:pBdr/>
              <w:spacing/>
              <w:ind/>
              <w:rPr/>
            </w:pPr>
            <w:r>
              <w:t xml:space="preserve">Structured logging, OpenTelemetry/Prometheus-oriented metrics, health/readiness endpoints, CI workflows, architecture tests, integration tests, component tests, and E2E-oriented lanes</w:t>
            </w:r>
            <w:r/>
          </w:p>
        </w:tc>
        <w:tc>
          <w:tcPr>
            <w:tcBorders/>
          </w:tcPr>
          <w:p>
            <w:pPr>
              <w:pStyle w:val="964"/>
              <w:pBdr/>
              <w:spacing/>
              <w:ind/>
              <w:rPr/>
            </w:pPr>
            <w:r>
              <w:t xml:space="preserve">Amanah, Ihsan, La Darar, Sidq</w:t>
            </w:r>
            <w:r/>
          </w:p>
        </w:tc>
        <w:tc>
          <w:tcPr>
            <w:tcBorders/>
          </w:tcPr>
          <w:p>
            <w:pPr>
              <w:pStyle w:val="964"/>
              <w:pBdr/>
              <w:spacing/>
              <w:ind/>
              <w:rPr/>
            </w:pPr>
            <w:r>
              <w:t xml:space="preserve">Technical, Operational, Evaluation</w:t>
            </w:r>
            <w:r/>
          </w:p>
        </w:tc>
        <w:tc>
          <w:tcPr>
            <w:tcBorders/>
          </w:tcPr>
          <w:p>
            <w:pPr>
              <w:pStyle w:val="964"/>
              <w:pBdr/>
              <w:spacing/>
              <w:ind/>
              <w:rPr/>
            </w:pPr>
            <w:r>
              <w:t xml:space="preserve">Readiness and implementation-discipline evidence; operational maturity requires production telemetry review, incident analysis, audit evidence, support metrics, and stakeholder feedback.</w:t>
            </w:r>
            <w:r/>
          </w:p>
        </w:tc>
      </w:tr>
      <w:tr>
        <w:trPr/>
        <w:tc>
          <w:tcPr>
            <w:tcBorders/>
          </w:tcPr>
          <w:p>
            <w:pPr>
              <w:pStyle w:val="964"/>
              <w:pBdr/>
              <w:spacing/>
              <w:ind/>
              <w:rPr/>
            </w:pPr>
            <w:r>
              <w:t xml:space="preserve">Legal and compliance support</w:t>
            </w:r>
            <w:r/>
          </w:p>
        </w:tc>
        <w:tc>
          <w:tcPr>
            <w:tcBorders/>
          </w:tcPr>
          <w:p>
            <w:pPr>
              <w:pStyle w:val="964"/>
              <w:pBdr/>
              <w:spacing/>
              <w:ind/>
              <w:rPr/>
            </w:pPr>
            <w:r>
              <w:t xml:space="preserve">Compliance treated as floor plus ethical review support</w:t>
            </w:r>
            <w:r/>
          </w:p>
        </w:tc>
        <w:tc>
          <w:tcPr>
            <w:tcBorders/>
          </w:tcPr>
          <w:p>
            <w:pPr>
              <w:pStyle w:val="964"/>
              <w:pBdr/>
              <w:spacing/>
              <w:ind/>
              <w:rPr/>
            </w:pPr>
            <w:r>
              <w:t xml:space="preserve">Amanah, Adl, Wafa</w:t>
            </w:r>
            <w:r/>
          </w:p>
        </w:tc>
        <w:tc>
          <w:tcPr>
            <w:tcBorders/>
          </w:tcPr>
          <w:p>
            <w:pPr>
              <w:pStyle w:val="964"/>
              <w:pBdr/>
              <w:spacing/>
              <w:ind/>
              <w:rPr/>
            </w:pPr>
            <w:r>
              <w:t xml:space="preserve">Governance, Evaluation</w:t>
            </w:r>
            <w:r/>
          </w:p>
        </w:tc>
        <w:tc>
          <w:tcPr>
            <w:tcBorders/>
          </w:tcPr>
          <w:p>
            <w:pPr>
              <w:pStyle w:val="964"/>
              <w:pBdr/>
              <w:spacing/>
              <w:ind/>
              <w:rPr/>
            </w:pPr>
            <w:r>
              <w:t xml:space="preserve">Support mechanism, not evidence of moral compliance.</w:t>
            </w:r>
            <w:r/>
          </w:p>
        </w:tc>
      </w:tr>
    </w:tbl>
    <w:p>
      <w:pPr>
        <w:pStyle w:val="962"/>
        <w:pBdr/>
        <w:spacing/>
        <w:ind/>
        <w:rPr/>
      </w:pPr>
      <w:r>
        <w:t xml:space="preserve">The ISLAMU Event case therefore contributes a worked application of</w:t>
      </w:r>
      <w:r>
        <w:t xml:space="preserve"> the I-VSD framework. It shows how the framework can ask sharper provider questions and organize design tradeoffs, but it does not by itself establish that the platform will be trusted, sustainable, accessible, secure, or ethically successful in operation.</w:t>
      </w:r>
      <w:r/>
    </w:p>
    <w:p>
      <w:pPr>
        <w:pBdr/>
        <w:spacing/>
        <w:ind/>
        <w:rPr/>
      </w:pPr>
      <w:r>
        <mc:AlternateContent>
          <mc:Choice Requires="wpg">
            <w:drawing>
              <wp:inline xmlns:wp="http://schemas.openxmlformats.org/drawingml/2006/wordprocessingDrawing" distT="0" distB="0" distL="0" distR="0">
                <wp:extent cx="0" cy="19050"/>
                <wp:effectExtent l="0" t="0" r="0" b="0"/>
                <wp:docPr id="8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9" o:spid="_x0000_s79" o:spt="1" type="#_x0000_t1" style="width:0.00pt;height:1.50pt;mso-wrap-distance-left:0.00pt;mso-wrap-distance-top:0.00pt;mso-wrap-distance-right:0.00pt;mso-wrap-distance-bottom:0.00pt;visibility:visible;" fillcolor="#FFFFFF" strokecolor="#000000"/>
            </w:pict>
          </mc:Fallback>
        </mc:AlternateContent>
      </w:r>
      <w:bookmarkEnd w:id="100"/>
      <w:bookmarkEnd w:id="101"/>
      <w:bookmarkEnd w:id="102"/>
      <w:r/>
    </w:p>
    <w:p>
      <w:pPr>
        <w:pStyle w:val="975"/>
        <w:pBdr/>
        <w:spacing/>
        <w:ind/>
        <w:rPr/>
      </w:pPr>
      <w:r/>
      <w:bookmarkStart w:id="153" w:name="discussion-and-analysis"/>
      <w:r>
        <w:t xml:space="preserve">5. Discussion and Analysis</w:t>
      </w:r>
      <w:r/>
    </w:p>
    <w:p>
      <w:pPr>
        <w:pStyle w:val="963"/>
        <w:pBdr/>
        <w:spacing/>
        <w:ind/>
        <w:rPr/>
      </w:pPr>
      <w:r>
        <w:t xml:space="preserve">This chapter interprets what the constructed I-VSD framework and the ISLAMU Event worked application show, what they do not show, and what future evaluatio</w:t>
      </w:r>
      <w:r>
        <w:t xml:space="preserve">n would need to examine. It distinguishes conceptual and design claims from empirical outcome claims, so the case study is treated as an illustrative application rather than a completed test of the framework across all provider-mediated software solutions.</w:t>
      </w:r>
      <w:r/>
    </w:p>
    <w:p>
      <w:pPr>
        <w:pBdr/>
        <w:spacing/>
        <w:ind/>
        <w:rPr/>
      </w:pPr>
      <w:r>
        <mc:AlternateContent>
          <mc:Choice Requires="wpg">
            <w:drawing>
              <wp:inline xmlns:wp="http://schemas.openxmlformats.org/drawingml/2006/wordprocessingDrawing" distT="0" distB="0" distL="0" distR="0">
                <wp:extent cx="0" cy="19050"/>
                <wp:effectExtent l="0" t="0" r="0" b="0"/>
                <wp:docPr id="8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0" o:spid="_x0000_s80"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107" w:name="X403ead69b466714c6729987ace6d57203909816"/>
      <w:r>
        <w:t xml:space="preserve">5.1 Interpreting Framework Contribution and Case Evidence</w:t>
      </w:r>
      <w:r/>
    </w:p>
    <w:p>
      <w:pPr>
        <w:pStyle w:val="963"/>
        <w:pBdr/>
        <w:spacing/>
        <w:ind/>
        <w:rPr/>
      </w:pPr>
      <w:r>
        <w:t xml:space="preserve">This section assesses the I-VSD framework at the correct evidence level. The thesis can argue that the framework is conceptually coherent, that it trans</w:t>
      </w:r>
      <w:r>
        <w:t xml:space="preserve">lates selected Islamic principles into software-design heuristics, and that the ISLAMU Event case provides a worked application. Because the case is self-applied by Amir as founder of ISLAMU and solo developer of ISLAMU Event, it is interpreted as implemen</w:t>
      </w:r>
      <w:r>
        <w:t xml:space="preserve">tation-traceability and design-reasoning evidence rather than independent effectiveness evaluation. It cannot claim broad empirical outcome evidence without additional independent cases, stakeholder research, audits, deployment data, or longitudinal study.</w:t>
      </w:r>
      <w:r/>
    </w:p>
    <w:p>
      <w:pPr>
        <w:pBdr/>
        <w:spacing/>
        <w:ind/>
        <w:rPr/>
      </w:pPr>
      <w:r>
        <mc:AlternateContent>
          <mc:Choice Requires="wpg">
            <w:drawing>
              <wp:inline xmlns:wp="http://schemas.openxmlformats.org/drawingml/2006/wordprocessingDrawing" distT="0" distB="0" distL="0" distR="0">
                <wp:extent cx="0" cy="19050"/>
                <wp:effectExtent l="0" t="0" r="0" b="0"/>
                <wp:docPr id="8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1" o:spid="_x0000_s81"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03" w:name="strengths-of-the-i-vsd-framework"/>
      <w:r>
        <w:t xml:space="preserve">5.1.1 Strengths of the I-VSD Framework</w:t>
      </w:r>
      <w:r/>
    </w:p>
    <w:p>
      <w:pPr>
        <w:pStyle w:val="963"/>
        <w:pBdr/>
        <w:spacing/>
        <w:ind/>
        <w:rPr/>
      </w:pPr>
      <w:r>
        <w:rPr>
          <w:b/>
          <w:bCs/>
        </w:rPr>
        <w:t xml:space="preserve">Comprehensive Ethical Coverage:</w:t>
      </w:r>
      <w:r>
        <w:br/>
      </w:r>
      <w:r>
        <w:t xml:space="preserve">The framework addresses ethical considerations across all phases of software development, from strategic decisions to implementation details. By grounding each decision in Islamic principles, it provides consistent guidance.</w:t>
      </w:r>
      <w:r/>
    </w:p>
    <w:p>
      <w:pPr>
        <w:pStyle w:val="962"/>
        <w:pBdr/>
        <w:spacing/>
        <w:ind/>
        <w:rPr/>
      </w:pPr>
      <w:r>
        <w:rPr>
          <w:b/>
          <w:bCs/>
        </w:rPr>
        <w:t xml:space="preserve">Practical Actionability:</w:t>
      </w:r>
      <w:r>
        <w:br/>
      </w:r>
      <w:r>
        <w:t xml:space="preserve">Unlike purely philosophical approaches, I-VSD translates abstract principles into concrete heuristics that developers and business leaders can immediately apply.</w:t>
      </w:r>
      <w:r/>
    </w:p>
    <w:p>
      <w:pPr>
        <w:pStyle w:val="962"/>
        <w:pBdr/>
        <w:spacing/>
        <w:ind/>
        <w:rPr/>
      </w:pPr>
      <w:r>
        <w:rPr>
          <w:b/>
          <w:bCs/>
        </w:rPr>
        <w:t xml:space="preserve">Cultural Alignment:</w:t>
      </w:r>
      <w:r>
        <w:br/>
      </w:r>
      <w:r>
        <w:t xml:space="preserve">For Muslim developers and organizations, the framework provides guidance that aligns with their values, removing the cognitive dissonance between professional work and personal faith.</w:t>
      </w:r>
      <w:r/>
    </w:p>
    <w:p>
      <w:pPr>
        <w:pStyle w:val="962"/>
        <w:pBdr/>
        <w:spacing/>
        <w:ind/>
        <w:rPr/>
      </w:pPr>
      <w:r>
        <w:rPr>
          <w:b/>
          <w:bCs/>
        </w:rPr>
        <w:t xml:space="preserve">Preventive Approach:</w:t>
      </w:r>
      <w:r>
        <w:br/>
      </w:r>
      <w:r>
        <w:t xml:space="preserve">By identifying industry anti-patterns and providing Islamic alternatives, the framework helps prevent ethical violations before they occur.</w:t>
      </w:r>
      <w:r/>
    </w:p>
    <w:p>
      <w:pPr>
        <w:pStyle w:val="962"/>
        <w:pBdr/>
        <w:spacing/>
        <w:ind/>
        <w:rPr/>
      </w:pPr>
      <w:r>
        <w:rPr>
          <w:b/>
          <w:bCs/>
        </w:rPr>
        <w:t xml:space="preserve">Holistic Scope:</w:t>
      </w:r>
      <w:r>
        <w:br/>
      </w:r>
      <w:r>
        <w:t xml:space="preserve">The framework addresses not just technical concerns but also business models, marketing, partnerships, and organizational structure.</w:t>
      </w:r>
      <w:r/>
    </w:p>
    <w:p>
      <w:pPr>
        <w:pBdr/>
        <w:spacing/>
        <w:ind/>
        <w:rPr/>
      </w:pPr>
      <w:r>
        <mc:AlternateContent>
          <mc:Choice Requires="wpg">
            <w:drawing>
              <wp:inline xmlns:wp="http://schemas.openxmlformats.org/drawingml/2006/wordprocessingDrawing" distT="0" distB="0" distL="0" distR="0">
                <wp:extent cx="0" cy="19050"/>
                <wp:effectExtent l="0" t="0" r="0" b="0"/>
                <wp:docPr id="8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2" o:spid="_x0000_s82" o:spt="1" type="#_x0000_t1" style="width:0.00pt;height:1.50pt;mso-wrap-distance-left:0.00pt;mso-wrap-distance-top:0.00pt;mso-wrap-distance-right:0.00pt;mso-wrap-distance-bottom:0.00pt;visibility:visible;" fillcolor="#FFFFFF" strokecolor="#000000"/>
            </w:pict>
          </mc:Fallback>
        </mc:AlternateContent>
      </w:r>
      <w:bookmarkEnd w:id="103"/>
      <w:r/>
    </w:p>
    <w:p>
      <w:pPr>
        <w:pStyle w:val="977"/>
        <w:pBdr/>
        <w:spacing/>
        <w:ind/>
        <w:rPr/>
      </w:pPr>
      <w:r/>
      <w:bookmarkStart w:id="104" w:name="X5e4cc9ea51e08a9d8358c2678dfb52b26fc9177"/>
      <w:r>
        <w:t xml:space="preserve">5.1.2 Implementation-Traceability Evidence from ISLAMU Event</w:t>
      </w:r>
      <w:r/>
    </w:p>
    <w:p>
      <w:pPr>
        <w:pStyle w:val="963"/>
        <w:pBdr/>
        <w:spacing/>
        <w:ind/>
        <w:rPr/>
      </w:pPr>
      <w:r>
        <w:t xml:space="preserve">The ISLAMU Event case provides implementation-traceability evidence that I-VSD can structure ethical design reasoning in one provider-mediated soft</w:t>
      </w:r>
      <w:r>
        <w:t xml:space="preserve">ware context. The evidence is strongest where current repository, documentation, and design artifacts make decisions traceable across curation, authorization, privacy, governance, accessibility, operations, and stewardship. Because the case is self-applied</w:t>
      </w:r>
      <w:r>
        <w:t xml:space="preserve"> by the founder and solo developer, it does not establish broad empirical outcome claims about user trust, long-term sustainability, harm reduction, accessibility success, security effectiveness, or general framework utility across all software categories.</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Case evidence area</w:t>
            </w:r>
            <w:r/>
          </w:p>
        </w:tc>
        <w:tc>
          <w:tcPr>
            <w:tcBorders/>
          </w:tcPr>
          <w:p>
            <w:pPr>
              <w:pStyle w:val="964"/>
              <w:pBdr/>
              <w:spacing/>
              <w:ind/>
              <w:rPr/>
            </w:pPr>
            <w:r>
              <w:t xml:space="preserve">What current Event evidence makes traceable</w:t>
            </w:r>
            <w:r/>
          </w:p>
        </w:tc>
        <w:tc>
          <w:tcPr>
            <w:tcBorders/>
          </w:tcPr>
          <w:p>
            <w:pPr>
              <w:pStyle w:val="964"/>
              <w:pBdr/>
              <w:spacing/>
              <w:ind/>
              <w:rPr/>
            </w:pPr>
            <w:r>
              <w:t xml:space="preserve">Claim strength</w:t>
            </w:r>
            <w:r/>
          </w:p>
        </w:tc>
        <w:tc>
          <w:tcPr>
            <w:tcBorders/>
          </w:tcPr>
          <w:p>
            <w:pPr>
              <w:pStyle w:val="964"/>
              <w:pBdr/>
              <w:spacing/>
              <w:ind/>
              <w:rPr/>
            </w:pPr>
            <w:r>
              <w:t xml:space="preserve">Further evidence needed</w:t>
            </w:r>
            <w:r/>
          </w:p>
        </w:tc>
      </w:tr>
      <w:tr>
        <w:trPr/>
        <w:tc>
          <w:tcPr>
            <w:tcBorders/>
          </w:tcPr>
          <w:p>
            <w:pPr>
              <w:pStyle w:val="964"/>
              <w:pBdr/>
              <w:spacing/>
              <w:ind/>
              <w:rPr/>
            </w:pPr>
            <w:r>
              <w:t xml:space="preserve">Decision clarity</w:t>
            </w:r>
            <w:r/>
          </w:p>
        </w:tc>
        <w:tc>
          <w:tcPr>
            <w:tcBorders/>
          </w:tcPr>
          <w:p>
            <w:pPr>
              <w:pStyle w:val="964"/>
              <w:pBdr/>
              <w:spacing/>
              <w:ind/>
              <w:rPr/>
            </w:pPr>
            <w:r>
              <w:t xml:space="preserve">I-VSD gives a vocabulary for comparing funding, curation, moderation, privacy, payments, federation, and platform-governance choices.</w:t>
            </w:r>
            <w:r/>
          </w:p>
        </w:tc>
        <w:tc>
          <w:tcPr>
            <w:tcBorders/>
          </w:tcPr>
          <w:p>
            <w:pPr>
              <w:pStyle w:val="964"/>
              <w:pBdr/>
              <w:spacing/>
              <w:ind/>
              <w:rPr/>
            </w:pPr>
            <w:r>
              <w:t xml:space="preserve">Design claim</w:t>
            </w:r>
            <w:r/>
          </w:p>
        </w:tc>
        <w:tc>
          <w:tcPr>
            <w:tcBorders/>
          </w:tcPr>
          <w:p>
            <w:pPr>
              <w:pStyle w:val="964"/>
              <w:pBdr/>
              <w:spacing/>
              <w:ind/>
              <w:rPr/>
            </w:pPr>
            <w:r>
              <w:t xml:space="preserve">Practitioner review and comparison with alternative decision methods.</w:t>
            </w:r>
            <w:r/>
          </w:p>
        </w:tc>
      </w:tr>
      <w:tr>
        <w:trPr/>
        <w:tc>
          <w:tcPr>
            <w:tcBorders/>
          </w:tcPr>
          <w:p>
            <w:pPr>
              <w:pStyle w:val="964"/>
              <w:pBdr/>
              <w:spacing/>
              <w:ind/>
              <w:rPr/>
            </w:pPr>
            <w:r>
              <w:t xml:space="preserve">Cross-domain consistency</w:t>
            </w:r>
            <w:r/>
          </w:p>
        </w:tc>
        <w:tc>
          <w:tcPr>
            <w:tcBorders/>
          </w:tcPr>
          <w:p>
            <w:pPr>
              <w:pStyle w:val="964"/>
              <w:pBdr/>
              <w:spacing/>
              <w:ind/>
              <w:rPr/>
            </w:pPr>
            <w:r>
              <w:t xml:space="preserve">The same principles can be traced across strategic, design, technical, operational, governance, and evaluation domains in a current pre-1.0 implementation context.</w:t>
            </w:r>
            <w:r/>
          </w:p>
        </w:tc>
        <w:tc>
          <w:tcPr>
            <w:tcBorders/>
          </w:tcPr>
          <w:p>
            <w:pPr>
              <w:pStyle w:val="964"/>
              <w:pBdr/>
              <w:spacing/>
              <w:ind/>
              <w:rPr/>
            </w:pPr>
            <w:r>
              <w:t xml:space="preserve">Implementation-traceability claim</w:t>
            </w:r>
            <w:r/>
          </w:p>
        </w:tc>
        <w:tc>
          <w:tcPr>
            <w:tcBorders/>
          </w:tcPr>
          <w:p>
            <w:pPr>
              <w:pStyle w:val="964"/>
              <w:pBdr/>
              <w:spacing/>
              <w:ind/>
              <w:rPr/>
            </w:pPr>
            <w:r>
              <w:t xml:space="preserve">Independent application by another team or project.</w:t>
            </w:r>
            <w:r/>
          </w:p>
        </w:tc>
      </w:tr>
      <w:tr>
        <w:trPr/>
        <w:tc>
          <w:tcPr>
            <w:tcBorders/>
          </w:tcPr>
          <w:p>
            <w:pPr>
              <w:pStyle w:val="964"/>
              <w:pBdr/>
              <w:spacing/>
              <w:ind/>
              <w:rPr/>
            </w:pPr>
            <w:r>
              <w:t xml:space="preserve">Difference from common anti-patterns</w:t>
            </w:r>
            <w:r/>
          </w:p>
        </w:tc>
        <w:tc>
          <w:tcPr>
            <w:tcBorders/>
          </w:tcPr>
          <w:p>
            <w:pPr>
              <w:pStyle w:val="964"/>
              <w:pBdr/>
              <w:spacing/>
              <w:ind/>
              <w:rPr/>
            </w:pPr>
            <w:r>
              <w:t xml:space="preserve">Event choices can be compared against the representative harm typology from Chapter 2 without claiming that the harms have been empirically reduced.</w:t>
            </w:r>
            <w:r/>
          </w:p>
        </w:tc>
        <w:tc>
          <w:tcPr>
            <w:tcBorders/>
          </w:tcPr>
          <w:p>
            <w:pPr>
              <w:pStyle w:val="964"/>
              <w:pBdr/>
              <w:spacing/>
              <w:ind/>
              <w:rPr/>
            </w:pPr>
            <w:r>
              <w:t xml:space="preserve">Illustrative/design claim</w:t>
            </w:r>
            <w:r/>
          </w:p>
        </w:tc>
        <w:tc>
          <w:tcPr>
            <w:tcBorders/>
          </w:tcPr>
          <w:p>
            <w:pPr>
              <w:pStyle w:val="964"/>
              <w:pBdr/>
              <w:spacing/>
              <w:ind/>
              <w:rPr/>
            </w:pPr>
            <w:r>
              <w:t xml:space="preserve">External audit of implemented features and policies.</w:t>
            </w:r>
            <w:r/>
          </w:p>
        </w:tc>
      </w:tr>
      <w:tr>
        <w:trPr/>
        <w:tc>
          <w:tcPr>
            <w:tcBorders/>
          </w:tcPr>
          <w:p>
            <w:pPr>
              <w:pStyle w:val="964"/>
              <w:pBdr/>
              <w:spacing/>
              <w:ind/>
              <w:rPr/>
            </w:pPr>
            <w:r>
              <w:t xml:space="preserve">Stakeholder and governance alignment</w:t>
            </w:r>
            <w:r/>
          </w:p>
        </w:tc>
        <w:tc>
          <w:tcPr>
            <w:tcBorders/>
          </w:tcPr>
          <w:p>
            <w:pPr>
              <w:pStyle w:val="964"/>
              <w:pBdr/>
              <w:spacing/>
              <w:ind/>
              <w:rPr/>
            </w:pPr>
            <w:r>
              <w:t xml:space="preserve">The framework can document what the provider owes to users, organizers, community members, maintainers, and affected communities.</w:t>
            </w:r>
            <w:r/>
          </w:p>
        </w:tc>
        <w:tc>
          <w:tcPr>
            <w:tcBorders/>
          </w:tcPr>
          <w:p>
            <w:pPr>
              <w:pStyle w:val="964"/>
              <w:pBdr/>
              <w:spacing/>
              <w:ind/>
              <w:rPr/>
            </w:pPr>
            <w:r>
              <w:t xml:space="preserve">Conceptual/design claim</w:t>
            </w:r>
            <w:r/>
          </w:p>
        </w:tc>
        <w:tc>
          <w:tcPr>
            <w:tcBorders/>
          </w:tcPr>
          <w:p>
            <w:pPr>
              <w:pStyle w:val="964"/>
              <w:pBdr/>
              <w:spacing/>
              <w:ind/>
              <w:rPr/>
            </w:pPr>
            <w:r>
              <w:t xml:space="preserve">Stakeholder interviews or participatory evaluation.</w:t>
            </w:r>
            <w:r/>
          </w:p>
        </w:tc>
      </w:tr>
      <w:tr>
        <w:trPr/>
        <w:tc>
          <w:tcPr>
            <w:tcBorders/>
          </w:tcPr>
          <w:p>
            <w:pPr>
              <w:pStyle w:val="964"/>
              <w:pBdr/>
              <w:spacing/>
              <w:ind/>
              <w:rPr/>
            </w:pPr>
            <w:r>
              <w:t xml:space="preserve">Long-term stewardship</w:t>
            </w:r>
            <w:r/>
          </w:p>
        </w:tc>
        <w:tc>
          <w:tcPr>
            <w:tcBorders/>
          </w:tcPr>
          <w:p>
            <w:pPr>
              <w:pStyle w:val="964"/>
              <w:pBdr/>
              <w:spacing/>
              <w:ind/>
              <w:rPr/>
            </w:pPr>
            <w:r>
              <w:t xml:space="preserve">Event design choices and repository evidence document stewardship-oriented architecture, maintenance signals, portability, and non-extractive incentives.</w:t>
            </w:r>
            <w:r/>
          </w:p>
        </w:tc>
        <w:tc>
          <w:tcPr>
            <w:tcBorders/>
          </w:tcPr>
          <w:p>
            <w:pPr>
              <w:pStyle w:val="964"/>
              <w:pBdr/>
              <w:spacing/>
              <w:ind/>
              <w:rPr/>
            </w:pPr>
            <w:r>
              <w:t xml:space="preserve">Implementation-traceability and future-evaluation claim</w:t>
            </w:r>
            <w:r/>
          </w:p>
        </w:tc>
        <w:tc>
          <w:tcPr>
            <w:tcBorders/>
          </w:tcPr>
          <w:p>
            <w:pPr>
              <w:pStyle w:val="964"/>
              <w:pBdr/>
              <w:spacing/>
              <w:ind/>
              <w:rPr/>
            </w:pPr>
            <w:r>
              <w:t xml:space="preserve">Operational evidence over time.</w:t>
            </w:r>
            <w:r/>
          </w:p>
        </w:tc>
      </w:tr>
    </w:tbl>
    <w:p>
      <w:pPr>
        <w:pStyle w:val="962"/>
        <w:pBdr/>
        <w:spacing/>
        <w:ind/>
        <w:rPr/>
      </w:pPr>
      <w:r>
        <w:t xml:space="preserve">The strongest conclusion is therefore modest but useful: the case shows how I-VSD organizes design reasoning, makes implement</w:t>
      </w:r>
      <w:r>
        <w:t xml:space="preserve">ation choices inspectable, and exposes tradeoffs. It should not be presented as evidence that the framework has already succeeded in practice or that ISLAMU Event has achieved its intended social, security, accessibility, trust, or sustainability outcomes.</w:t>
      </w:r>
      <w:r/>
    </w:p>
    <w:p>
      <w:pPr>
        <w:pBdr/>
        <w:spacing/>
        <w:ind/>
        <w:rPr/>
      </w:pPr>
      <w:r>
        <mc:AlternateContent>
          <mc:Choice Requires="wpg">
            <w:drawing>
              <wp:inline xmlns:wp="http://schemas.openxmlformats.org/drawingml/2006/wordprocessingDrawing" distT="0" distB="0" distL="0" distR="0">
                <wp:extent cx="0" cy="19050"/>
                <wp:effectExtent l="0" t="0" r="0" b="0"/>
                <wp:docPr id="8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3" o:spid="_x0000_s83" o:spt="1" type="#_x0000_t1" style="width:0.00pt;height:1.50pt;mso-wrap-distance-left:0.00pt;mso-wrap-distance-top:0.00pt;mso-wrap-distance-right:0.00pt;mso-wrap-distance-bottom:0.00pt;visibility:visible;" fillcolor="#FFFFFF" strokecolor="#000000"/>
            </w:pict>
          </mc:Fallback>
        </mc:AlternateContent>
      </w:r>
      <w:bookmarkEnd w:id="104"/>
      <w:r/>
    </w:p>
    <w:p>
      <w:pPr>
        <w:pStyle w:val="977"/>
        <w:pBdr/>
        <w:spacing/>
        <w:ind/>
        <w:rPr/>
      </w:pPr>
      <w:r/>
      <w:bookmarkStart w:id="105" w:name="comparison-with-standard-vsd"/>
      <w:r>
        <w:t xml:space="preserve">5.1.3 Comparison with Standard VSD</w:t>
      </w:r>
      <w:r/>
    </w:p>
    <w:p>
      <w:pPr>
        <w:pStyle w:val="963"/>
        <w:pBdr/>
        <w:spacing/>
        <w:ind/>
        <w:rPr/>
      </w:pPr>
      <w:r>
        <w:t xml:space="preserve">The Islamic VSD framework differs from standard VSD in several key ways.</w:t>
      </w:r>
      <w:r/>
    </w:p>
    <w:p>
      <w:pPr>
        <w:pStyle w:val="962"/>
        <w:pBdr/>
        <w:spacing/>
        <w:ind/>
        <w:rPr/>
      </w:pPr>
      <w:r>
        <w:rPr>
          <w:b/>
          <w:bCs/>
        </w:rPr>
        <w:t xml:space="preserve">Value Source:</w:t>
      </w:r>
      <w:r>
        <w:t xml:space="preserve"> Standard VSD</w:t>
      </w:r>
      <w:r>
        <w:t xml:space="preserve"> typically relies on stakeholder values that are often Western-centric and negotiated. In contrast, I-VSD is grounded in Quran, Sunnah, and Islamic scholarship, providing absolute moral principles from revelation rather than pluralistic, negotiated values.</w:t>
      </w:r>
      <w:r/>
    </w:p>
    <w:p>
      <w:pPr>
        <w:pStyle w:val="962"/>
        <w:pBdr/>
        <w:spacing/>
        <w:ind/>
        <w:rPr/>
      </w:pPr>
      <w:r>
        <w:rPr>
          <w:b/>
          <w:bCs/>
        </w:rPr>
        <w:t xml:space="preserve">Ethical Foundation:</w:t>
      </w:r>
      <w:r>
        <w:t xml:space="preserve"> Standard VSD approaches ethics through pluralistic stakeholder negotiations where values can be compromised. I-VSD is built on absolute moral principles that cannot be negotiated or compromised.</w:t>
      </w:r>
      <w:r/>
    </w:p>
    <w:p>
      <w:pPr>
        <w:pStyle w:val="962"/>
        <w:pBdr/>
        <w:spacing/>
        <w:ind/>
        <w:rPr/>
      </w:pPr>
      <w:r>
        <w:rPr>
          <w:b/>
          <w:bCs/>
        </w:rPr>
        <w:t xml:space="preserve">Stakeholder Primacy:</w:t>
      </w:r>
      <w:r>
        <w:t xml:space="preserve"> While standard VSD treats all stakeholders as potentially having equal claim, I-VSD prioritizes user rights and public good within the Islamic framework while maintaining balance.</w:t>
      </w:r>
      <w:r/>
    </w:p>
    <w:p>
      <w:pPr>
        <w:pStyle w:val="962"/>
        <w:pBdr/>
        <w:spacing/>
        <w:ind/>
        <w:rPr/>
      </w:pPr>
      <w:r>
        <w:rPr>
          <w:b/>
          <w:bCs/>
        </w:rPr>
        <w:t xml:space="preserve">Flexibility:</w:t>
      </w:r>
      <w:r>
        <w:t xml:space="preserve"> Standard VSD allows values to be negotiated based on circumstances and priorities. I-VSD recognizes core Islamic values as non-negotiable absolutes that guide all decisions regardless of business pressures.</w:t>
      </w:r>
      <w:r/>
    </w:p>
    <w:p>
      <w:pPr>
        <w:pStyle w:val="962"/>
        <w:pBdr/>
        <w:spacing/>
        <w:ind/>
        <w:rPr/>
      </w:pPr>
      <w:r>
        <w:rPr>
          <w:b/>
          <w:bCs/>
        </w:rPr>
        <w:t xml:space="preserve">Scope:</w:t>
      </w:r>
      <w:r>
        <w:t xml:space="preserve"> Standard VSD often focuses on specific features or development phases in isolation. I-VSD provides comprehensive guidance across the entire product lifecycle—from conception through maintenance and discontinuation.</w:t>
      </w:r>
      <w:r/>
    </w:p>
    <w:p>
      <w:pPr>
        <w:pStyle w:val="962"/>
        <w:pBdr/>
        <w:spacing/>
        <w:ind/>
        <w:rPr/>
      </w:pPr>
      <w:r>
        <w:rPr>
          <w:b/>
          <w:bCs/>
        </w:rPr>
        <w:t xml:space="preserve">Business Model:</w:t>
      </w:r>
      <w:r>
        <w:t xml:space="preserve"> Con</w:t>
      </w:r>
      <w:r>
        <w:t xml:space="preserve">ventional approaches rarely address fundamental questions about funding sources, investor relationships, or organizational structure. I-VSD explicitly addresses these concerns, including requirements for halal funding and ethical organizational structures.</w:t>
      </w:r>
      <w:r/>
    </w:p>
    <w:p>
      <w:pPr>
        <w:pStyle w:val="962"/>
        <w:pBdr/>
        <w:spacing/>
        <w:ind/>
        <w:rPr/>
      </w:pPr>
      <w:r>
        <w:rPr>
          <w:b/>
          <w:bCs/>
        </w:rPr>
        <w:t xml:space="preserve">Content Standards:</w:t>
      </w:r>
      <w:r>
        <w:t xml:space="preserve"> Standard VSD may fall into cultural relativism where content standards vary based on community preferences. I-VSD provides clear Islamic content standards that are non-negotiable and grounded in revealed guidance.</w:t>
      </w:r>
      <w:r/>
    </w:p>
    <w:p>
      <w:pPr>
        <w:pStyle w:val="962"/>
        <w:pBdr/>
        <w:spacing/>
        <w:ind/>
        <w:rPr/>
      </w:pPr>
      <w:r>
        <w:rPr>
          <w:b/>
          <w:bCs/>
        </w:rPr>
        <w:t xml:space="preserve">Transparency:</w:t>
      </w:r>
      <w:r>
        <w:t xml:space="preserve"> In standard VSD frameworks, transparency is often valued but can be compromised based on business needs. I-VSD treats transparency as mandatory except where protecting user privacy requires confidentiality.</w:t>
      </w:r>
      <w:r/>
    </w:p>
    <w:p>
      <w:pPr>
        <w:pBdr/>
        <w:spacing/>
        <w:ind/>
        <w:rPr/>
      </w:pPr>
      <w:r>
        <mc:AlternateContent>
          <mc:Choice Requires="wpg">
            <w:drawing>
              <wp:inline xmlns:wp="http://schemas.openxmlformats.org/drawingml/2006/wordprocessingDrawing" distT="0" distB="0" distL="0" distR="0">
                <wp:extent cx="0" cy="19050"/>
                <wp:effectExtent l="0" t="0" r="0" b="0"/>
                <wp:docPr id="8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4" o:spid="_x0000_s84" o:spt="1" type="#_x0000_t1" style="width:0.00pt;height:1.50pt;mso-wrap-distance-left:0.00pt;mso-wrap-distance-top:0.00pt;mso-wrap-distance-right:0.00pt;mso-wrap-distance-bottom:0.00pt;visibility:visible;" fillcolor="#FFFFFF" strokecolor="#000000"/>
            </w:pict>
          </mc:Fallback>
        </mc:AlternateContent>
      </w:r>
      <w:bookmarkEnd w:id="105"/>
      <w:r/>
    </w:p>
    <w:p>
      <w:pPr>
        <w:pStyle w:val="977"/>
        <w:pBdr/>
        <w:spacing/>
        <w:ind/>
        <w:rPr/>
      </w:pPr>
      <w:r/>
      <w:bookmarkStart w:id="106" w:name="addressing-gaps-in-existing-approaches"/>
      <w:r>
        <w:t xml:space="preserve">5.1.4 Addressing Gaps in Existing Approaches</w:t>
      </w:r>
      <w:r/>
    </w:p>
    <w:p>
      <w:pPr>
        <w:pStyle w:val="963"/>
        <w:pBdr/>
        <w:spacing/>
        <w:ind/>
        <w:rPr/>
      </w:pPr>
      <w:r>
        <w:t xml:space="preserve">I-VSD addresses several gaps in existing ethical frameworks for software:</w:t>
      </w:r>
      <w:r/>
    </w:p>
    <w:p>
      <w:pPr>
        <w:numPr>
          <w:ilvl w:val="0"/>
          <w:numId w:val="171"/>
        </w:numPr>
        <w:pBdr/>
        <w:spacing/>
        <w:ind/>
        <w:rPr/>
      </w:pPr>
      <w:r>
        <w:rPr>
          <w:b/>
          <w:bCs/>
        </w:rPr>
        <w:t xml:space="preserve">Religious Value Integration:</w:t>
      </w:r>
      <w:r>
        <w:br/>
      </w:r>
      <w:r>
        <w:t xml:space="preserve">Most frameworks ignore religious values or treat them as individual preferences. I-VSD centers Islamic values as foundational.</w:t>
      </w:r>
      <w:r/>
    </w:p>
    <w:p>
      <w:pPr>
        <w:numPr>
          <w:ilvl w:val="0"/>
          <w:numId w:val="171"/>
        </w:numPr>
        <w:pBdr/>
        <w:spacing/>
        <w:ind/>
        <w:rPr/>
      </w:pPr>
      <w:r>
        <w:rPr>
          <w:b/>
          <w:bCs/>
        </w:rPr>
        <w:t xml:space="preserve">Business Model Ethics:</w:t>
      </w:r>
      <w:r>
        <w:br/>
      </w:r>
      <w:r>
        <w:t xml:space="preserve">Standard approaches rarely address funding sources, investor relationships, or organizational structure. I-VSD explicitly addresses these.</w:t>
      </w:r>
      <w:r/>
    </w:p>
    <w:p>
      <w:pPr>
        <w:numPr>
          <w:ilvl w:val="0"/>
          <w:numId w:val="171"/>
        </w:numPr>
        <w:pBdr/>
        <w:spacing/>
        <w:ind/>
        <w:rPr/>
      </w:pPr>
      <w:r>
        <w:rPr>
          <w:b/>
          <w:bCs/>
        </w:rPr>
        <w:t xml:space="preserve">Comprehensive Lifecycle Coverage:</w:t>
      </w:r>
      <w:r>
        <w:br/>
      </w:r>
      <w:r>
        <w:t xml:space="preserve">Many frameworks focus on design or development phases. I-VSD covers conception through maintenance and discontinuation.</w:t>
      </w:r>
      <w:r/>
    </w:p>
    <w:p>
      <w:pPr>
        <w:numPr>
          <w:ilvl w:val="0"/>
          <w:numId w:val="171"/>
        </w:numPr>
        <w:pBdr/>
        <w:spacing/>
        <w:ind/>
        <w:rPr/>
      </w:pPr>
      <w:r>
        <w:rPr>
          <w:b/>
          <w:bCs/>
        </w:rPr>
        <w:t xml:space="preserve">Moral Absolutes:</w:t>
      </w:r>
      <w:r>
        <w:br/>
      </w:r>
      <w:r>
        <w:t xml:space="preserve">In contexts where clear moral guidance is needed, I-VSD provides it through Islamic principles rather than relativistic negotiation.</w:t>
      </w:r>
      <w:r/>
    </w:p>
    <w:p>
      <w:pPr>
        <w:numPr>
          <w:ilvl w:val="0"/>
          <w:numId w:val="171"/>
        </w:numPr>
        <w:pBdr/>
        <w:spacing/>
        <w:ind/>
        <w:rPr/>
      </w:pPr>
      <w:r>
        <w:rPr>
          <w:b/>
          <w:bCs/>
        </w:rPr>
        <w:t xml:space="preserve">Community-Specific Needs:</w:t>
      </w:r>
      <w:r>
        <w:br/>
      </w:r>
      <w:r>
        <w:t xml:space="preserve">Muslim communities have specific needs (halal content, privacy from surveillance, etc.) that general frameworks don’t address.</w:t>
      </w:r>
      <w:r/>
    </w:p>
    <w:p>
      <w:pPr>
        <w:pBdr/>
        <w:spacing/>
        <w:ind/>
        <w:rPr/>
      </w:pPr>
      <w:r>
        <mc:AlternateContent>
          <mc:Choice Requires="wpg">
            <w:drawing>
              <wp:inline xmlns:wp="http://schemas.openxmlformats.org/drawingml/2006/wordprocessingDrawing" distT="0" distB="0" distL="0" distR="0">
                <wp:extent cx="0" cy="19050"/>
                <wp:effectExtent l="0" t="0" r="0" b="0"/>
                <wp:docPr id="8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5" o:spid="_x0000_s85" o:spt="1" type="#_x0000_t1" style="width:0.00pt;height:1.50pt;mso-wrap-distance-left:0.00pt;mso-wrap-distance-top:0.00pt;mso-wrap-distance-right:0.00pt;mso-wrap-distance-bottom:0.00pt;visibility:visible;" fillcolor="#FFFFFF" strokecolor="#000000"/>
            </w:pict>
          </mc:Fallback>
        </mc:AlternateContent>
      </w:r>
      <w:bookmarkEnd w:id="106"/>
      <w:bookmarkEnd w:id="107"/>
      <w:r/>
    </w:p>
    <w:p>
      <w:pPr>
        <w:pStyle w:val="976"/>
        <w:pBdr/>
        <w:spacing/>
        <w:ind/>
        <w:rPr/>
      </w:pPr>
      <w:r/>
      <w:bookmarkStart w:id="113" w:name="challenges-and-limitations"/>
      <w:r>
        <w:t xml:space="preserve">5.2 Challenges and Limitations</w:t>
      </w:r>
      <w:r/>
    </w:p>
    <w:p>
      <w:pPr>
        <w:pBdr/>
        <w:spacing/>
        <w:ind/>
        <w:rPr/>
      </w:pPr>
      <w:r>
        <mc:AlternateContent>
          <mc:Choice Requires="wpg">
            <w:drawing>
              <wp:inline xmlns:wp="http://schemas.openxmlformats.org/drawingml/2006/wordprocessingDrawing" distT="0" distB="0" distL="0" distR="0">
                <wp:extent cx="0" cy="19050"/>
                <wp:effectExtent l="0" t="0" r="0" b="0"/>
                <wp:docPr id="8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6" o:spid="_x0000_s86"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08" w:name="challenges-encountered"/>
      <w:r>
        <w:t xml:space="preserve">5.2.1 Challenges Encountered</w:t>
      </w:r>
      <w:r/>
    </w:p>
    <w:p>
      <w:pPr>
        <w:pStyle w:val="963"/>
        <w:pBdr/>
        <w:spacing/>
        <w:ind/>
        <w:rPr/>
      </w:pPr>
      <w:r>
        <w:rPr>
          <w:b/>
          <w:bCs/>
        </w:rPr>
        <w:t xml:space="preserve">Challenge 1: Dual-Use Technology Dilemmas</w:t>
      </w:r>
      <w:r/>
    </w:p>
    <w:p>
      <w:pPr>
        <w:pStyle w:val="962"/>
        <w:pBdr/>
        <w:spacing/>
        <w:ind/>
        <w:rPr/>
      </w:pPr>
      <w:r>
        <w:t xml:space="preserve">The principle of dual-use items (Section 2.1.2) presents ongoing challenges:</w:t>
      </w:r>
      <w:r/>
    </w:p>
    <w:p>
      <w:pPr>
        <w:pStyle w:val="964"/>
        <w:numPr>
          <w:ilvl w:val="0"/>
          <w:numId w:val="172"/>
        </w:numPr>
        <w:pBdr/>
        <w:spacing/>
        <w:ind/>
        <w:rPr/>
      </w:pPr>
      <w:r>
        <w:rPr>
          <w:b/>
          <w:bCs/>
        </w:rPr>
        <w:t xml:space="preserve">Example:</w:t>
      </w:r>
      <w:r>
        <w:t xml:space="preserve"> Privacy tools that can be used for both legitimate privacy and criminal activity</w:t>
      </w:r>
      <w:r/>
    </w:p>
    <w:p>
      <w:pPr>
        <w:pStyle w:val="964"/>
        <w:numPr>
          <w:ilvl w:val="0"/>
          <w:numId w:val="172"/>
        </w:numPr>
        <w:pBdr/>
        <w:spacing/>
        <w:ind/>
        <w:rPr/>
      </w:pPr>
      <w:r>
        <w:rPr>
          <w:b/>
          <w:bCs/>
        </w:rPr>
        <w:t xml:space="preserve">Resolution Approach:</w:t>
      </w:r>
      <w:r>
        <w:t xml:space="preserve"> Focus on intent, predominant use, and probability as outlined in classical scholarship</w:t>
      </w:r>
      <w:r/>
    </w:p>
    <w:p>
      <w:pPr>
        <w:pStyle w:val="964"/>
        <w:numPr>
          <w:ilvl w:val="0"/>
          <w:numId w:val="172"/>
        </w:numPr>
        <w:pBdr/>
        <w:spacing/>
        <w:ind/>
        <w:rPr/>
      </w:pPr>
      <w:r>
        <w:rPr>
          <w:b/>
          <w:bCs/>
        </w:rPr>
        <w:t xml:space="preserve">Remaining Difficulty:</w:t>
      </w:r>
      <w:r>
        <w:t xml:space="preserve"> Determining probability thresholds in practice</w:t>
      </w:r>
      <w:r/>
    </w:p>
    <w:p>
      <w:pPr>
        <w:pStyle w:val="963"/>
        <w:pBdr/>
        <w:spacing/>
        <w:ind/>
        <w:rPr/>
      </w:pPr>
      <w:r>
        <w:rPr>
          <w:b/>
          <w:bCs/>
        </w:rPr>
        <w:t xml:space="preserve">Challenge 2: Competitive Pressure</w:t>
      </w:r>
      <w:r/>
    </w:p>
    <w:p>
      <w:pPr>
        <w:pStyle w:val="962"/>
        <w:pBdr/>
        <w:spacing/>
        <w:ind/>
        <w:rPr/>
      </w:pPr>
      <w:r>
        <w:t xml:space="preserve">Operating ethically in an unethical industry creates competitive challenges:</w:t>
      </w:r>
      <w:r/>
    </w:p>
    <w:p>
      <w:pPr>
        <w:pStyle w:val="964"/>
        <w:numPr>
          <w:ilvl w:val="0"/>
          <w:numId w:val="173"/>
        </w:numPr>
        <w:pBdr/>
        <w:spacing/>
        <w:ind/>
        <w:rPr/>
      </w:pPr>
      <w:r>
        <w:rPr>
          <w:b/>
          <w:bCs/>
        </w:rPr>
        <w:t xml:space="preserve">Issue:</w:t>
      </w:r>
      <w:r>
        <w:t xml:space="preserve"> Competitors using dark patterns, aggressive marketing, and data monetization may grow faster</w:t>
      </w:r>
      <w:r/>
    </w:p>
    <w:p>
      <w:pPr>
        <w:pStyle w:val="964"/>
        <w:numPr>
          <w:ilvl w:val="0"/>
          <w:numId w:val="173"/>
        </w:numPr>
        <w:pBdr/>
        <w:spacing/>
        <w:ind/>
        <w:rPr/>
      </w:pPr>
      <w:r>
        <w:rPr>
          <w:b/>
          <w:bCs/>
        </w:rPr>
        <w:t xml:space="preserve">I-VSD Response:</w:t>
      </w:r>
      <w:r>
        <w:t xml:space="preserve"> Non-profit structure and long-term thinking reduce pressure to compromise</w:t>
      </w:r>
      <w:r/>
    </w:p>
    <w:p>
      <w:pPr>
        <w:pStyle w:val="964"/>
        <w:numPr>
          <w:ilvl w:val="0"/>
          <w:numId w:val="173"/>
        </w:numPr>
        <w:pBdr/>
        <w:spacing/>
        <w:ind/>
        <w:rPr/>
      </w:pPr>
      <w:r>
        <w:rPr>
          <w:b/>
          <w:bCs/>
        </w:rPr>
        <w:t xml:space="preserve">Ongoing Tension:</w:t>
      </w:r>
      <w:r>
        <w:t xml:space="preserve"> Balance between sustainability and refusing unethical practices</w:t>
      </w:r>
      <w:r/>
    </w:p>
    <w:p>
      <w:pPr>
        <w:pStyle w:val="963"/>
        <w:pBdr/>
        <w:spacing/>
        <w:ind/>
        <w:rPr/>
      </w:pPr>
      <w:r>
        <w:rPr>
          <w:b/>
          <w:bCs/>
        </w:rPr>
        <w:t xml:space="preserve">Challenge 3: Technical Implementation Complexity</w:t>
      </w:r>
      <w:r/>
    </w:p>
    <w:p>
      <w:pPr>
        <w:pStyle w:val="962"/>
        <w:pBdr/>
        <w:spacing/>
        <w:ind/>
        <w:rPr/>
      </w:pPr>
      <w:r>
        <w:t xml:space="preserve">Some ethical requirements are technically challenging:</w:t>
      </w:r>
      <w:r/>
    </w:p>
    <w:p>
      <w:pPr>
        <w:pStyle w:val="964"/>
        <w:numPr>
          <w:ilvl w:val="0"/>
          <w:numId w:val="174"/>
        </w:numPr>
        <w:pBdr/>
        <w:spacing/>
        <w:ind/>
        <w:rPr/>
      </w:pPr>
      <w:r>
        <w:rPr>
          <w:b/>
          <w:bCs/>
        </w:rPr>
        <w:t xml:space="preserve">Example:</w:t>
      </w:r>
      <w:r>
        <w:t xml:space="preserve"> True privacy (Section 2.1.3.4 shows 100% privacy is impossible)</w:t>
      </w:r>
      <w:r/>
    </w:p>
    <w:p>
      <w:pPr>
        <w:pStyle w:val="964"/>
        <w:numPr>
          <w:ilvl w:val="0"/>
          <w:numId w:val="174"/>
        </w:numPr>
        <w:pBdr/>
        <w:spacing/>
        <w:ind/>
        <w:rPr/>
      </w:pPr>
      <w:r>
        <w:rPr>
          <w:b/>
          <w:bCs/>
        </w:rPr>
        <w:t xml:space="preserve">Approach:</w:t>
      </w:r>
      <w:r>
        <w:t xml:space="preserve"> Transparency about limitations while implementing best practices</w:t>
      </w:r>
      <w:r/>
    </w:p>
    <w:p>
      <w:pPr>
        <w:pStyle w:val="964"/>
        <w:numPr>
          <w:ilvl w:val="0"/>
          <w:numId w:val="174"/>
        </w:numPr>
        <w:pBdr/>
        <w:spacing/>
        <w:ind/>
        <w:rPr/>
      </w:pPr>
      <w:r>
        <w:rPr>
          <w:b/>
          <w:bCs/>
        </w:rPr>
        <w:t xml:space="preserve">Remaining Work:</w:t>
      </w:r>
      <w:r>
        <w:t xml:space="preserve"> Continuous improvement as threats evolve</w:t>
      </w:r>
      <w:r/>
    </w:p>
    <w:p>
      <w:pPr>
        <w:pStyle w:val="963"/>
        <w:pBdr/>
        <w:spacing/>
        <w:ind/>
        <w:rPr/>
      </w:pPr>
      <w:r>
        <w:rPr>
          <w:b/>
          <w:bCs/>
        </w:rPr>
        <w:t xml:space="preserve">Challenge 4: Stakeholder Education</w:t>
      </w:r>
      <w:r/>
    </w:p>
    <w:p>
      <w:pPr>
        <w:pStyle w:val="962"/>
        <w:pBdr/>
        <w:spacing/>
        <w:ind/>
        <w:rPr/>
      </w:pPr>
      <w:r>
        <w:t xml:space="preserve">Not all stakeholders immediately understand Islamic ethical requirements:</w:t>
      </w:r>
      <w:r/>
    </w:p>
    <w:p>
      <w:pPr>
        <w:pStyle w:val="964"/>
        <w:numPr>
          <w:ilvl w:val="0"/>
          <w:numId w:val="175"/>
        </w:numPr>
        <w:pBdr/>
        <w:spacing/>
        <w:ind/>
        <w:rPr/>
      </w:pPr>
      <w:r>
        <w:rPr>
          <w:b/>
          <w:bCs/>
        </w:rPr>
        <w:t xml:space="preserve">Issue:</w:t>
      </w:r>
      <w:r>
        <w:t xml:space="preserve"> Users accustomed to</w:t>
      </w:r>
      <w:r>
        <w:t xml:space="preserve"> </w:t>
      </w:r>
      <w:r>
        <w:t xml:space="preserve">“free”</w:t>
      </w:r>
      <w:r>
        <w:t xml:space="preserve"> </w:t>
      </w:r>
      <w:r>
        <w:t xml:space="preserve">ad-supported models may question sustainable pricing</w:t>
      </w:r>
      <w:r/>
    </w:p>
    <w:p>
      <w:pPr>
        <w:pStyle w:val="964"/>
        <w:numPr>
          <w:ilvl w:val="0"/>
          <w:numId w:val="175"/>
        </w:numPr>
        <w:pBdr/>
        <w:spacing/>
        <w:ind/>
        <w:rPr/>
      </w:pPr>
      <w:r>
        <w:rPr>
          <w:b/>
          <w:bCs/>
        </w:rPr>
        <w:t xml:space="preserve">Approach:</w:t>
      </w:r>
      <w:r>
        <w:t xml:space="preserve"> Education about why ethical approach differs and its benefits</w:t>
      </w:r>
      <w:r/>
    </w:p>
    <w:p>
      <w:pPr>
        <w:pStyle w:val="964"/>
        <w:numPr>
          <w:ilvl w:val="0"/>
          <w:numId w:val="175"/>
        </w:numPr>
        <w:pBdr/>
        <w:spacing/>
        <w:ind/>
        <w:rPr/>
      </w:pPr>
      <w:r>
        <w:rPr>
          <w:b/>
          <w:bCs/>
        </w:rPr>
        <w:t xml:space="preserve">Ongoing Need:</w:t>
      </w:r>
      <w:r>
        <w:t xml:space="preserve"> Community education and value communication</w:t>
      </w:r>
      <w:r/>
    </w:p>
    <w:p>
      <w:pPr>
        <w:pStyle w:val="963"/>
        <w:pBdr/>
        <w:spacing/>
        <w:ind/>
        <w:rPr/>
      </w:pPr>
      <w:r>
        <w:rPr>
          <w:b/>
          <w:bCs/>
        </w:rPr>
        <w:t xml:space="preserve">Challenge 5: Evolving Technology Landscape</w:t>
      </w:r>
      <w:r/>
    </w:p>
    <w:p>
      <w:pPr>
        <w:pStyle w:val="962"/>
        <w:pBdr/>
        <w:spacing/>
        <w:ind/>
        <w:rPr/>
      </w:pPr>
      <w:r>
        <w:t xml:space="preserve">New technologies (AI, blockchain, etc.) present new ethical questions:</w:t>
      </w:r>
      <w:r/>
    </w:p>
    <w:p>
      <w:pPr>
        <w:pStyle w:val="964"/>
        <w:numPr>
          <w:ilvl w:val="0"/>
          <w:numId w:val="176"/>
        </w:numPr>
        <w:pBdr/>
        <w:spacing/>
        <w:ind/>
        <w:rPr/>
      </w:pPr>
      <w:r>
        <w:rPr>
          <w:b/>
          <w:bCs/>
        </w:rPr>
        <w:t xml:space="preserve">Issue:</w:t>
      </w:r>
      <w:r>
        <w:t xml:space="preserve"> Applying classical Islamic principles to novel technologies</w:t>
      </w:r>
      <w:r/>
    </w:p>
    <w:p>
      <w:pPr>
        <w:pStyle w:val="964"/>
        <w:numPr>
          <w:ilvl w:val="0"/>
          <w:numId w:val="176"/>
        </w:numPr>
        <w:pBdr/>
        <w:spacing/>
        <w:ind/>
        <w:rPr/>
      </w:pPr>
      <w:r>
        <w:rPr>
          <w:b/>
          <w:bCs/>
        </w:rPr>
        <w:t xml:space="preserve">Approach:</w:t>
      </w:r>
      <w:r>
        <w:t xml:space="preserve"> Return to fundamental principles (Amanah, justice, do no harm)</w:t>
      </w:r>
      <w:r/>
    </w:p>
    <w:p>
      <w:pPr>
        <w:pStyle w:val="964"/>
        <w:numPr>
          <w:ilvl w:val="0"/>
          <w:numId w:val="176"/>
        </w:numPr>
        <w:pBdr/>
        <w:spacing/>
        <w:ind/>
        <w:rPr/>
      </w:pPr>
      <w:r>
        <w:rPr>
          <w:b/>
          <w:bCs/>
        </w:rPr>
        <w:t xml:space="preserve">Need:</w:t>
      </w:r>
      <w:r>
        <w:t xml:space="preserve"> Ongoing scholarly consultation for complex cases</w:t>
      </w:r>
      <w:r/>
    </w:p>
    <w:p>
      <w:pPr>
        <w:pStyle w:val="963"/>
        <w:pBdr/>
        <w:spacing/>
        <w:ind/>
        <w:rPr/>
      </w:pPr>
      <w:r>
        <w:rPr>
          <w:b/>
          <w:bCs/>
        </w:rPr>
        <w:t xml:space="preserve">Challenge 6: Measurement and Validation</w:t>
      </w:r>
      <w:r/>
    </w:p>
    <w:p>
      <w:pPr>
        <w:pStyle w:val="962"/>
        <w:pBdr/>
        <w:spacing/>
        <w:ind/>
        <w:rPr/>
      </w:pPr>
      <w:r>
        <w:t xml:space="preserve">Ethical outcomes can be difficult to measure:</w:t>
      </w:r>
      <w:r/>
    </w:p>
    <w:p>
      <w:pPr>
        <w:pStyle w:val="964"/>
        <w:numPr>
          <w:ilvl w:val="0"/>
          <w:numId w:val="177"/>
        </w:numPr>
        <w:pBdr/>
        <w:spacing/>
        <w:ind/>
        <w:rPr/>
      </w:pPr>
      <w:r>
        <w:rPr>
          <w:b/>
          <w:bCs/>
        </w:rPr>
        <w:t xml:space="preserve">Issue:</w:t>
      </w:r>
      <w:r>
        <w:t xml:space="preserve"> How to quantify</w:t>
      </w:r>
      <w:r>
        <w:t xml:space="preserve"> </w:t>
      </w:r>
      <w:r>
        <w:t xml:space="preserve">“trustworthiness”</w:t>
      </w:r>
      <w:r>
        <w:t xml:space="preserve"> </w:t>
      </w:r>
      <w:r>
        <w:t xml:space="preserve">or</w:t>
      </w:r>
      <w:r>
        <w:t xml:space="preserve"> </w:t>
      </w:r>
      <w:r>
        <w:t xml:space="preserve">“respect”</w:t>
      </w:r>
      <w:r>
        <w:t xml:space="preserve">?</w:t>
      </w:r>
      <w:r/>
    </w:p>
    <w:p>
      <w:pPr>
        <w:pStyle w:val="964"/>
        <w:numPr>
          <w:ilvl w:val="0"/>
          <w:numId w:val="177"/>
        </w:numPr>
        <w:pBdr/>
        <w:spacing/>
        <w:ind/>
        <w:rPr/>
      </w:pPr>
      <w:r>
        <w:rPr>
          <w:b/>
          <w:bCs/>
        </w:rPr>
        <w:t xml:space="preserve">Approach:</w:t>
      </w:r>
      <w:r>
        <w:t xml:space="preserve"> Qualitative assessment, user feedback, third-party audits</w:t>
      </w:r>
      <w:r/>
    </w:p>
    <w:p>
      <w:pPr>
        <w:pStyle w:val="964"/>
        <w:numPr>
          <w:ilvl w:val="0"/>
          <w:numId w:val="177"/>
        </w:numPr>
        <w:pBdr/>
        <w:spacing/>
        <w:ind/>
        <w:rPr/>
      </w:pPr>
      <w:r>
        <w:rPr>
          <w:b/>
          <w:bCs/>
        </w:rPr>
        <w:t xml:space="preserve">Limitation:</w:t>
      </w:r>
      <w:r>
        <w:t xml:space="preserve"> Less precise than technical metrics</w:t>
      </w:r>
      <w:r/>
    </w:p>
    <w:p>
      <w:pPr>
        <w:pBdr/>
        <w:spacing/>
        <w:ind/>
        <w:rPr/>
      </w:pPr>
      <w:r>
        <mc:AlternateContent>
          <mc:Choice Requires="wpg">
            <w:drawing>
              <wp:inline xmlns:wp="http://schemas.openxmlformats.org/drawingml/2006/wordprocessingDrawing" distT="0" distB="0" distL="0" distR="0">
                <wp:extent cx="0" cy="19050"/>
                <wp:effectExtent l="0" t="0" r="0" b="0"/>
                <wp:docPr id="8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7" o:spid="_x0000_s87" o:spt="1" type="#_x0000_t1" style="width:0.00pt;height:1.50pt;mso-wrap-distance-left:0.00pt;mso-wrap-distance-top:0.00pt;mso-wrap-distance-right:0.00pt;mso-wrap-distance-bottom:0.00pt;visibility:visible;" fillcolor="#FFFFFF" strokecolor="#000000"/>
            </w:pict>
          </mc:Fallback>
        </mc:AlternateContent>
      </w:r>
      <w:bookmarkEnd w:id="108"/>
      <w:r/>
    </w:p>
    <w:p>
      <w:pPr>
        <w:pStyle w:val="977"/>
        <w:pBdr/>
        <w:spacing/>
        <w:ind/>
        <w:rPr/>
      </w:pPr>
      <w:r/>
      <w:bookmarkStart w:id="109" w:name="limitations-of-the-study"/>
      <w:r>
        <w:t xml:space="preserve">5.2.2 Limitations of the Study</w:t>
      </w:r>
      <w:r/>
    </w:p>
    <w:p>
      <w:pPr>
        <w:pStyle w:val="963"/>
        <w:pBdr/>
        <w:spacing/>
        <w:ind/>
        <w:rPr/>
      </w:pPr>
      <w:r>
        <w:rPr>
          <w:b/>
          <w:bCs/>
        </w:rPr>
        <w:t xml:space="preserve">Limitation 1: Single Illustrative Case</w:t>
      </w:r>
      <w:r/>
    </w:p>
    <w:p>
      <w:pPr>
        <w:pStyle w:val="962"/>
        <w:pBdr/>
        <w:spacing/>
        <w:ind/>
        <w:rPr/>
      </w:pPr>
      <w:r>
        <w:t xml:space="preserve">This thesis applies I-VSD through one main case: ISLAMU Event. The case is useful because it</w:t>
      </w:r>
      <w:r>
        <w:t xml:space="preserve"> involves curation, payments, identity, moderation, privacy, discovery, accessibility, federation, maintenance, and operational stewardship, but it remains one worked application self-applied by Amir as founder of ISLAMU and solo developer of ISLAMU Event.</w:t>
      </w:r>
      <w:r/>
    </w:p>
    <w:p>
      <w:pPr>
        <w:pStyle w:val="964"/>
        <w:numPr>
          <w:ilvl w:val="0"/>
          <w:numId w:val="178"/>
        </w:numPr>
        <w:pBdr/>
        <w:spacing/>
        <w:ind/>
        <w:rPr/>
      </w:pPr>
      <w:r>
        <w:rPr>
          <w:b/>
          <w:bCs/>
        </w:rPr>
        <w:t xml:space="preserve">Impact:</w:t>
      </w:r>
      <w:r>
        <w:t xml:space="preserve"> Limited generalizability to other provider-mediated software contexts.</w:t>
      </w:r>
      <w:r/>
    </w:p>
    <w:p>
      <w:pPr>
        <w:pStyle w:val="964"/>
        <w:numPr>
          <w:ilvl w:val="0"/>
          <w:numId w:val="178"/>
        </w:numPr>
        <w:pBdr/>
        <w:spacing/>
        <w:ind/>
        <w:rPr/>
      </w:pPr>
      <w:r>
        <w:rPr>
          <w:b/>
          <w:bCs/>
        </w:rPr>
        <w:t xml:space="preserve">Mitigation:</w:t>
      </w:r>
      <w:r>
        <w:t xml:space="preserve"> The thesis separates reusable heuristics from Event-specific choices.</w:t>
      </w:r>
      <w:r/>
    </w:p>
    <w:p>
      <w:pPr>
        <w:pStyle w:val="964"/>
        <w:numPr>
          <w:ilvl w:val="0"/>
          <w:numId w:val="178"/>
        </w:numPr>
        <w:pBdr/>
        <w:spacing/>
        <w:ind/>
        <w:rPr/>
      </w:pPr>
      <w:r>
        <w:rPr>
          <w:b/>
          <w:bCs/>
        </w:rPr>
        <w:t xml:space="preserve">Future work:</w:t>
      </w:r>
      <w:r>
        <w:t xml:space="preserve"> Apply the framework to additional projects, organizations, domains, and deployment models.</w:t>
      </w:r>
      <w:r/>
    </w:p>
    <w:p>
      <w:pPr>
        <w:pStyle w:val="963"/>
        <w:pBdr/>
        <w:spacing/>
        <w:ind/>
        <w:rPr/>
      </w:pPr>
      <w:r>
        <w:rPr>
          <w:b/>
          <w:bCs/>
        </w:rPr>
        <w:t xml:space="preserve">Limitation 2: Pre-1.0 Implementation-Traceability Case</w:t>
      </w:r>
      <w:r/>
    </w:p>
    <w:p>
      <w:pPr>
        <w:pStyle w:val="962"/>
        <w:pBdr/>
        <w:spacing/>
        <w:ind/>
        <w:rPr/>
      </w:pPr>
      <w:r>
        <w:t xml:space="preserve">The case now incl</w:t>
      </w:r>
      <w:r>
        <w:t xml:space="preserve">udes current repository, documentation, and implementation evidence, so it is stronger than a purely planned design case. However, ISLAMU Event remains a pre-1.0 and self-applied case; implementation traceability does not equal deployed outcome validation.</w:t>
      </w:r>
      <w:r/>
    </w:p>
    <w:p>
      <w:pPr>
        <w:pStyle w:val="964"/>
        <w:numPr>
          <w:ilvl w:val="0"/>
          <w:numId w:val="179"/>
        </w:numPr>
        <w:pBdr/>
        <w:spacing/>
        <w:ind/>
        <w:rPr/>
      </w:pPr>
      <w:r>
        <w:rPr>
          <w:b/>
          <w:bCs/>
        </w:rPr>
        <w:t xml:space="preserve">Impact:</w:t>
      </w:r>
      <w:r>
        <w:t xml:space="preserve"> Long-term outcomes, operational maturity, user trust, accessibility outcomes, security effectiveness, and community benefit cannot yet be assessed as achieved results.</w:t>
      </w:r>
      <w:r/>
    </w:p>
    <w:p>
      <w:pPr>
        <w:pStyle w:val="964"/>
        <w:numPr>
          <w:ilvl w:val="0"/>
          <w:numId w:val="179"/>
        </w:numPr>
        <w:pBdr/>
        <w:spacing/>
        <w:ind/>
        <w:rPr/>
      </w:pPr>
      <w:r>
        <w:rPr>
          <w:b/>
          <w:bCs/>
        </w:rPr>
        <w:t xml:space="preserve">Mitigation:</w:t>
      </w:r>
      <w:r>
        <w:t xml:space="preserve"> The thesis labels trust, sustainability, harm reduction, and community benefit as future evaluation areas.</w:t>
      </w:r>
      <w:r/>
    </w:p>
    <w:p>
      <w:pPr>
        <w:pStyle w:val="964"/>
        <w:numPr>
          <w:ilvl w:val="0"/>
          <w:numId w:val="179"/>
        </w:numPr>
        <w:pBdr/>
        <w:spacing/>
        <w:ind/>
        <w:rPr/>
      </w:pPr>
      <w:r>
        <w:rPr>
          <w:b/>
          <w:bCs/>
        </w:rPr>
        <w:t xml:space="preserve">Future work:</w:t>
      </w:r>
      <w:r>
        <w:t xml:space="preserve"> Use longitudinal study, audits, incident review, stakeholder interviews, and deployment data.</w:t>
      </w:r>
      <w:r/>
    </w:p>
    <w:p>
      <w:pPr>
        <w:pStyle w:val="963"/>
        <w:pBdr/>
        <w:spacing/>
        <w:ind/>
        <w:rPr/>
      </w:pPr>
      <w:r>
        <w:rPr>
          <w:b/>
          <w:bCs/>
        </w:rPr>
        <w:t xml:space="preserve">Limitation 3: Limited Empirical Investigation</w:t>
      </w:r>
      <w:r/>
    </w:p>
    <w:p>
      <w:pPr>
        <w:pStyle w:val="962"/>
        <w:pBdr/>
        <w:spacing/>
        <w:ind/>
        <w:rPr/>
      </w:pPr>
      <w:r>
        <w:t xml:space="preserve">VSD often includes empirical stakeholder investigation. This thesis is strongest as a constructive framework-development project with an illustrative case application.</w:t>
      </w:r>
      <w:r/>
    </w:p>
    <w:p>
      <w:pPr>
        <w:pStyle w:val="964"/>
        <w:numPr>
          <w:ilvl w:val="0"/>
          <w:numId w:val="180"/>
        </w:numPr>
        <w:pBdr/>
        <w:spacing/>
        <w:ind/>
        <w:rPr/>
      </w:pPr>
      <w:r>
        <w:rPr>
          <w:b/>
          <w:bCs/>
        </w:rPr>
        <w:t xml:space="preserve">Impact:</w:t>
      </w:r>
      <w:r>
        <w:t xml:space="preserve"> Stakeholder experience and practical adoption remain under-evidenced.</w:t>
      </w:r>
      <w:r/>
    </w:p>
    <w:p>
      <w:pPr>
        <w:pStyle w:val="964"/>
        <w:numPr>
          <w:ilvl w:val="0"/>
          <w:numId w:val="180"/>
        </w:numPr>
        <w:pBdr/>
        <w:spacing/>
        <w:ind/>
        <w:rPr/>
      </w:pPr>
      <w:r>
        <w:rPr>
          <w:b/>
          <w:bCs/>
        </w:rPr>
        <w:t xml:space="preserve">Mitigation:</w:t>
      </w:r>
      <w:r>
        <w:t xml:space="preserve"> The framework includes evaluation domains and evidence-level distinctions.</w:t>
      </w:r>
      <w:r/>
    </w:p>
    <w:p>
      <w:pPr>
        <w:pStyle w:val="964"/>
        <w:numPr>
          <w:ilvl w:val="0"/>
          <w:numId w:val="180"/>
        </w:numPr>
        <w:pBdr/>
        <w:spacing/>
        <w:ind/>
        <w:rPr/>
      </w:pPr>
      <w:r>
        <w:rPr>
          <w:b/>
          <w:bCs/>
        </w:rPr>
        <w:t xml:space="preserve">Future work:</w:t>
      </w:r>
      <w:r>
        <w:t xml:space="preserve"> Conduct interviews, surveys, participatory workshops, practitioner review, and comparative case studies.</w:t>
      </w:r>
      <w:r/>
    </w:p>
    <w:p>
      <w:pPr>
        <w:pStyle w:val="963"/>
        <w:pBdr/>
        <w:spacing/>
        <w:ind/>
        <w:rPr/>
      </w:pPr>
      <w:r>
        <w:rPr>
          <w:b/>
          <w:bCs/>
        </w:rPr>
        <w:t xml:space="preserve">Limitation 4: Scholarly Consultation Scope</w:t>
      </w:r>
      <w:r/>
    </w:p>
    <w:p>
      <w:pPr>
        <w:pStyle w:val="962"/>
        <w:pBdr/>
        <w:spacing/>
        <w:ind/>
        <w:rPr/>
      </w:pPr>
      <w:r>
        <w:t xml:space="preserve">The thesis uses selected Sunni Islamic ethical principles and available scholarship, but it does not replace qualified Islamic legal judgement.</w:t>
      </w:r>
      <w:r/>
    </w:p>
    <w:p>
      <w:pPr>
        <w:pStyle w:val="964"/>
        <w:numPr>
          <w:ilvl w:val="0"/>
          <w:numId w:val="181"/>
        </w:numPr>
        <w:pBdr/>
        <w:spacing/>
        <w:ind/>
        <w:rPr/>
      </w:pPr>
      <w:r>
        <w:rPr>
          <w:b/>
          <w:bCs/>
        </w:rPr>
        <w:t xml:space="preserve">Impact:</w:t>
      </w:r>
      <w:r>
        <w:t xml:space="preserve"> Some applied questions may require deeper scholarly review.</w:t>
      </w:r>
      <w:r/>
    </w:p>
    <w:p>
      <w:pPr>
        <w:pStyle w:val="964"/>
        <w:numPr>
          <w:ilvl w:val="0"/>
          <w:numId w:val="181"/>
        </w:numPr>
        <w:pBdr/>
        <w:spacing/>
        <w:ind/>
        <w:rPr/>
      </w:pPr>
      <w:r>
        <w:rPr>
          <w:b/>
          <w:bCs/>
        </w:rPr>
        <w:t xml:space="preserve">Mitigation:</w:t>
      </w:r>
      <w:r>
        <w:t xml:space="preserve"> The framework treats disputed matters cautiously and distinguishes principle-level guidance from specific rulings.</w:t>
      </w:r>
      <w:r/>
    </w:p>
    <w:p>
      <w:pPr>
        <w:pStyle w:val="964"/>
        <w:numPr>
          <w:ilvl w:val="0"/>
          <w:numId w:val="181"/>
        </w:numPr>
        <w:pBdr/>
        <w:spacing/>
        <w:ind/>
        <w:rPr/>
      </w:pPr>
      <w:r>
        <w:rPr>
          <w:b/>
          <w:bCs/>
        </w:rPr>
        <w:t xml:space="preserve">Future work:</w:t>
      </w:r>
      <w:r>
        <w:t xml:space="preserve"> Engage contemporary Islamic scholars familiar with software, data governance, AI, payments, and platform design.</w:t>
      </w:r>
      <w:r/>
    </w:p>
    <w:p>
      <w:pPr>
        <w:pBdr/>
        <w:spacing/>
        <w:ind/>
        <w:rPr/>
      </w:pPr>
      <w:r>
        <mc:AlternateContent>
          <mc:Choice Requires="wpg">
            <w:drawing>
              <wp:inline xmlns:wp="http://schemas.openxmlformats.org/drawingml/2006/wordprocessingDrawing" distT="0" distB="0" distL="0" distR="0">
                <wp:extent cx="0" cy="19050"/>
                <wp:effectExtent l="0" t="0" r="0" b="0"/>
                <wp:docPr id="8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8" o:spid="_x0000_s88" o:spt="1" type="#_x0000_t1" style="width:0.00pt;height:1.50pt;mso-wrap-distance-left:0.00pt;mso-wrap-distance-top:0.00pt;mso-wrap-distance-right:0.00pt;mso-wrap-distance-bottom:0.00pt;visibility:visible;" fillcolor="#FFFFFF" strokecolor="#000000"/>
            </w:pict>
          </mc:Fallback>
        </mc:AlternateContent>
      </w:r>
      <w:bookmarkEnd w:id="109"/>
      <w:r/>
    </w:p>
    <w:p>
      <w:pPr>
        <w:pStyle w:val="977"/>
        <w:pBdr/>
        <w:spacing/>
        <w:ind/>
        <w:rPr/>
      </w:pPr>
      <w:r/>
      <w:bookmarkStart w:id="110" w:name="Xa1bd67e4925f9fdb74e08550a7eb1c71a5acb8d"/>
      <w:r>
        <w:t xml:space="preserve">5.2.3 Technical Limitations of Ethical Implementations</w:t>
      </w:r>
      <w:r/>
    </w:p>
    <w:p>
      <w:pPr>
        <w:pStyle w:val="963"/>
        <w:pBdr/>
        <w:spacing/>
        <w:ind/>
        <w:rPr/>
      </w:pPr>
      <w:r>
        <w:rPr>
          <w:b/>
          <w:bCs/>
        </w:rPr>
        <w:t xml:space="preserve">Challenge 7: Zero-Knowledge and End-to-End Encryption Trade-offs</w:t>
      </w:r>
      <w:r/>
    </w:p>
    <w:p>
      <w:pPr>
        <w:pStyle w:val="962"/>
        <w:pBdr/>
        <w:spacing/>
        <w:ind/>
        <w:rPr/>
      </w:pPr>
      <w:r>
        <w:t xml:space="preserve">While privacy-preserving technologies like zero-knowledge systems are ethically valuable, they introduce significant operational risks:</w:t>
      </w:r>
      <w:r/>
    </w:p>
    <w:p>
      <w:pPr>
        <w:pStyle w:val="962"/>
        <w:pBdr/>
        <w:spacing/>
        <w:ind/>
        <w:rPr/>
      </w:pPr>
      <w:r>
        <w:rPr>
          <w:b/>
          <w:bCs/>
        </w:rPr>
        <w:t xml:space="preserve">The Proton Model Example:</w:t>
      </w:r>
      <w:r/>
    </w:p>
    <w:p>
      <w:pPr>
        <w:pStyle w:val="962"/>
        <w:pBdr/>
        <w:spacing/>
        <w:ind/>
        <w:rPr/>
      </w:pPr>
      <w:r>
        <w:t xml:space="preserve">Services like ProtonMail and ProtonDrive use end-to-end encryption where:</w:t>
      </w:r>
      <w:r/>
    </w:p>
    <w:p>
      <w:pPr>
        <w:pStyle w:val="964"/>
        <w:numPr>
          <w:ilvl w:val="0"/>
          <w:numId w:val="182"/>
        </w:numPr>
        <w:pBdr/>
        <w:spacing/>
        <w:ind/>
        <w:rPr/>
      </w:pPr>
      <w:r>
        <w:t xml:space="preserve">Only the user holds the encryption key</w:t>
      </w:r>
      <w:r/>
    </w:p>
    <w:p>
      <w:pPr>
        <w:pStyle w:val="964"/>
        <w:numPr>
          <w:ilvl w:val="0"/>
          <w:numId w:val="182"/>
        </w:numPr>
        <w:pBdr/>
        <w:spacing/>
        <w:ind/>
        <w:rPr/>
      </w:pPr>
      <w:r>
        <w:t xml:space="preserve">The service provider has </w:t>
      </w:r>
      <w:r>
        <w:rPr>
          <w:b/>
          <w:bCs/>
        </w:rPr>
        <w:t xml:space="preserve">zero knowledge</w:t>
      </w:r>
      <w:r>
        <w:t xml:space="preserve"> of user data</w:t>
      </w:r>
      <w:r/>
    </w:p>
    <w:p>
      <w:pPr>
        <w:pStyle w:val="964"/>
        <w:numPr>
          <w:ilvl w:val="0"/>
          <w:numId w:val="182"/>
        </w:numPr>
        <w:pBdr/>
        <w:spacing/>
        <w:ind/>
        <w:rPr/>
      </w:pPr>
      <w:r>
        <w:t xml:space="preserve">Even legal demands cannot access encrypted content</w:t>
      </w:r>
      <w:r/>
    </w:p>
    <w:p>
      <w:pPr>
        <w:pStyle w:val="963"/>
        <w:pBdr/>
        <w:spacing/>
        <w:ind/>
        <w:rPr/>
      </w:pPr>
      <w:r>
        <w:rPr>
          <w:b/>
          <w:bCs/>
        </w:rPr>
        <w:t xml:space="preserve">The Critical Trade-off:</w:t>
      </w:r>
      <w:r/>
    </w:p>
    <w:tbl>
      <w:tblPr>
        <w:tblStyle w:val="996"/>
        <w:tblW w:w="0" w:type="auto"/>
        <w:tblBorders/>
        <w:tblLook w:val="0020" w:firstRow="1" w:lastRow="0" w:firstColumn="0" w:lastColumn="0" w:noHBand="0" w:noVBand="0"/>
      </w:tblPr>
      <w:tblGrid>
        <w:gridCol w:w="3960"/>
        <w:gridCol w:w="3960"/>
      </w:tblGrid>
      <w:tr>
        <w:trPr>
          <w:tblHeader/>
        </w:trPr>
        <w:tc>
          <w:tcPr>
            <w:tcBorders/>
          </w:tcPr>
          <w:p>
            <w:pPr>
              <w:pStyle w:val="964"/>
              <w:pBdr/>
              <w:spacing/>
              <w:ind/>
              <w:rPr/>
            </w:pPr>
            <w:r>
              <w:t xml:space="preserve">Benefit</w:t>
            </w:r>
            <w:r/>
          </w:p>
        </w:tc>
        <w:tc>
          <w:tcPr>
            <w:tcBorders/>
          </w:tcPr>
          <w:p>
            <w:pPr>
              <w:pStyle w:val="964"/>
              <w:pBdr/>
              <w:spacing/>
              <w:ind/>
              <w:rPr/>
            </w:pPr>
            <w:r>
              <w:t xml:space="preserve">Risk</w:t>
            </w:r>
            <w:r/>
          </w:p>
        </w:tc>
      </w:tr>
      <w:tr>
        <w:trPr/>
        <w:tc>
          <w:tcPr>
            <w:tcBorders/>
          </w:tcPr>
          <w:p>
            <w:pPr>
              <w:pStyle w:val="964"/>
              <w:pBdr/>
              <w:spacing/>
              <w:ind/>
              <w:rPr/>
            </w:pPr>
            <w:r>
              <w:t xml:space="preserve">Maximum privacy from provider</w:t>
            </w:r>
            <w:r/>
          </w:p>
        </w:tc>
        <w:tc>
          <w:tcPr>
            <w:tcBorders/>
          </w:tcPr>
          <w:p>
            <w:pPr>
              <w:pStyle w:val="964"/>
              <w:pBdr/>
              <w:spacing/>
              <w:ind/>
              <w:rPr/>
            </w:pPr>
            <w:r>
              <w:rPr>
                <w:b/>
                <w:bCs/>
              </w:rPr>
              <w:t xml:space="preserve">No data recovery if key is lost</w:t>
            </w:r>
            <w:r/>
          </w:p>
        </w:tc>
      </w:tr>
      <w:tr>
        <w:trPr/>
        <w:tc>
          <w:tcPr>
            <w:tcBorders/>
          </w:tcPr>
          <w:p>
            <w:pPr>
              <w:pStyle w:val="964"/>
              <w:pBdr/>
              <w:spacing/>
              <w:ind/>
              <w:rPr/>
            </w:pPr>
            <w:r>
              <w:t xml:space="preserve">Protection from government overreach</w:t>
            </w:r>
            <w:r/>
          </w:p>
        </w:tc>
        <w:tc>
          <w:tcPr>
            <w:tcBorders/>
          </w:tcPr>
          <w:p>
            <w:pPr>
              <w:pStyle w:val="964"/>
              <w:pBdr/>
              <w:spacing/>
              <w:ind/>
              <w:rPr/>
            </w:pPr>
            <w:r>
              <w:rPr>
                <w:b/>
                <w:bCs/>
              </w:rPr>
              <w:t xml:space="preserve">No password reset possible</w:t>
            </w:r>
            <w:r/>
          </w:p>
        </w:tc>
      </w:tr>
      <w:tr>
        <w:trPr/>
        <w:tc>
          <w:tcPr>
            <w:tcBorders/>
          </w:tcPr>
          <w:p>
            <w:pPr>
              <w:pStyle w:val="964"/>
              <w:pBdr/>
              <w:spacing/>
              <w:ind/>
              <w:rPr/>
            </w:pPr>
            <w:r>
              <w:t xml:space="preserve">Trust not required in provider</w:t>
            </w:r>
            <w:r/>
          </w:p>
        </w:tc>
        <w:tc>
          <w:tcPr>
            <w:tcBorders/>
          </w:tcPr>
          <w:p>
            <w:pPr>
              <w:pStyle w:val="964"/>
              <w:pBdr/>
              <w:spacing/>
              <w:ind/>
              <w:rPr/>
            </w:pPr>
            <w:r>
              <w:rPr>
                <w:b/>
                <w:bCs/>
              </w:rPr>
              <w:t xml:space="preserve">Entire business can be lost</w:t>
            </w:r>
            <w:r/>
          </w:p>
        </w:tc>
      </w:tr>
      <w:tr>
        <w:trPr/>
        <w:tc>
          <w:tcPr>
            <w:tcBorders/>
          </w:tcPr>
          <w:p>
            <w:pPr>
              <w:pStyle w:val="964"/>
              <w:pBdr/>
              <w:spacing/>
              <w:ind/>
              <w:rPr/>
            </w:pPr>
            <w:r>
              <w:t xml:space="preserve">Protection from data breaches</w:t>
            </w:r>
            <w:r/>
          </w:p>
        </w:tc>
        <w:tc>
          <w:tcPr>
            <w:tcBorders/>
          </w:tcPr>
          <w:p>
            <w:pPr>
              <w:pStyle w:val="964"/>
              <w:pBdr/>
              <w:spacing/>
              <w:ind/>
              <w:rPr/>
            </w:pPr>
            <w:r>
              <w:rPr>
                <w:b/>
                <w:bCs/>
              </w:rPr>
              <w:t xml:space="preserve">No redundancy or backup by provider</w:t>
            </w:r>
            <w:r/>
          </w:p>
        </w:tc>
      </w:tr>
    </w:tbl>
    <w:p>
      <w:pPr>
        <w:pStyle w:val="962"/>
        <w:pBdr/>
        <w:spacing/>
        <w:ind/>
        <w:rPr/>
      </w:pPr>
      <w:r>
        <w:rPr>
          <w:b/>
          <w:bCs/>
        </w:rPr>
        <w:t xml:space="preserve">Real-World Consequences:</w:t>
      </w:r>
      <w:r/>
    </w:p>
    <w:p>
      <w:pPr>
        <w:pStyle w:val="964"/>
        <w:numPr>
          <w:ilvl w:val="0"/>
          <w:numId w:val="183"/>
        </w:numPr>
        <w:pBdr/>
        <w:spacing/>
        <w:ind/>
        <w:rPr/>
      </w:pPr>
      <w:r>
        <w:t xml:space="preserve">Businesses have lost </w:t>
      </w:r>
      <w:r>
        <w:rPr>
          <w:b/>
          <w:bCs/>
        </w:rPr>
        <w:t xml:space="preserve">all their data</w:t>
      </w:r>
      <w:r>
        <w:t xml:space="preserve"> due to lost encryption keys</w:t>
      </w:r>
      <w:r/>
    </w:p>
    <w:p>
      <w:pPr>
        <w:pStyle w:val="964"/>
        <w:numPr>
          <w:ilvl w:val="0"/>
          <w:numId w:val="183"/>
        </w:numPr>
        <w:pBdr/>
        <w:spacing/>
        <w:ind/>
        <w:rPr/>
      </w:pPr>
      <w:r>
        <w:t xml:space="preserve">No recovery possible - the encryption is mathematically unbreakable</w:t>
      </w:r>
      <w:r/>
    </w:p>
    <w:p>
      <w:pPr>
        <w:pStyle w:val="964"/>
        <w:numPr>
          <w:ilvl w:val="0"/>
          <w:numId w:val="183"/>
        </w:numPr>
        <w:pBdr/>
        <w:spacing/>
        <w:ind/>
        <w:rPr/>
      </w:pPr>
      <w:r>
        <w:t xml:space="preserve">Years of work, client communications, financial records - all gone</w:t>
      </w:r>
      <w:r/>
    </w:p>
    <w:p>
      <w:pPr>
        <w:pStyle w:val="964"/>
        <w:numPr>
          <w:ilvl w:val="0"/>
          <w:numId w:val="183"/>
        </w:numPr>
        <w:pBdr/>
        <w:spacing/>
        <w:ind/>
        <w:rPr/>
      </w:pPr>
      <w:r>
        <w:t xml:space="preserve">The very feature that protects privacy becomes catastrophic vulnerability</w:t>
      </w:r>
      <w:r/>
    </w:p>
    <w:p>
      <w:pPr>
        <w:pStyle w:val="963"/>
        <w:pBdr/>
        <w:spacing/>
        <w:ind/>
        <w:rPr/>
      </w:pPr>
      <w:r>
        <w:rPr>
          <w:b/>
          <w:bCs/>
        </w:rPr>
        <w:t xml:space="preserve">The Resiliency Problem:</w:t>
      </w:r>
      <w:r/>
    </w:p>
    <w:p>
      <w:pPr>
        <w:pStyle w:val="964"/>
        <w:numPr>
          <w:ilvl w:val="0"/>
          <w:numId w:val="184"/>
        </w:numPr>
        <w:pBdr/>
        <w:spacing/>
        <w:ind/>
        <w:rPr/>
      </w:pPr>
      <w:r>
        <w:t xml:space="preserve">Traditional (trusted) cloud services can recover accounts</w:t>
      </w:r>
      <w:r/>
    </w:p>
    <w:p>
      <w:pPr>
        <w:pStyle w:val="964"/>
        <w:numPr>
          <w:ilvl w:val="0"/>
          <w:numId w:val="184"/>
        </w:numPr>
        <w:pBdr/>
        <w:spacing/>
        <w:ind/>
        <w:rPr/>
      </w:pPr>
      <w:r>
        <w:t xml:space="preserve">Password resets, identity verification, customer support</w:t>
      </w:r>
      <w:r/>
    </w:p>
    <w:p>
      <w:pPr>
        <w:pStyle w:val="964"/>
        <w:numPr>
          <w:ilvl w:val="0"/>
          <w:numId w:val="184"/>
        </w:numPr>
        <w:pBdr/>
        <w:spacing/>
        <w:ind/>
        <w:rPr/>
      </w:pPr>
      <w:r>
        <w:t xml:space="preserve">Data is replicated, backed up, recoverable</w:t>
      </w:r>
      <w:r/>
    </w:p>
    <w:p>
      <w:pPr>
        <w:pStyle w:val="964"/>
        <w:numPr>
          <w:ilvl w:val="0"/>
          <w:numId w:val="184"/>
        </w:numPr>
        <w:pBdr/>
        <w:spacing/>
        <w:ind/>
        <w:rPr/>
      </w:pPr>
      <w:r>
        <w:t xml:space="preserve">Zero-knowledge systems have </w:t>
      </w:r>
      <w:r>
        <w:rPr>
          <w:b/>
          <w:bCs/>
        </w:rPr>
        <w:t xml:space="preserve">none of these safety nets</w:t>
      </w:r>
      <w:r/>
    </w:p>
    <w:p>
      <w:pPr>
        <w:pStyle w:val="963"/>
        <w:pBdr/>
        <w:spacing/>
        <w:ind/>
        <w:rPr/>
      </w:pPr>
      <w:r>
        <w:rPr>
          <w:b/>
          <w:bCs/>
        </w:rPr>
        <w:t xml:space="preserve">Islamic Perspective:</w:t>
      </w:r>
      <w:r>
        <w:br/>
      </w:r>
      <w:r>
        <w:t xml:space="preserve">This represents a genuine trade-off, not a clear ethical mandate:</w:t>
      </w:r>
      <w:r/>
    </w:p>
    <w:p>
      <w:pPr>
        <w:pStyle w:val="964"/>
        <w:numPr>
          <w:ilvl w:val="0"/>
          <w:numId w:val="185"/>
        </w:numPr>
        <w:pBdr/>
        <w:spacing/>
        <w:ind/>
        <w:rPr/>
      </w:pPr>
      <w:r>
        <w:rPr>
          <w:b/>
          <w:bCs/>
        </w:rPr>
        <w:t xml:space="preserve">Privacy (Prohibition of Tajassus):</w:t>
      </w:r>
      <w:r>
        <w:t xml:space="preserve"> Supports zero-knowledge</w:t>
      </w:r>
      <w:r/>
    </w:p>
    <w:p>
      <w:pPr>
        <w:pStyle w:val="964"/>
        <w:numPr>
          <w:ilvl w:val="0"/>
          <w:numId w:val="185"/>
        </w:numPr>
        <w:pBdr/>
        <w:spacing/>
        <w:ind/>
        <w:rPr/>
      </w:pPr>
      <w:r>
        <w:rPr>
          <w:b/>
          <w:bCs/>
        </w:rPr>
        <w:t xml:space="preserve">Preservation of Wealth (Hifz al-Mal):</w:t>
      </w:r>
      <w:r>
        <w:t xml:space="preserve"> Supports data resiliency</w:t>
      </w:r>
      <w:r/>
    </w:p>
    <w:p>
      <w:pPr>
        <w:pStyle w:val="964"/>
        <w:numPr>
          <w:ilvl w:val="0"/>
          <w:numId w:val="185"/>
        </w:numPr>
        <w:pBdr/>
        <w:spacing/>
        <w:ind/>
        <w:rPr/>
      </w:pPr>
      <w:r>
        <w:rPr>
          <w:b/>
          <w:bCs/>
        </w:rPr>
        <w:t xml:space="preserve">Risk Management (Avoiding Gharar):</w:t>
      </w:r>
      <w:r>
        <w:t xml:space="preserve"> May favor trusted systems with clear recovery options</w:t>
      </w:r>
      <w:r/>
    </w:p>
    <w:p>
      <w:pPr>
        <w:pStyle w:val="963"/>
        <w:pBdr/>
        <w:spacing/>
        <w:ind/>
        <w:rPr/>
      </w:pPr>
      <w:r>
        <w:rPr>
          <w:b/>
          <w:bCs/>
        </w:rPr>
        <w:t xml:space="preserve">Practical Recommendation:</w:t>
      </w:r>
      <w:r>
        <w:br/>
      </w:r>
      <w:r>
        <w:t xml:space="preserve">The I-VSD framework recommends:</w:t>
      </w:r>
      <w:r/>
    </w:p>
    <w:p>
      <w:pPr>
        <w:pStyle w:val="964"/>
        <w:numPr>
          <w:ilvl w:val="0"/>
          <w:numId w:val="186"/>
        </w:numPr>
        <w:pBdr/>
        <w:spacing/>
        <w:ind/>
        <w:rPr/>
      </w:pPr>
      <w:r>
        <w:rPr>
          <w:b/>
          <w:bCs/>
        </w:rPr>
        <w:t xml:space="preserve">Assess actual threat model:</w:t>
      </w:r>
      <w:r>
        <w:t xml:space="preserve"> Who are you protecting data from?</w:t>
      </w:r>
      <w:r/>
    </w:p>
    <w:p>
      <w:pPr>
        <w:pStyle w:val="964"/>
        <w:numPr>
          <w:ilvl w:val="0"/>
          <w:numId w:val="186"/>
        </w:numPr>
        <w:pBdr/>
        <w:spacing/>
        <w:ind/>
        <w:rPr/>
      </w:pPr>
      <w:r>
        <w:rPr>
          <w:b/>
          <w:bCs/>
        </w:rPr>
        <w:t xml:space="preserve">Consider consequences of loss:</w:t>
      </w:r>
      <w:r>
        <w:t xml:space="preserve"> Can the data be recreated?</w:t>
      </w:r>
      <w:r/>
    </w:p>
    <w:p>
      <w:pPr>
        <w:pStyle w:val="964"/>
        <w:numPr>
          <w:ilvl w:val="0"/>
          <w:numId w:val="186"/>
        </w:numPr>
        <w:pBdr/>
        <w:spacing/>
        <w:ind/>
        <w:rPr/>
      </w:pPr>
      <w:r>
        <w:rPr>
          <w:b/>
          <w:bCs/>
        </w:rPr>
        <w:t xml:space="preserve">Hybrid approaches:</w:t>
      </w:r>
      <w:r>
        <w:t xml:space="preserve"> Zero-knowledge for sensitive data, trusted backup for essential data</w:t>
      </w:r>
      <w:r/>
    </w:p>
    <w:p>
      <w:pPr>
        <w:pStyle w:val="964"/>
        <w:numPr>
          <w:ilvl w:val="0"/>
          <w:numId w:val="186"/>
        </w:numPr>
        <w:pBdr/>
        <w:spacing/>
        <w:ind/>
        <w:rPr/>
      </w:pPr>
      <w:r>
        <w:rPr>
          <w:b/>
          <w:bCs/>
        </w:rPr>
        <w:t xml:space="preserve">User education:</w:t>
      </w:r>
      <w:r>
        <w:t xml:space="preserve"> Clear warnings about irreversible loss risks</w:t>
      </w:r>
      <w:r/>
    </w:p>
    <w:p>
      <w:pPr>
        <w:pStyle w:val="963"/>
        <w:pBdr/>
        <w:spacing/>
        <w:ind/>
        <w:rPr/>
      </w:pPr>
      <w:r>
        <w:rPr>
          <w:b/>
          <w:bCs/>
        </w:rPr>
        <w:t xml:space="preserve">Challenge 8: AI Automation and Operational Fragility</w:t>
      </w:r>
      <w:r/>
    </w:p>
    <w:p>
      <w:pPr>
        <w:pStyle w:val="962"/>
        <w:pBdr/>
        <w:spacing/>
        <w:ind/>
        <w:rPr/>
      </w:pPr>
      <w:r>
        <w:t xml:space="preserve">Ethical implementation can be undermined by tools that act faster th</w:t>
      </w:r>
      <w:r>
        <w:t xml:space="preserve">an human review. AI coding agents, deployment assistants, and infrastructure automations can produce large changes, call destructive APIs, or act on misunderstood context. Reported incidents involving production-data deletion, backup loss, hallucinated leg</w:t>
      </w:r>
      <w:r>
        <w:t xml:space="preserve">al citations, unexpected billing behavior, or degraded coding-agent quality should be treated carefully as incident signals rather than broad vendor verdicts. Their relevance to I-VSD is the risk pattern: automation can concentrate power and failure speed.</w:t>
      </w:r>
      <w:r/>
    </w:p>
    <w:p>
      <w:pPr>
        <w:pStyle w:val="962"/>
        <w:pBdr/>
        <w:spacing/>
        <w:ind/>
        <w:rPr/>
      </w:pPr>
      <w:r>
        <w:t xml:space="preserve">The practical limitation is that safety controls add friction. Scoped credentials, human approval, dry-run modes, separate backup credentials, audit logs, rate limits, and rollback plans slow down development. I-VSD accepts this friction when the al</w:t>
      </w:r>
      <w:r>
        <w:t xml:space="preserve">ternative is giving an unreliable system authority over user data, money, legal claims, or community trust. This mirrors the broader thesis pattern: ethical software may be less convenient in the short term because it refuses hidden risk transfer to users.</w:t>
      </w:r>
      <w:r/>
    </w:p>
    <w:p>
      <w:pPr>
        <w:pBdr/>
        <w:spacing/>
        <w:ind/>
        <w:rPr/>
      </w:pPr>
      <w:r>
        <mc:AlternateContent>
          <mc:Choice Requires="wpg">
            <w:drawing>
              <wp:inline xmlns:wp="http://schemas.openxmlformats.org/drawingml/2006/wordprocessingDrawing" distT="0" distB="0" distL="0" distR="0">
                <wp:extent cx="0" cy="19050"/>
                <wp:effectExtent l="0" t="0" r="0" b="0"/>
                <wp:docPr id="9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9" o:spid="_x0000_s89" o:spt="1" type="#_x0000_t1" style="width:0.00pt;height:1.50pt;mso-wrap-distance-left:0.00pt;mso-wrap-distance-top:0.00pt;mso-wrap-distance-right:0.00pt;mso-wrap-distance-bottom:0.00pt;visibility:visible;" fillcolor="#FFFFFF" strokecolor="#000000"/>
            </w:pict>
          </mc:Fallback>
        </mc:AlternateContent>
      </w:r>
      <w:bookmarkEnd w:id="110"/>
      <w:r/>
    </w:p>
    <w:p>
      <w:pPr>
        <w:pStyle w:val="977"/>
        <w:pBdr/>
        <w:spacing/>
        <w:ind/>
        <w:rPr/>
      </w:pPr>
      <w:r/>
      <w:bookmarkStart w:id="111" w:name="X54abbb559c546d816ec10504e3c673c7e178b9d"/>
      <w:r>
        <w:t xml:space="preserve">5.2.4 The Role of Trust in Ethical Business Relationships</w:t>
      </w:r>
      <w:r/>
    </w:p>
    <w:p>
      <w:pPr>
        <w:pStyle w:val="963"/>
        <w:pBdr/>
        <w:spacing/>
        <w:ind/>
        <w:rPr/>
      </w:pPr>
      <w:r>
        <w:rPr>
          <w:b/>
          <w:bCs/>
        </w:rPr>
        <w:t xml:space="preserve">Trust is Not Inherently Bad</w:t>
      </w:r>
      <w:r/>
    </w:p>
    <w:p>
      <w:pPr>
        <w:pStyle w:val="962"/>
        <w:pBdr/>
        <w:spacing/>
        <w:ind/>
        <w:rPr/>
      </w:pPr>
      <w:r>
        <w:t xml:space="preserve">A potential misreading of this thesis would conclude that trust should be eliminated from all software relationships. This is incorrect.</w:t>
      </w:r>
      <w:r/>
    </w:p>
    <w:p>
      <w:pPr>
        <w:pStyle w:val="962"/>
        <w:pBdr/>
        <w:spacing/>
        <w:ind/>
        <w:rPr/>
      </w:pPr>
      <w:r>
        <w:rPr>
          <w:b/>
          <w:bCs/>
        </w:rPr>
        <w:t xml:space="preserve">The Value of Trust:</w:t>
      </w:r>
      <w:r/>
    </w:p>
    <w:p>
      <w:pPr>
        <w:pStyle w:val="962"/>
        <w:pBdr/>
        <w:spacing/>
        <w:ind/>
        <w:rPr/>
      </w:pPr>
      <w:r>
        <w:t xml:space="preserve">Trust, properly placed, provides significant benefits:</w:t>
      </w:r>
      <w:r/>
    </w:p>
    <w:p>
      <w:pPr>
        <w:pStyle w:val="962"/>
        <w:pBdr/>
        <w:spacing/>
        <w:ind/>
        <w:rPr/>
      </w:pPr>
      <w:r>
        <w:rPr>
          <w:b/>
          <w:bCs/>
        </w:rPr>
        <w:t xml:space="preserve">1. Operational Resilience:</w:t>
      </w:r>
      <w:r/>
    </w:p>
    <w:p>
      <w:pPr>
        <w:pStyle w:val="964"/>
        <w:numPr>
          <w:ilvl w:val="0"/>
          <w:numId w:val="187"/>
        </w:numPr>
        <w:pBdr/>
        <w:spacing/>
        <w:ind/>
        <w:rPr/>
      </w:pPr>
      <w:r>
        <w:t xml:space="preserve">Trusted providers can offer data recovery</w:t>
      </w:r>
      <w:r/>
    </w:p>
    <w:p>
      <w:pPr>
        <w:pStyle w:val="964"/>
        <w:numPr>
          <w:ilvl w:val="0"/>
          <w:numId w:val="187"/>
        </w:numPr>
        <w:pBdr/>
        <w:spacing/>
        <w:ind/>
        <w:rPr/>
      </w:pPr>
      <w:r>
        <w:t xml:space="preserve">Password resets and account recovery are possible</w:t>
      </w:r>
      <w:r/>
    </w:p>
    <w:p>
      <w:pPr>
        <w:pStyle w:val="964"/>
        <w:numPr>
          <w:ilvl w:val="0"/>
          <w:numId w:val="187"/>
        </w:numPr>
        <w:pBdr/>
        <w:spacing/>
        <w:ind/>
        <w:rPr/>
      </w:pPr>
      <w:r>
        <w:t xml:space="preserve">Business continuity in case of user error</w:t>
      </w:r>
      <w:r/>
    </w:p>
    <w:p>
      <w:pPr>
        <w:pStyle w:val="964"/>
        <w:numPr>
          <w:ilvl w:val="0"/>
          <w:numId w:val="187"/>
        </w:numPr>
        <w:pBdr/>
        <w:spacing/>
        <w:ind/>
        <w:rPr/>
      </w:pPr>
      <w:r>
        <w:t xml:space="preserve">Redundancy and backup systems function</w:t>
      </w:r>
      <w:r/>
    </w:p>
    <w:p>
      <w:pPr>
        <w:pStyle w:val="963"/>
        <w:pBdr/>
        <w:spacing/>
        <w:ind/>
        <w:rPr/>
      </w:pPr>
      <w:r>
        <w:rPr>
          <w:b/>
          <w:bCs/>
        </w:rPr>
        <w:t xml:space="preserve">2. Easier Fundraising and Investment:</w:t>
      </w:r>
      <w:r/>
    </w:p>
    <w:p>
      <w:pPr>
        <w:pStyle w:val="964"/>
        <w:numPr>
          <w:ilvl w:val="0"/>
          <w:numId w:val="188"/>
        </w:numPr>
        <w:pBdr/>
        <w:spacing/>
        <w:ind/>
        <w:rPr/>
      </w:pPr>
      <w:r>
        <w:t xml:space="preserve">Investors trust companies with track records</w:t>
      </w:r>
      <w:r/>
    </w:p>
    <w:p>
      <w:pPr>
        <w:pStyle w:val="964"/>
        <w:numPr>
          <w:ilvl w:val="0"/>
          <w:numId w:val="188"/>
        </w:numPr>
        <w:pBdr/>
        <w:spacing/>
        <w:ind/>
        <w:rPr/>
      </w:pPr>
      <w:r>
        <w:t xml:space="preserve">Banks extend credit based on trust</w:t>
      </w:r>
      <w:r/>
    </w:p>
    <w:p>
      <w:pPr>
        <w:pStyle w:val="964"/>
        <w:numPr>
          <w:ilvl w:val="0"/>
          <w:numId w:val="188"/>
        </w:numPr>
        <w:pBdr/>
        <w:spacing/>
        <w:ind/>
        <w:rPr/>
      </w:pPr>
      <w:r>
        <w:t xml:space="preserve">Partnerships form on mutual trust</w:t>
      </w:r>
      <w:r/>
    </w:p>
    <w:p>
      <w:pPr>
        <w:pStyle w:val="964"/>
        <w:numPr>
          <w:ilvl w:val="0"/>
          <w:numId w:val="188"/>
        </w:numPr>
        <w:pBdr/>
        <w:spacing/>
        <w:ind/>
        <w:rPr/>
      </w:pPr>
      <w:r>
        <w:t xml:space="preserve">Community donations flow to trusted organizations</w:t>
      </w:r>
      <w:r/>
    </w:p>
    <w:p>
      <w:pPr>
        <w:pStyle w:val="963"/>
        <w:pBdr/>
        <w:spacing/>
        <w:ind/>
        <w:rPr/>
      </w:pPr>
      <w:r>
        <w:rPr>
          <w:b/>
          <w:bCs/>
        </w:rPr>
        <w:t xml:space="preserve">3. Reduced Transaction Costs:</w:t>
      </w:r>
      <w:r/>
    </w:p>
    <w:p>
      <w:pPr>
        <w:pStyle w:val="964"/>
        <w:numPr>
          <w:ilvl w:val="0"/>
          <w:numId w:val="189"/>
        </w:numPr>
        <w:pBdr/>
        <w:spacing/>
        <w:ind/>
        <w:rPr/>
      </w:pPr>
      <w:r>
        <w:t xml:space="preserve">No need for complex trustless verification systems</w:t>
      </w:r>
      <w:r/>
    </w:p>
    <w:p>
      <w:pPr>
        <w:pStyle w:val="964"/>
        <w:numPr>
          <w:ilvl w:val="0"/>
          <w:numId w:val="189"/>
        </w:numPr>
        <w:pBdr/>
        <w:spacing/>
        <w:ind/>
        <w:rPr/>
      </w:pPr>
      <w:r>
        <w:t xml:space="preserve">Simpler user experience</w:t>
      </w:r>
      <w:r/>
    </w:p>
    <w:p>
      <w:pPr>
        <w:pStyle w:val="964"/>
        <w:numPr>
          <w:ilvl w:val="0"/>
          <w:numId w:val="189"/>
        </w:numPr>
        <w:pBdr/>
        <w:spacing/>
        <w:ind/>
        <w:rPr/>
      </w:pPr>
      <w:r>
        <w:t xml:space="preserve">Lower computational overhead</w:t>
      </w:r>
      <w:r/>
    </w:p>
    <w:p>
      <w:pPr>
        <w:pStyle w:val="964"/>
        <w:numPr>
          <w:ilvl w:val="0"/>
          <w:numId w:val="189"/>
        </w:numPr>
        <w:pBdr/>
        <w:spacing/>
        <w:ind/>
        <w:rPr/>
      </w:pPr>
      <w:r>
        <w:t xml:space="preserve">Faster transaction processing</w:t>
      </w:r>
      <w:r/>
    </w:p>
    <w:p>
      <w:pPr>
        <w:pStyle w:val="963"/>
        <w:pBdr/>
        <w:spacing/>
        <w:ind/>
        <w:rPr/>
      </w:pPr>
      <w:r>
        <w:rPr>
          <w:b/>
          <w:bCs/>
        </w:rPr>
        <w:t xml:space="preserve">4. Human Connection:</w:t>
      </w:r>
      <w:r/>
    </w:p>
    <w:p>
      <w:pPr>
        <w:pStyle w:val="964"/>
        <w:numPr>
          <w:ilvl w:val="0"/>
          <w:numId w:val="190"/>
        </w:numPr>
        <w:pBdr/>
        <w:spacing/>
        <w:ind/>
        <w:rPr/>
      </w:pPr>
      <w:r>
        <w:t xml:space="preserve">Business relationships are fundamentally human</w:t>
      </w:r>
      <w:r/>
    </w:p>
    <w:p>
      <w:pPr>
        <w:pStyle w:val="964"/>
        <w:numPr>
          <w:ilvl w:val="0"/>
          <w:numId w:val="190"/>
        </w:numPr>
        <w:pBdr/>
        <w:spacing/>
        <w:ind/>
        <w:rPr/>
      </w:pPr>
      <w:r>
        <w:t xml:space="preserve">Trust enables collaboration and cooperation</w:t>
      </w:r>
      <w:r/>
    </w:p>
    <w:p>
      <w:pPr>
        <w:pStyle w:val="964"/>
        <w:numPr>
          <w:ilvl w:val="0"/>
          <w:numId w:val="190"/>
        </w:numPr>
        <w:pBdr/>
        <w:spacing/>
        <w:ind/>
        <w:rPr/>
      </w:pPr>
      <w:r>
        <w:t xml:space="preserve">Communities form around trusted institutions</w:t>
      </w:r>
      <w:r/>
    </w:p>
    <w:p>
      <w:pPr>
        <w:pStyle w:val="964"/>
        <w:numPr>
          <w:ilvl w:val="0"/>
          <w:numId w:val="190"/>
        </w:numPr>
        <w:pBdr/>
        <w:spacing/>
        <w:ind/>
        <w:rPr/>
      </w:pPr>
      <w:r>
        <w:t xml:space="preserve">Long-term relationships require trust</w:t>
      </w:r>
      <w:r/>
    </w:p>
    <w:p>
      <w:pPr>
        <w:pStyle w:val="963"/>
        <w:pBdr/>
        <w:spacing/>
        <w:ind/>
        <w:rPr/>
      </w:pPr>
      <w:r>
        <w:rPr>
          <w:b/>
          <w:bCs/>
        </w:rPr>
        <w:t xml:space="preserve">The Problem is Misplaced Trust</w:t>
      </w:r>
      <w:r/>
    </w:p>
    <w:p>
      <w:pPr>
        <w:pStyle w:val="962"/>
        <w:pBdr/>
        <w:spacing/>
        <w:ind/>
        <w:rPr/>
      </w:pPr>
      <w:r>
        <w:t xml:space="preserve">The ethical issue is not trust itself, but:</w:t>
      </w:r>
      <w:r/>
    </w:p>
    <w:p>
      <w:pPr>
        <w:pStyle w:val="962"/>
        <w:pBdr/>
        <w:spacing/>
        <w:ind/>
        <w:rPr/>
      </w:pPr>
      <w:r>
        <w:rPr>
          <w:b/>
          <w:bCs/>
        </w:rPr>
        <w:t xml:space="preserve">1. Trusting Those Who Don’t Deserve It:</w:t>
      </w:r>
      <w:r/>
    </w:p>
    <w:p>
      <w:pPr>
        <w:pStyle w:val="964"/>
        <w:numPr>
          <w:ilvl w:val="0"/>
          <w:numId w:val="191"/>
        </w:numPr>
        <w:pBdr/>
        <w:spacing/>
        <w:ind/>
        <w:rPr/>
      </w:pPr>
      <w:r>
        <w:t xml:space="preserve">Companies with documented deception history</w:t>
      </w:r>
      <w:r/>
    </w:p>
    <w:p>
      <w:pPr>
        <w:pStyle w:val="964"/>
        <w:numPr>
          <w:ilvl w:val="0"/>
          <w:numId w:val="191"/>
        </w:numPr>
        <w:pBdr/>
        <w:spacing/>
        <w:ind/>
        <w:rPr/>
      </w:pPr>
      <w:r>
        <w:t xml:space="preserve">Platforms with conflicting incentives (ad-based models)</w:t>
      </w:r>
      <w:r/>
    </w:p>
    <w:p>
      <w:pPr>
        <w:pStyle w:val="964"/>
        <w:numPr>
          <w:ilvl w:val="0"/>
          <w:numId w:val="191"/>
        </w:numPr>
        <w:pBdr/>
        <w:spacing/>
        <w:ind/>
        <w:rPr/>
      </w:pPr>
      <w:r>
        <w:t xml:space="preserve">Services that have previously violated user trust</w:t>
      </w:r>
      <w:r/>
    </w:p>
    <w:p>
      <w:pPr>
        <w:pStyle w:val="964"/>
        <w:numPr>
          <w:ilvl w:val="0"/>
          <w:numId w:val="191"/>
        </w:numPr>
        <w:pBdr/>
        <w:spacing/>
        <w:ind/>
        <w:rPr/>
      </w:pPr>
      <w:r>
        <w:t xml:space="preserve">Entities with no accountability mechanisms</w:t>
      </w:r>
      <w:r/>
    </w:p>
    <w:p>
      <w:pPr>
        <w:pStyle w:val="963"/>
        <w:pBdr/>
        <w:spacing/>
        <w:ind/>
        <w:rPr/>
      </w:pPr>
      <w:r>
        <w:rPr>
          <w:b/>
          <w:bCs/>
        </w:rPr>
        <w:t xml:space="preserve">2. Being Manipulated Into Trust:</w:t>
      </w:r>
      <w:r/>
    </w:p>
    <w:p>
      <w:pPr>
        <w:pStyle w:val="964"/>
        <w:numPr>
          <w:ilvl w:val="0"/>
          <w:numId w:val="192"/>
        </w:numPr>
        <w:pBdr/>
        <w:spacing/>
        <w:ind/>
        <w:rPr/>
      </w:pPr>
      <w:r>
        <w:t xml:space="preserve">Marketing designed to create false trust signals</w:t>
      </w:r>
      <w:r/>
    </w:p>
    <w:p>
      <w:pPr>
        <w:pStyle w:val="964"/>
        <w:numPr>
          <w:ilvl w:val="0"/>
          <w:numId w:val="192"/>
        </w:numPr>
        <w:pBdr/>
        <w:spacing/>
        <w:ind/>
        <w:rPr/>
      </w:pPr>
      <w:r>
        <w:t xml:space="preserve">Manufactured trust signals through fake reviews</w:t>
      </w:r>
      <w:r/>
    </w:p>
    <w:p>
      <w:pPr>
        <w:pStyle w:val="964"/>
        <w:numPr>
          <w:ilvl w:val="0"/>
          <w:numId w:val="192"/>
        </w:numPr>
        <w:pBdr/>
        <w:spacing/>
        <w:ind/>
        <w:rPr/>
      </w:pPr>
      <w:r>
        <w:t xml:space="preserve">Authority signals without substance</w:t>
      </w:r>
      <w:r/>
    </w:p>
    <w:p>
      <w:pPr>
        <w:pStyle w:val="964"/>
        <w:numPr>
          <w:ilvl w:val="0"/>
          <w:numId w:val="192"/>
        </w:numPr>
        <w:pBdr/>
        <w:spacing/>
        <w:ind/>
        <w:rPr/>
      </w:pPr>
      <w:r>
        <w:t xml:space="preserve">Emotional manipulation rather than earned trust</w:t>
      </w:r>
      <w:r/>
    </w:p>
    <w:p>
      <w:pPr>
        <w:pStyle w:val="963"/>
        <w:pBdr/>
        <w:spacing/>
        <w:ind/>
        <w:rPr/>
      </w:pPr>
      <w:r>
        <w:rPr>
          <w:b/>
          <w:bCs/>
        </w:rPr>
        <w:t xml:space="preserve">3. Trust Without Verification:</w:t>
      </w:r>
      <w:r/>
    </w:p>
    <w:p>
      <w:pPr>
        <w:pStyle w:val="964"/>
        <w:numPr>
          <w:ilvl w:val="0"/>
          <w:numId w:val="193"/>
        </w:numPr>
        <w:pBdr/>
        <w:spacing/>
        <w:ind/>
        <w:rPr/>
      </w:pPr>
      <w:r>
        <w:t xml:space="preserve">Accepting claims without evidence</w:t>
      </w:r>
      <w:r/>
    </w:p>
    <w:p>
      <w:pPr>
        <w:pStyle w:val="964"/>
        <w:numPr>
          <w:ilvl w:val="0"/>
          <w:numId w:val="193"/>
        </w:numPr>
        <w:pBdr/>
        <w:spacing/>
        <w:ind/>
        <w:rPr/>
      </w:pPr>
      <w:r>
        <w:t xml:space="preserve">Not reading terms of service</w:t>
      </w:r>
      <w:r/>
    </w:p>
    <w:p>
      <w:pPr>
        <w:pStyle w:val="964"/>
        <w:numPr>
          <w:ilvl w:val="0"/>
          <w:numId w:val="193"/>
        </w:numPr>
        <w:pBdr/>
        <w:spacing/>
        <w:ind/>
        <w:rPr/>
      </w:pPr>
      <w:r>
        <w:t xml:space="preserve">Ignoring warning signs</w:t>
      </w:r>
      <w:r/>
    </w:p>
    <w:p>
      <w:pPr>
        <w:pStyle w:val="964"/>
        <w:numPr>
          <w:ilvl w:val="0"/>
          <w:numId w:val="193"/>
        </w:numPr>
        <w:pBdr/>
        <w:spacing/>
        <w:ind/>
        <w:rPr/>
      </w:pPr>
      <w:r>
        <w:t xml:space="preserve">Assuming good faith from profit-driven entities</w:t>
      </w:r>
      <w:r/>
    </w:p>
    <w:p>
      <w:pPr>
        <w:pStyle w:val="963"/>
        <w:pBdr/>
        <w:spacing/>
        <w:ind/>
        <w:rPr/>
      </w:pPr>
      <w:r>
        <w:rPr>
          <w:b/>
          <w:bCs/>
        </w:rPr>
        <w:t xml:space="preserve">How to Evaluate Trustworthiness:</w:t>
      </w:r>
      <w:r/>
    </w:p>
    <w:p>
      <w:pPr>
        <w:pStyle w:val="962"/>
        <w:pBdr/>
        <w:spacing/>
        <w:ind/>
        <w:rPr/>
      </w:pPr>
      <w:r>
        <w:t xml:space="preserve">The I-VSD framework suggests evaluating software service providers on:</w:t>
      </w:r>
      <w:r/>
    </w:p>
    <w:tbl>
      <w:tblPr>
        <w:tblStyle w:val="996"/>
        <w:tblW w:w="0" w:type="auto"/>
        <w:tblBorders/>
        <w:tblLook w:val="0020" w:firstRow="1" w:lastRow="0" w:firstColumn="0" w:lastColumn="0" w:noHBand="0" w:noVBand="0"/>
      </w:tblPr>
      <w:tblGrid>
        <w:gridCol w:w="3960"/>
        <w:gridCol w:w="3960"/>
      </w:tblGrid>
      <w:tr>
        <w:trPr>
          <w:tblHeader/>
        </w:trPr>
        <w:tc>
          <w:tcPr>
            <w:tcBorders/>
          </w:tcPr>
          <w:p>
            <w:pPr>
              <w:pStyle w:val="964"/>
              <w:pBdr/>
              <w:spacing/>
              <w:ind/>
              <w:rPr/>
            </w:pPr>
            <w:r>
              <w:t xml:space="preserve">Trust Signal</w:t>
            </w:r>
            <w:r/>
          </w:p>
        </w:tc>
        <w:tc>
          <w:tcPr>
            <w:tcBorders/>
          </w:tcPr>
          <w:p>
            <w:pPr>
              <w:pStyle w:val="964"/>
              <w:pBdr/>
              <w:spacing/>
              <w:ind/>
              <w:rPr/>
            </w:pPr>
            <w:r>
              <w:t xml:space="preserve">What to Look For</w:t>
            </w:r>
            <w:r/>
          </w:p>
        </w:tc>
      </w:tr>
      <w:tr>
        <w:trPr/>
        <w:tc>
          <w:tcPr>
            <w:tcBorders/>
          </w:tcPr>
          <w:p>
            <w:pPr>
              <w:pStyle w:val="964"/>
              <w:pBdr/>
              <w:spacing/>
              <w:ind/>
              <w:rPr/>
            </w:pPr>
            <w:r>
              <w:rPr>
                <w:b/>
                <w:bCs/>
              </w:rPr>
              <w:t xml:space="preserve">Track Record</w:t>
            </w:r>
            <w:r/>
          </w:p>
        </w:tc>
        <w:tc>
          <w:tcPr>
            <w:tcBorders/>
          </w:tcPr>
          <w:p>
            <w:pPr>
              <w:pStyle w:val="964"/>
              <w:pBdr/>
              <w:spacing/>
              <w:ind/>
              <w:rPr/>
            </w:pPr>
            <w:r>
              <w:t xml:space="preserve">History of keeping promises, no major violations</w:t>
            </w:r>
            <w:r/>
          </w:p>
        </w:tc>
      </w:tr>
      <w:tr>
        <w:trPr/>
        <w:tc>
          <w:tcPr>
            <w:tcBorders/>
          </w:tcPr>
          <w:p>
            <w:pPr>
              <w:pStyle w:val="964"/>
              <w:pBdr/>
              <w:spacing/>
              <w:ind/>
              <w:rPr/>
            </w:pPr>
            <w:r>
              <w:rPr>
                <w:b/>
                <w:bCs/>
              </w:rPr>
              <w:t xml:space="preserve">Incentive Alignment</w:t>
            </w:r>
            <w:r/>
          </w:p>
        </w:tc>
        <w:tc>
          <w:tcPr>
            <w:tcBorders/>
          </w:tcPr>
          <w:p>
            <w:pPr>
              <w:pStyle w:val="964"/>
              <w:pBdr/>
              <w:spacing/>
              <w:ind/>
              <w:rPr/>
            </w:pPr>
            <w:r>
              <w:t xml:space="preserve">Business model aligned with user interests</w:t>
            </w:r>
            <w:r/>
          </w:p>
        </w:tc>
      </w:tr>
      <w:tr>
        <w:trPr/>
        <w:tc>
          <w:tcPr>
            <w:tcBorders/>
          </w:tcPr>
          <w:p>
            <w:pPr>
              <w:pStyle w:val="964"/>
              <w:pBdr/>
              <w:spacing/>
              <w:ind/>
              <w:rPr/>
            </w:pPr>
            <w:r>
              <w:rPr>
                <w:b/>
                <w:bCs/>
              </w:rPr>
              <w:t xml:space="preserve">Transparency</w:t>
            </w:r>
            <w:r/>
          </w:p>
        </w:tc>
        <w:tc>
          <w:tcPr>
            <w:tcBorders/>
          </w:tcPr>
          <w:p>
            <w:pPr>
              <w:pStyle w:val="964"/>
              <w:pBdr/>
              <w:spacing/>
              <w:ind/>
              <w:rPr/>
            </w:pPr>
            <w:r>
              <w:t xml:space="preserve">Open about practices, policies, limitations</w:t>
            </w:r>
            <w:r/>
          </w:p>
        </w:tc>
      </w:tr>
      <w:tr>
        <w:trPr/>
        <w:tc>
          <w:tcPr>
            <w:tcBorders/>
          </w:tcPr>
          <w:p>
            <w:pPr>
              <w:pStyle w:val="964"/>
              <w:pBdr/>
              <w:spacing/>
              <w:ind/>
              <w:rPr/>
            </w:pPr>
            <w:r>
              <w:rPr>
                <w:b/>
                <w:bCs/>
              </w:rPr>
              <w:t xml:space="preserve">Accountability</w:t>
            </w:r>
            <w:r/>
          </w:p>
        </w:tc>
        <w:tc>
          <w:tcPr>
            <w:tcBorders/>
          </w:tcPr>
          <w:p>
            <w:pPr>
              <w:pStyle w:val="964"/>
              <w:pBdr/>
              <w:spacing/>
              <w:ind/>
              <w:rPr/>
            </w:pPr>
            <w:r>
              <w:t xml:space="preserve">Meaningful recourse if trust is violated</w:t>
            </w:r>
            <w:r/>
          </w:p>
        </w:tc>
      </w:tr>
      <w:tr>
        <w:trPr/>
        <w:tc>
          <w:tcPr>
            <w:tcBorders/>
          </w:tcPr>
          <w:p>
            <w:pPr>
              <w:pStyle w:val="964"/>
              <w:pBdr/>
              <w:spacing/>
              <w:ind/>
              <w:rPr/>
            </w:pPr>
            <w:r>
              <w:rPr>
                <w:b/>
                <w:bCs/>
              </w:rPr>
              <w:t xml:space="preserve">Third-Party Validation</w:t>
            </w:r>
            <w:r/>
          </w:p>
        </w:tc>
        <w:tc>
          <w:tcPr>
            <w:tcBorders/>
          </w:tcPr>
          <w:p>
            <w:pPr>
              <w:pStyle w:val="964"/>
              <w:pBdr/>
              <w:spacing/>
              <w:ind/>
              <w:rPr/>
            </w:pPr>
            <w:r>
              <w:t xml:space="preserve">Audits, certifications, peer review</w:t>
            </w:r>
            <w:r/>
          </w:p>
        </w:tc>
      </w:tr>
      <w:tr>
        <w:trPr/>
        <w:tc>
          <w:tcPr>
            <w:tcBorders/>
          </w:tcPr>
          <w:p>
            <w:pPr>
              <w:pStyle w:val="964"/>
              <w:pBdr/>
              <w:spacing/>
              <w:ind/>
              <w:rPr/>
            </w:pPr>
            <w:r>
              <w:rPr>
                <w:b/>
                <w:bCs/>
              </w:rPr>
              <w:t xml:space="preserve">Reputation at Stake</w:t>
            </w:r>
            <w:r/>
          </w:p>
        </w:tc>
        <w:tc>
          <w:tcPr>
            <w:tcBorders/>
          </w:tcPr>
          <w:p>
            <w:pPr>
              <w:pStyle w:val="964"/>
              <w:pBdr/>
              <w:spacing/>
              <w:ind/>
              <w:rPr/>
            </w:pPr>
            <w:r>
              <w:t xml:space="preserve">Entity has reputation to protect</w:t>
            </w:r>
            <w:r/>
          </w:p>
        </w:tc>
      </w:tr>
    </w:tbl>
    <w:p>
      <w:pPr>
        <w:pStyle w:val="962"/>
        <w:pBdr/>
        <w:spacing/>
        <w:ind/>
        <w:rPr/>
      </w:pPr>
      <w:r>
        <w:rPr>
          <w:b/>
          <w:bCs/>
        </w:rPr>
        <w:t xml:space="preserve">Islamic Perspective on Trust:</w:t>
      </w:r>
      <w:r/>
    </w:p>
    <w:p>
      <w:pPr>
        <w:pStyle w:val="962"/>
        <w:pBdr/>
        <w:spacing/>
        <w:ind/>
        <w:rPr/>
      </w:pPr>
      <w:r>
        <w:t xml:space="preserve">Islam values trust highly while warning against naivety:</w:t>
      </w:r>
      <w:r/>
    </w:p>
    <w:p>
      <w:pPr>
        <w:pStyle w:val="992"/>
        <w:pBdr/>
        <w:spacing/>
        <w:ind/>
        <w:rPr/>
      </w:pPr>
      <w:r>
        <w:t xml:space="preserve">“The believer is not stung from the same hole twice.”</w:t>
      </w:r>
      <w:r>
        <w:t xml:space="preserve"> </w:t>
      </w:r>
      <w:r>
        <w:t xml:space="preserve">— </w:t>
      </w:r>
      <w:r>
        <w:rPr>
          <w:b/>
          <w:bCs/>
        </w:rPr>
        <w:t xml:space="preserve">Sahih al-Bukhari 6133</w:t>
      </w:r>
      <w:r/>
    </w:p>
    <w:p>
      <w:pPr>
        <w:pStyle w:val="963"/>
        <w:pBdr/>
        <w:spacing/>
        <w:ind/>
        <w:rPr/>
      </w:pPr>
      <w:r>
        <w:t xml:space="preserve">This hadith teaches:</w:t>
      </w:r>
      <w:r/>
    </w:p>
    <w:p>
      <w:pPr>
        <w:pStyle w:val="964"/>
        <w:numPr>
          <w:ilvl w:val="0"/>
          <w:numId w:val="194"/>
        </w:numPr>
        <w:pBdr/>
        <w:spacing/>
        <w:ind/>
        <w:rPr/>
      </w:pPr>
      <w:r>
        <w:t xml:space="preserve">Trust can be given initially (benefit of the doubt)</w:t>
      </w:r>
      <w:r/>
    </w:p>
    <w:p>
      <w:pPr>
        <w:pStyle w:val="964"/>
        <w:numPr>
          <w:ilvl w:val="0"/>
          <w:numId w:val="194"/>
        </w:numPr>
        <w:pBdr/>
        <w:spacing/>
        <w:ind/>
        <w:rPr/>
      </w:pPr>
      <w:r>
        <w:t xml:space="preserve">When trust is violated, learn from it</w:t>
      </w:r>
      <w:r/>
    </w:p>
    <w:p>
      <w:pPr>
        <w:pStyle w:val="964"/>
        <w:numPr>
          <w:ilvl w:val="0"/>
          <w:numId w:val="194"/>
        </w:numPr>
        <w:pBdr/>
        <w:spacing/>
        <w:ind/>
        <w:rPr/>
      </w:pPr>
      <w:r>
        <w:t xml:space="preserve">Do not repeatedly trust those who have betrayed you</w:t>
      </w:r>
      <w:r/>
    </w:p>
    <w:p>
      <w:pPr>
        <w:pStyle w:val="964"/>
        <w:numPr>
          <w:ilvl w:val="0"/>
          <w:numId w:val="194"/>
        </w:numPr>
        <w:pBdr/>
        <w:spacing/>
        <w:ind/>
        <w:rPr/>
      </w:pPr>
      <w:r>
        <w:t xml:space="preserve">Vigilance is not contrary to trust</w:t>
      </w:r>
      <w:r/>
    </w:p>
    <w:p>
      <w:pPr>
        <w:pStyle w:val="963"/>
        <w:pBdr/>
        <w:spacing/>
        <w:ind/>
        <w:rPr/>
      </w:pPr>
      <w:r>
        <w:t xml:space="preserve">The Prophet (PBUH) also said:</w:t>
      </w:r>
      <w:r/>
    </w:p>
    <w:p>
      <w:pPr>
        <w:pStyle w:val="992"/>
        <w:pBdr/>
        <w:spacing/>
        <w:ind/>
        <w:rPr/>
      </w:pPr>
      <w:r>
        <w:t xml:space="preserve">“Tie your camel and trust in Allah.”</w:t>
      </w:r>
      <w:r>
        <w:t xml:space="preserve"> </w:t>
      </w:r>
      <w:r>
        <w:t xml:space="preserve">— </w:t>
      </w:r>
      <w:r>
        <w:rPr>
          <w:b/>
          <w:bCs/>
        </w:rPr>
        <w:t xml:space="preserve">Jami` at-Tirmidhi 2517</w:t>
      </w:r>
      <w:r/>
    </w:p>
    <w:p>
      <w:pPr>
        <w:pStyle w:val="963"/>
        <w:pBdr/>
        <w:spacing/>
        <w:ind/>
        <w:rPr/>
      </w:pPr>
      <w:r>
        <w:t xml:space="preserve">This means:</w:t>
      </w:r>
      <w:r/>
    </w:p>
    <w:p>
      <w:pPr>
        <w:pStyle w:val="964"/>
        <w:numPr>
          <w:ilvl w:val="0"/>
          <w:numId w:val="195"/>
        </w:numPr>
        <w:pBdr/>
        <w:spacing/>
        <w:ind/>
        <w:rPr/>
      </w:pPr>
      <w:r>
        <w:t xml:space="preserve">Trust in Allah is complete</w:t>
      </w:r>
      <w:r/>
    </w:p>
    <w:p>
      <w:pPr>
        <w:pStyle w:val="964"/>
        <w:numPr>
          <w:ilvl w:val="0"/>
          <w:numId w:val="195"/>
        </w:numPr>
        <w:pBdr/>
        <w:spacing/>
        <w:ind/>
        <w:rPr/>
      </w:pPr>
      <w:r>
        <w:t xml:space="preserve">Trust in humans requires reasonable precautions</w:t>
      </w:r>
      <w:r/>
    </w:p>
    <w:p>
      <w:pPr>
        <w:pStyle w:val="964"/>
        <w:numPr>
          <w:ilvl w:val="0"/>
          <w:numId w:val="195"/>
        </w:numPr>
        <w:pBdr/>
        <w:spacing/>
        <w:ind/>
        <w:rPr/>
      </w:pPr>
      <w:r>
        <w:t xml:space="preserve">Taking precautions is not lack of faith</w:t>
      </w:r>
      <w:r/>
    </w:p>
    <w:p>
      <w:pPr>
        <w:pStyle w:val="964"/>
        <w:numPr>
          <w:ilvl w:val="0"/>
          <w:numId w:val="195"/>
        </w:numPr>
        <w:pBdr/>
        <w:spacing/>
        <w:ind/>
        <w:rPr/>
      </w:pPr>
      <w:r>
        <w:t xml:space="preserve">Verify, then trust</w:t>
      </w:r>
      <w:r/>
    </w:p>
    <w:p>
      <w:pPr>
        <w:pStyle w:val="963"/>
        <w:pBdr/>
        <w:spacing/>
        <w:ind/>
        <w:rPr/>
      </w:pPr>
      <w:r>
        <w:rPr>
          <w:b/>
          <w:bCs/>
        </w:rPr>
        <w:t xml:space="preserve">Practical Application:</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Scenario</w:t>
            </w:r>
            <w:r/>
          </w:p>
        </w:tc>
        <w:tc>
          <w:tcPr>
            <w:tcBorders/>
          </w:tcPr>
          <w:p>
            <w:pPr>
              <w:pStyle w:val="964"/>
              <w:pBdr/>
              <w:spacing/>
              <w:ind/>
              <w:rPr/>
            </w:pPr>
            <w:r>
              <w:t xml:space="preserve">Approach</w:t>
            </w:r>
            <w:r/>
          </w:p>
        </w:tc>
      </w:tr>
      <w:tr>
        <w:trPr/>
        <w:tc>
          <w:tcPr>
            <w:tcBorders/>
          </w:tcPr>
          <w:p>
            <w:pPr>
              <w:pStyle w:val="964"/>
              <w:pBdr/>
              <w:spacing/>
              <w:ind/>
              <w:rPr/>
            </w:pPr>
            <w:r>
              <w:t xml:space="preserve">New, unknown service</w:t>
            </w:r>
            <w:r/>
          </w:p>
        </w:tc>
        <w:tc>
          <w:tcPr>
            <w:tcBorders/>
          </w:tcPr>
          <w:p>
            <w:pPr>
              <w:pStyle w:val="964"/>
              <w:pBdr/>
              <w:spacing/>
              <w:ind/>
              <w:rPr/>
            </w:pPr>
            <w:r>
              <w:t xml:space="preserve">Minimal trust, verify claims, start small</w:t>
            </w:r>
            <w:r/>
          </w:p>
        </w:tc>
      </w:tr>
      <w:tr>
        <w:trPr/>
        <w:tc>
          <w:tcPr>
            <w:tcBorders/>
          </w:tcPr>
          <w:p>
            <w:pPr>
              <w:pStyle w:val="964"/>
              <w:pBdr/>
              <w:spacing/>
              <w:ind/>
              <w:rPr/>
            </w:pPr>
            <w:r>
              <w:t xml:space="preserve">Established service with good track record</w:t>
            </w:r>
            <w:r/>
          </w:p>
        </w:tc>
        <w:tc>
          <w:tcPr>
            <w:tcBorders/>
          </w:tcPr>
          <w:p>
            <w:pPr>
              <w:pStyle w:val="964"/>
              <w:pBdr/>
              <w:spacing/>
              <w:ind/>
              <w:rPr/>
            </w:pPr>
            <w:r>
              <w:t xml:space="preserve">Reasonable trust, but maintain vigilance</w:t>
            </w:r>
            <w:r/>
          </w:p>
        </w:tc>
      </w:tr>
      <w:tr>
        <w:trPr/>
        <w:tc>
          <w:tcPr>
            <w:tcBorders/>
          </w:tcPr>
          <w:p>
            <w:pPr>
              <w:pStyle w:val="964"/>
              <w:pBdr/>
              <w:spacing/>
              <w:ind/>
              <w:rPr/>
            </w:pPr>
            <w:r>
              <w:t xml:space="preserve">Service that has violated trust</w:t>
            </w:r>
            <w:r/>
          </w:p>
        </w:tc>
        <w:tc>
          <w:tcPr>
            <w:tcBorders/>
          </w:tcPr>
          <w:p>
            <w:pPr>
              <w:pStyle w:val="964"/>
              <w:pBdr/>
              <w:spacing/>
              <w:ind/>
              <w:rPr/>
            </w:pPr>
            <w:r>
              <w:t xml:space="preserve">Minimal or no trust, seek alternatives</w:t>
            </w:r>
            <w:r/>
          </w:p>
        </w:tc>
      </w:tr>
      <w:tr>
        <w:trPr/>
        <w:tc>
          <w:tcPr>
            <w:tcBorders/>
          </w:tcPr>
          <w:p>
            <w:pPr>
              <w:pStyle w:val="964"/>
              <w:pBdr/>
              <w:spacing/>
              <w:ind/>
              <w:rPr/>
            </w:pPr>
            <w:r>
              <w:t xml:space="preserve">Open source, auditable service</w:t>
            </w:r>
            <w:r/>
          </w:p>
        </w:tc>
        <w:tc>
          <w:tcPr>
            <w:tcBorders/>
          </w:tcPr>
          <w:p>
            <w:pPr>
              <w:pStyle w:val="964"/>
              <w:pBdr/>
              <w:spacing/>
              <w:ind/>
              <w:rPr/>
            </w:pPr>
            <w:r>
              <w:t xml:space="preserve">Trust based on verification, not faith</w:t>
            </w:r>
            <w:r/>
          </w:p>
        </w:tc>
      </w:tr>
      <w:tr>
        <w:trPr/>
        <w:tc>
          <w:tcPr>
            <w:tcBorders/>
          </w:tcPr>
          <w:p>
            <w:pPr>
              <w:pStyle w:val="964"/>
              <w:pBdr/>
              <w:spacing/>
              <w:ind/>
              <w:rPr/>
            </w:pPr>
            <w:r>
              <w:t xml:space="preserve">Service with misaligned incentives</w:t>
            </w:r>
            <w:r/>
          </w:p>
        </w:tc>
        <w:tc>
          <w:tcPr>
            <w:tcBorders/>
          </w:tcPr>
          <w:p>
            <w:pPr>
              <w:pStyle w:val="964"/>
              <w:pBdr/>
              <w:spacing/>
              <w:ind/>
              <w:rPr/>
            </w:pPr>
            <w:r>
              <w:t xml:space="preserve">Low trust regardless of marketing</w:t>
            </w:r>
            <w:r/>
          </w:p>
        </w:tc>
      </w:tr>
    </w:tbl>
    <w:p>
      <w:pPr>
        <w:pStyle w:val="962"/>
        <w:pBdr/>
        <w:spacing/>
        <w:ind/>
        <w:rPr/>
      </w:pPr>
      <w:r>
        <w:rPr>
          <w:b/>
          <w:bCs/>
        </w:rPr>
        <w:t xml:space="preserve">Trust Increases Voluntary Cooperation</w:t>
      </w:r>
      <w:r/>
    </w:p>
    <w:p>
      <w:pPr>
        <w:pStyle w:val="962"/>
        <w:pBdr/>
        <w:spacing/>
        <w:ind/>
        <w:rPr/>
      </w:pPr>
      <w:r>
        <w:t xml:space="preserve">Trust also has a constructive side: when a provider has earned credibility through transparent and value-aligned conduct, users may be more willing to cooperate voluntarily. For example, a trusted privacy-oriented provider that </w:t>
      </w:r>
      <w:r>
        <w:t xml:space="preserve">clearly asks for anonymous usage data is more likely to receive informed consent than a provider that relies on hidden collection or confusing defaults. This is not empirical evidence that ethical companies always receive more data or revenue; it is a prac</w:t>
      </w:r>
      <w:r>
        <w:t xml:space="preserve">tical implication of the trust model. Ethical compliance can make an organization more resilient to future changes because it depends less on loopholes, facade legality, or regulatory delay, and more on relationships that users can understand and evaluate.</w:t>
      </w:r>
      <w:r/>
    </w:p>
    <w:p>
      <w:pPr>
        <w:pStyle w:val="962"/>
        <w:pBdr/>
        <w:spacing/>
        <w:ind/>
        <w:rPr/>
      </w:pPr>
      <w:r>
        <w:rPr>
          <w:b/>
          <w:bCs/>
        </w:rPr>
        <w:t xml:space="preserve">Trust Can Outweigh Technical Superiority</w:t>
      </w:r>
      <w:r/>
    </w:p>
    <w:p>
      <w:pPr>
        <w:pStyle w:val="962"/>
        <w:pBdr/>
        <w:spacing/>
        <w:ind/>
        <w:rPr/>
      </w:pPr>
      <w:r>
        <w:t xml:space="preserve">User testimony also suggests that trust can outweigh technical superiority. A user may prefer a slower, less convenient, or more restrictive tool if the alternat</w:t>
      </w:r>
      <w:r>
        <w:t xml:space="preserve">ive is controlled by an organization whose judgment they do not trust. Conversely, users sometimes make exceptions for closed-source or less portable tools when they trust the organization’s incentives, communication, and record of conduct. This does not s</w:t>
      </w:r>
      <w:r>
        <w:t xml:space="preserve">how that trust should replace technical safeguards; rather, it shows why safeguards exist in the first place. Open source, portability, decentralization, and auditability are often ways to reduce the amount of blind trust a user must place in the provider.</w:t>
      </w:r>
      <w:r/>
    </w:p>
    <w:p>
      <w:pPr>
        <w:pStyle w:val="962"/>
        <w:pBdr/>
        <w:spacing/>
        <w:ind/>
        <w:rPr/>
      </w:pPr>
      <w:r>
        <w:t xml:space="preserve">For I-VSD, this means moral software design should not treat trust as a marketing asset alone. Trust is a practical constraint that affects adopti</w:t>
      </w:r>
      <w:r>
        <w:t xml:space="preserve">on, user friction, and long-term resilience. When trust is broken, users may rationally choose difficult workflows to protect themselves; when trust is earned, users may accept friction because they believe the organization will not misuse that dependence.</w:t>
      </w:r>
      <w:r/>
    </w:p>
    <w:p>
      <w:pPr>
        <w:pStyle w:val="962"/>
        <w:pBdr/>
        <w:spacing/>
        <w:ind/>
        <w:rPr/>
      </w:pPr>
      <w:r>
        <w:rPr>
          <w:b/>
          <w:bCs/>
        </w:rPr>
        <w:t xml:space="preserve">Trust Before Product Maturity</w:t>
      </w:r>
      <w:r/>
    </w:p>
    <w:p>
      <w:pPr>
        <w:pStyle w:val="962"/>
        <w:pBdr/>
        <w:spacing/>
        <w:ind/>
        <w:rPr/>
      </w:pPr>
      <w:r>
        <w:t xml:space="preserve">Trust can also matter before a product is fully mature. Ladybird is useful here because an independent browser engine is n</w:t>
      </w:r>
      <w:r>
        <w:t xml:space="preserve">ot a small feature startup. It is an unusually hard infrastructure project in a domain historically dominated by companies with enormous financial, engineering, and strategic resources. If supporters were evaluating only present-day feature completeness, s</w:t>
      </w:r>
      <w:r>
        <w:t xml:space="preserve">uch a project would be difficult to justify. The support makes more sense when the moral and governance proposition is included: an independent browser engine, driven by standards, visibly developed in public, and explicitly separated from sponsor control.</w:t>
      </w:r>
      <w:r/>
    </w:p>
    <w:p>
      <w:pPr>
        <w:pStyle w:val="962"/>
        <w:pBdr/>
        <w:spacing/>
        <w:ind/>
        <w:rPr/>
      </w:pPr>
      <w:r>
        <w:t xml:space="preserve">This turns trust from a vague emotion into something inspectable. Public commits, monthly progress communication, open community channels, sponsor disclosures, and the statement that un</w:t>
      </w:r>
      <w:r>
        <w:t xml:space="preserve">restricted donations do not buy board seats or influence all reduce the amount of blind trust required. Supporters can see whether the project is serious, whether funding boundaries are clear, and whether the governance story matches the technical mission.</w:t>
      </w:r>
      <w:r/>
    </w:p>
    <w:p>
      <w:pPr>
        <w:pStyle w:val="962"/>
        <w:pBdr/>
        <w:spacing/>
        <w:ind/>
        <w:rPr/>
      </w:pPr>
      <w:r>
        <w:t xml:space="preserve">For I-VSD, the lesson is that ethical trust is not only a retrospective reward for a finished product. It can be part of how ambitious moral infrastructure becomes pos</w:t>
      </w:r>
      <w:r>
        <w:t xml:space="preserve">sible. A value-driven project may need patience and community belief before it can compete on polish, but that belief should be earned through evidence: visible work, clear incentives, honest limitations, and governance structures that make capture harder.</w:t>
      </w:r>
      <w:r/>
    </w:p>
    <w:p>
      <w:pPr>
        <w:pStyle w:val="962"/>
        <w:pBdr/>
        <w:spacing/>
        <w:ind/>
        <w:rPr/>
      </w:pPr>
      <w:r>
        <w:rPr>
          <w:b/>
          <w:bCs/>
        </w:rPr>
        <w:t xml:space="preserve">Trust and Future-Proof Compliance</w:t>
      </w:r>
      <w:r/>
    </w:p>
    <w:p>
      <w:pPr>
        <w:pStyle w:val="962"/>
        <w:pBdr/>
        <w:spacing/>
        <w:ind/>
        <w:rPr/>
      </w:pPr>
      <w:r>
        <w:t xml:space="preserve">Trust also affects whether users voluntarily cooperate with privacy-respecting</w:t>
      </w:r>
      <w:r>
        <w:t xml:space="preserve"> requests. A provider that has consistently acted transparently may receive more willing consent for optional anonymous analytics than a provider that previously collected data silently and only asks because the law now requires it. The point is not that u</w:t>
      </w:r>
      <w:r>
        <w:t xml:space="preserve">sers should accept every request from a trusted company. The point is that moral conduct makes compliance more resilient: when laws tighten or public expectations change, an organization that already asked honestly does not need to rebuild trust from zero.</w:t>
      </w:r>
      <w:r/>
    </w:p>
    <w:p>
      <w:pPr>
        <w:pStyle w:val="962"/>
        <w:pBdr/>
        <w:spacing/>
        <w:ind/>
        <w:rPr/>
      </w:pPr>
      <w:r>
        <w:t xml:space="preserve">This is why technical legality is not enough. A company can operate through loopholes, “legal facade,” or minimal compliance for a while, but that strate</w:t>
      </w:r>
      <w:r>
        <w:t xml:space="preserve">gy becomes fragile when regulation, public opinion, or AI-mediated recommendations begin repeating the negative reputation around the product. I-VSD treats earned trust as a business asset, but only when it is grounded in real conduct rather than branding.</w:t>
      </w:r>
      <w:r/>
    </w:p>
    <w:p>
      <w:pPr>
        <w:pStyle w:val="962"/>
        <w:pBdr/>
        <w:spacing/>
        <w:ind/>
        <w:rPr/>
      </w:pPr>
      <w:r>
        <w:rPr>
          <w:b/>
          <w:bCs/>
        </w:rPr>
        <w:t xml:space="preserve">Accountability as Market Feedback</w:t>
      </w:r>
      <w:r/>
    </w:p>
    <w:p>
      <w:pPr>
        <w:pStyle w:val="962"/>
        <w:pBdr/>
        <w:spacing/>
        <w:ind/>
        <w:rPr/>
      </w:pPr>
      <w:r>
        <w:t xml:space="preserve">Trust also requires accountability. When software providers choose deceptive, extractive, negligent, or harmful practices, users and communities should be able to make those choices costly through accura</w:t>
      </w:r>
      <w:r>
        <w:t xml:space="preserve">te criticism, migration, refusal to recommend, legal complaints where appropriate, and support for better alternatives. This is not revenge or harassment; it is the practical feedback loop that prevents immoral choices from becoming safe business defaults.</w:t>
      </w:r>
      <w:r/>
    </w:p>
    <w:p>
      <w:pPr>
        <w:pStyle w:val="962"/>
        <w:pBdr/>
        <w:spacing/>
        <w:ind/>
        <w:rPr/>
      </w:pPr>
      <w:r>
        <w:rPr>
          <w:b/>
          <w:bCs/>
        </w:rPr>
        <w:t xml:space="preserve">Immorality as Business Risk</w:t>
      </w:r>
      <w:r/>
    </w:p>
    <w:p>
      <w:pPr>
        <w:pStyle w:val="962"/>
        <w:pBdr/>
        <w:spacing/>
        <w:ind/>
        <w:rPr/>
      </w:pPr>
      <w:r>
        <w:t xml:space="preserve">Immoral conduct is also a business risk because reputational damage becomes part of the information environment around a product. Users</w:t>
      </w:r>
      <w:r>
        <w:t xml:space="preserve"> warn one another, communities recommend alternatives, reviewers frame the company negatively, and search or AI systems may repeat the dominant public narrative about the organization. This should not be overstated as a deterministic rule: a company may su</w:t>
      </w:r>
      <w:r>
        <w:t xml:space="preserve">rvive unethical conduct for a long time, and automated recommendations can be noisy or wrong. The practical point is narrower but important: unethical behavior creates discoverability, recommendation, and referral risks that compound the direct moral harm.</w:t>
      </w:r>
      <w:r/>
    </w:p>
    <w:p>
      <w:pPr>
        <w:pBdr/>
        <w:spacing/>
        <w:ind/>
        <w:rPr/>
      </w:pPr>
      <w:r>
        <mc:AlternateContent>
          <mc:Choice Requires="wpg">
            <w:drawing>
              <wp:inline xmlns:wp="http://schemas.openxmlformats.org/drawingml/2006/wordprocessingDrawing" distT="0" distB="0" distL="0" distR="0">
                <wp:extent cx="0" cy="19050"/>
                <wp:effectExtent l="0" t="0" r="0" b="0"/>
                <wp:docPr id="9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0" o:spid="_x0000_s90" o:spt="1" type="#_x0000_t1" style="width:0.00pt;height:1.50pt;mso-wrap-distance-left:0.00pt;mso-wrap-distance-top:0.00pt;mso-wrap-distance-right:0.00pt;mso-wrap-distance-bottom:0.00pt;visibility:visible;" fillcolor="#FFFFFF" strokecolor="#000000"/>
            </w:pict>
          </mc:Fallback>
        </mc:AlternateContent>
      </w:r>
      <w:bookmarkEnd w:id="111"/>
      <w:r/>
    </w:p>
    <w:p>
      <w:pPr>
        <w:pStyle w:val="977"/>
        <w:pBdr/>
        <w:spacing/>
        <w:ind/>
        <w:rPr/>
      </w:pPr>
      <w:r/>
      <w:bookmarkStart w:id="112" w:name="X22b3098e22e877197ed8c5e5ad5fe7c811b1720"/>
      <w:r>
        <w:t xml:space="preserve">5.2.5 Case Studies: When Value-Driven Decisions Led to Negative Outcomes</w:t>
      </w:r>
      <w:r/>
    </w:p>
    <w:p>
      <w:pPr>
        <w:pStyle w:val="963"/>
        <w:pBdr/>
        <w:spacing/>
        <w:ind/>
        <w:rPr/>
      </w:pPr>
      <w:r>
        <w:t xml:space="preserve">The Pinterest case study (Section 2.1.4.1) showed a positive outcome from ethical decision-making. However, intellectual honesty requires acknowledging that value-driven decisions do not always lead to worldly success.</w:t>
      </w:r>
      <w:r/>
    </w:p>
    <w:p>
      <w:pPr>
        <w:pStyle w:val="962"/>
        <w:pBdr/>
        <w:spacing/>
        <w:ind/>
        <w:rPr/>
      </w:pPr>
      <w:r>
        <w:rPr>
          <w:b/>
          <w:bCs/>
        </w:rPr>
        <w:t xml:space="preserve">Case Study: Ethical Startups That Failed</w:t>
      </w:r>
      <w:r/>
    </w:p>
    <w:p>
      <w:pPr>
        <w:pStyle w:val="962"/>
        <w:pBdr/>
        <w:spacing/>
        <w:ind/>
        <w:rPr/>
      </w:pPr>
      <w:r>
        <w:rPr>
          <w:b/>
          <w:bCs/>
        </w:rPr>
        <w:t xml:space="preserve">Example 1: Privacy-Focused Social Networks</w:t>
      </w:r>
      <w:r/>
    </w:p>
    <w:p>
      <w:pPr>
        <w:pStyle w:val="962"/>
        <w:pBdr/>
        <w:spacing/>
        <w:ind/>
        <w:rPr/>
      </w:pPr>
      <w:r>
        <w:t xml:space="preserve">Multiple privacy-focused alternatives to Facebook have launched and failed:</w:t>
      </w:r>
      <w:r/>
    </w:p>
    <w:p>
      <w:pPr>
        <w:pStyle w:val="964"/>
        <w:numPr>
          <w:ilvl w:val="0"/>
          <w:numId w:val="196"/>
        </w:numPr>
        <w:pBdr/>
        <w:spacing/>
        <w:ind/>
        <w:rPr/>
      </w:pPr>
      <w:r>
        <w:rPr>
          <w:b/>
          <w:bCs/>
        </w:rPr>
        <w:t xml:space="preserve">Ello</w:t>
      </w:r>
      <w:r>
        <w:t xml:space="preserve"> (2014): Promised no ads, no data selling - struggled financially, pivoted to niche artist platform</w:t>
      </w:r>
      <w:r/>
    </w:p>
    <w:p>
      <w:pPr>
        <w:pStyle w:val="964"/>
        <w:numPr>
          <w:ilvl w:val="0"/>
          <w:numId w:val="196"/>
        </w:numPr>
        <w:pBdr/>
        <w:spacing/>
        <w:ind/>
        <w:rPr/>
      </w:pPr>
      <w:r>
        <w:rPr>
          <w:b/>
          <w:bCs/>
        </w:rPr>
        <w:t xml:space="preserve">Diaspora</w:t>
      </w:r>
      <w:r>
        <w:t xml:space="preserve"> (2010): Decentralized, privacy-focused - never achieved critical mass</w:t>
      </w:r>
      <w:r/>
    </w:p>
    <w:p>
      <w:pPr>
        <w:pStyle w:val="964"/>
        <w:numPr>
          <w:ilvl w:val="0"/>
          <w:numId w:val="196"/>
        </w:numPr>
        <w:pBdr/>
        <w:spacing/>
        <w:ind/>
        <w:rPr/>
      </w:pPr>
      <w:r>
        <w:rPr>
          <w:b/>
          <w:bCs/>
        </w:rPr>
        <w:t xml:space="preserve">App.net</w:t>
      </w:r>
      <w:r>
        <w:t xml:space="preserve"> (2012): Paid, ad-free Twitter alternative - shut down in 2017</w:t>
      </w:r>
      <w:r/>
    </w:p>
    <w:p>
      <w:pPr>
        <w:pStyle w:val="963"/>
        <w:pBdr/>
        <w:spacing/>
        <w:ind/>
        <w:rPr/>
      </w:pPr>
      <w:r>
        <w:rPr>
          <w:b/>
          <w:bCs/>
        </w:rPr>
        <w:t xml:space="preserve">Why They Failed:</w:t>
      </w:r>
      <w:r/>
    </w:p>
    <w:p>
      <w:pPr>
        <w:pStyle w:val="964"/>
        <w:numPr>
          <w:ilvl w:val="0"/>
          <w:numId w:val="197"/>
        </w:numPr>
        <w:pBdr/>
        <w:spacing/>
        <w:ind/>
        <w:rPr/>
      </w:pPr>
      <w:r>
        <w:t xml:space="preserve">Users accustomed to</w:t>
      </w:r>
      <w:r>
        <w:t xml:space="preserve"> </w:t>
      </w:r>
      <w:r>
        <w:t xml:space="preserve">“free”</w:t>
      </w:r>
      <w:r>
        <w:t xml:space="preserve"> </w:t>
      </w:r>
      <w:r>
        <w:t xml:space="preserve">ad-supported models</w:t>
      </w:r>
      <w:r/>
    </w:p>
    <w:p>
      <w:pPr>
        <w:pStyle w:val="964"/>
        <w:numPr>
          <w:ilvl w:val="0"/>
          <w:numId w:val="197"/>
        </w:numPr>
        <w:pBdr/>
        <w:spacing/>
        <w:ind/>
        <w:rPr/>
      </w:pPr>
      <w:r>
        <w:t xml:space="preserve">Network effects favored established platforms</w:t>
      </w:r>
      <w:r/>
    </w:p>
    <w:p>
      <w:pPr>
        <w:pStyle w:val="964"/>
        <w:numPr>
          <w:ilvl w:val="0"/>
          <w:numId w:val="197"/>
        </w:numPr>
        <w:pBdr/>
        <w:spacing/>
        <w:ind/>
        <w:rPr/>
      </w:pPr>
      <w:r>
        <w:t xml:space="preserve">Sustainable pricing couldn’t compete with</w:t>
      </w:r>
      <w:r>
        <w:t xml:space="preserve"> </w:t>
      </w:r>
      <w:r>
        <w:t xml:space="preserve">“free”</w:t>
      </w:r>
      <w:r/>
    </w:p>
    <w:p>
      <w:pPr>
        <w:pStyle w:val="964"/>
        <w:numPr>
          <w:ilvl w:val="0"/>
          <w:numId w:val="197"/>
        </w:numPr>
        <w:pBdr/>
        <w:spacing/>
        <w:ind/>
        <w:rPr/>
      </w:pPr>
      <w:r>
        <w:t xml:space="preserve">Limited marketing budgets vs. venture-backed competitors</w:t>
      </w:r>
      <w:r/>
    </w:p>
    <w:p>
      <w:pPr>
        <w:pStyle w:val="963"/>
        <w:pBdr/>
        <w:spacing/>
        <w:ind/>
        <w:rPr/>
      </w:pPr>
      <w:r>
        <w:rPr>
          <w:b/>
          <w:bCs/>
        </w:rPr>
        <w:t xml:space="preserve">Example 2: Ethical E-commerce That Couldn’t Compete</w:t>
      </w:r>
      <w:r/>
    </w:p>
    <w:p>
      <w:pPr>
        <w:pStyle w:val="962"/>
        <w:pBdr/>
        <w:spacing/>
        <w:ind/>
        <w:rPr/>
      </w:pPr>
      <w:r>
        <w:t xml:space="preserve">Companies prioritizing fair wages, ethical sourcing, and honest marketing:</w:t>
      </w:r>
      <w:r/>
    </w:p>
    <w:p>
      <w:pPr>
        <w:pStyle w:val="964"/>
        <w:numPr>
          <w:ilvl w:val="0"/>
          <w:numId w:val="198"/>
        </w:numPr>
        <w:pBdr/>
        <w:spacing/>
        <w:ind/>
        <w:rPr/>
      </w:pPr>
      <w:r>
        <w:t xml:space="preserve">Higher costs than competitors cutting corners</w:t>
      </w:r>
      <w:r/>
    </w:p>
    <w:p>
      <w:pPr>
        <w:pStyle w:val="964"/>
        <w:numPr>
          <w:ilvl w:val="0"/>
          <w:numId w:val="198"/>
        </w:numPr>
        <w:pBdr/>
        <w:spacing/>
        <w:ind/>
        <w:rPr/>
      </w:pPr>
      <w:r>
        <w:t xml:space="preserve">Customers chose cheaper unethical alternatives</w:t>
      </w:r>
      <w:r/>
    </w:p>
    <w:p>
      <w:pPr>
        <w:pStyle w:val="964"/>
        <w:numPr>
          <w:ilvl w:val="0"/>
          <w:numId w:val="198"/>
        </w:numPr>
        <w:pBdr/>
        <w:spacing/>
        <w:ind/>
        <w:rPr/>
      </w:pPr>
      <w:r>
        <w:t xml:space="preserve">Unable to match marketing spend of less scrupulous competitors</w:t>
      </w:r>
      <w:r/>
    </w:p>
    <w:p>
      <w:pPr>
        <w:pStyle w:val="964"/>
        <w:numPr>
          <w:ilvl w:val="0"/>
          <w:numId w:val="198"/>
        </w:numPr>
        <w:pBdr/>
        <w:spacing/>
        <w:ind/>
        <w:rPr/>
      </w:pPr>
      <w:r>
        <w:t xml:space="preserve">Some shut down despite doing</w:t>
      </w:r>
      <w:r>
        <w:t xml:space="preserve"> </w:t>
      </w:r>
      <w:r>
        <w:t xml:space="preserve">“everything right”</w:t>
      </w:r>
      <w:r/>
    </w:p>
    <w:p>
      <w:pPr>
        <w:pStyle w:val="963"/>
        <w:pBdr/>
        <w:spacing/>
        <w:ind/>
        <w:rPr/>
      </w:pPr>
      <w:r>
        <w:rPr>
          <w:b/>
          <w:bCs/>
        </w:rPr>
        <w:t xml:space="preserve">Example 3: Whistleblowers and Their Careers</w:t>
      </w:r>
      <w:r/>
    </w:p>
    <w:p>
      <w:pPr>
        <w:pStyle w:val="962"/>
        <w:pBdr/>
        <w:spacing/>
        <w:ind/>
        <w:rPr/>
      </w:pPr>
      <w:r>
        <w:t xml:space="preserve">Individuals who exposed unethical practices:</w:t>
      </w:r>
      <w:r/>
    </w:p>
    <w:p>
      <w:pPr>
        <w:pStyle w:val="964"/>
        <w:numPr>
          <w:ilvl w:val="0"/>
          <w:numId w:val="199"/>
        </w:numPr>
        <w:pBdr/>
        <w:spacing/>
        <w:ind/>
        <w:rPr/>
      </w:pPr>
      <w:r>
        <w:rPr>
          <w:b/>
          <w:bCs/>
        </w:rPr>
        <w:t xml:space="preserve">Edward Snowden:</w:t>
      </w:r>
      <w:r>
        <w:t xml:space="preserve"> Exposed NSA surveillance - lives in exile</w:t>
      </w:r>
      <w:r/>
    </w:p>
    <w:p>
      <w:pPr>
        <w:pStyle w:val="964"/>
        <w:numPr>
          <w:ilvl w:val="0"/>
          <w:numId w:val="199"/>
        </w:numPr>
        <w:pBdr/>
        <w:spacing/>
        <w:ind/>
        <w:rPr/>
      </w:pPr>
      <w:r>
        <w:rPr>
          <w:b/>
          <w:bCs/>
        </w:rPr>
        <w:t xml:space="preserve">Frances Haugen:</w:t>
      </w:r>
      <w:r>
        <w:t xml:space="preserve"> Exposed Facebook’s internal research - faced industry blacklisting</w:t>
      </w:r>
      <w:r/>
    </w:p>
    <w:p>
      <w:pPr>
        <w:pStyle w:val="964"/>
        <w:numPr>
          <w:ilvl w:val="0"/>
          <w:numId w:val="199"/>
        </w:numPr>
        <w:pBdr/>
        <w:spacing/>
        <w:ind/>
        <w:rPr/>
      </w:pPr>
      <w:r>
        <w:rPr>
          <w:b/>
          <w:bCs/>
        </w:rPr>
        <w:t xml:space="preserve">Various corporate whistleblowers:</w:t>
      </w:r>
      <w:r>
        <w:t xml:space="preserve"> Lost jobs, faced retaliation, struggled to find new employment</w:t>
      </w:r>
      <w:r/>
    </w:p>
    <w:p>
      <w:pPr>
        <w:pStyle w:val="963"/>
        <w:pBdr/>
        <w:spacing/>
        <w:ind/>
        <w:rPr/>
      </w:pPr>
      <w:r>
        <w:rPr>
          <w:b/>
          <w:bCs/>
        </w:rPr>
        <w:t xml:space="preserve">The Uncomfortable Truth:</w:t>
      </w:r>
      <w:r/>
    </w:p>
    <w:p>
      <w:pPr>
        <w:pStyle w:val="962"/>
        <w:pBdr/>
        <w:spacing/>
        <w:ind/>
        <w:rPr/>
      </w:pPr>
      <w:r>
        <w:t xml:space="preserve">Sometimes ethical choices result in:</w:t>
      </w:r>
      <w:r/>
    </w:p>
    <w:p>
      <w:pPr>
        <w:pStyle w:val="964"/>
        <w:numPr>
          <w:ilvl w:val="0"/>
          <w:numId w:val="200"/>
        </w:numPr>
        <w:pBdr/>
        <w:spacing/>
        <w:ind/>
        <w:rPr/>
      </w:pPr>
      <w:r>
        <w:t xml:space="preserve">Business failure</w:t>
      </w:r>
      <w:r/>
    </w:p>
    <w:p>
      <w:pPr>
        <w:pStyle w:val="964"/>
        <w:numPr>
          <w:ilvl w:val="0"/>
          <w:numId w:val="200"/>
        </w:numPr>
        <w:pBdr/>
        <w:spacing/>
        <w:ind/>
        <w:rPr/>
      </w:pPr>
      <w:r>
        <w:t xml:space="preserve">Career destruction</w:t>
      </w:r>
      <w:r/>
    </w:p>
    <w:p>
      <w:pPr>
        <w:pStyle w:val="964"/>
        <w:numPr>
          <w:ilvl w:val="0"/>
          <w:numId w:val="200"/>
        </w:numPr>
        <w:pBdr/>
        <w:spacing/>
        <w:ind/>
        <w:rPr/>
      </w:pPr>
      <w:r>
        <w:t xml:space="preserve">Financial ruin</w:t>
      </w:r>
      <w:r/>
    </w:p>
    <w:p>
      <w:pPr>
        <w:pStyle w:val="964"/>
        <w:numPr>
          <w:ilvl w:val="0"/>
          <w:numId w:val="200"/>
        </w:numPr>
        <w:pBdr/>
        <w:spacing/>
        <w:ind/>
        <w:rPr/>
      </w:pPr>
      <w:r>
        <w:t xml:space="preserve">Social ostracism</w:t>
      </w:r>
      <w:r/>
    </w:p>
    <w:p>
      <w:pPr>
        <w:pStyle w:val="964"/>
        <w:numPr>
          <w:ilvl w:val="0"/>
          <w:numId w:val="200"/>
        </w:numPr>
        <w:pBdr/>
        <w:spacing/>
        <w:ind/>
        <w:rPr/>
      </w:pPr>
      <w:r>
        <w:t xml:space="preserve">Legal persecution</w:t>
      </w:r>
      <w:r/>
    </w:p>
    <w:p>
      <w:pPr>
        <w:pStyle w:val="963"/>
        <w:pBdr/>
        <w:spacing/>
        <w:ind/>
        <w:rPr/>
      </w:pPr>
      <w:r>
        <w:rPr>
          <w:b/>
          <w:bCs/>
        </w:rPr>
        <w:t xml:space="preserve">This Does Not Make Them Wrong</w:t>
      </w:r>
      <w:r/>
    </w:p>
    <w:p>
      <w:pPr>
        <w:pStyle w:val="962"/>
        <w:pBdr/>
        <w:spacing/>
        <w:ind/>
        <w:rPr/>
      </w:pPr>
      <w:r>
        <w:rPr>
          <w:b/>
          <w:bCs/>
        </w:rPr>
        <w:t xml:space="preserve">Example 4: Ethical Preference Does Not Eliminate Tradeoffs</w:t>
      </w:r>
      <w:r/>
    </w:p>
    <w:p>
      <w:pPr>
        <w:pStyle w:val="962"/>
        <w:pBdr/>
        <w:spacing/>
        <w:ind/>
        <w:rPr/>
      </w:pPr>
      <w:r>
        <w:t xml:space="preserve">The Gandi domain-registration case illustrates a more modest but practically important limitation: a provider may be selecte</w:t>
      </w:r>
      <w:r>
        <w:t xml:space="preserve">d because it appears more aligned with privacy, non-profit, or user-respecting values while still presenting checkout or renewal practices that require ethical scrutiny. In the author-observed source note, the user records choosing Gandi despite imperfect </w:t>
      </w:r>
      <w:r>
        <w:t xml:space="preserve">feature comparison, then observing a paid option selected during purchase and a renewal/pricing structure that could create confusion. This should be treated as a user-observed case analysis rather than a legal finding about Gandi. Its thesis value is that</w:t>
      </w:r>
      <w:r>
        <w:t xml:space="preserve"> I-VSD does not require pretending that any provider is morally perfect; it requires documenting tradeoffs, preferring the most value-aligned viable option, and continuing to pressure comparatively better providers toward clearer, less manipulative design.</w:t>
      </w:r>
      <w:r/>
    </w:p>
    <w:p>
      <w:pPr>
        <w:pBdr/>
        <w:spacing/>
        <w:ind/>
        <w:rPr/>
      </w:pPr>
      <w:r>
        <mc:AlternateContent>
          <mc:Choice Requires="wpg">
            <w:drawing>
              <wp:inline xmlns:wp="http://schemas.openxmlformats.org/drawingml/2006/wordprocessingDrawing" distT="0" distB="0" distL="0" distR="0">
                <wp:extent cx="0" cy="19050"/>
                <wp:effectExtent l="0" t="0" r="0" b="0"/>
                <wp:docPr id="9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1" o:spid="_x0000_s91" o:spt="1" type="#_x0000_t1" style="width:0.00pt;height:1.50pt;mso-wrap-distance-left:0.00pt;mso-wrap-distance-top:0.00pt;mso-wrap-distance-right:0.00pt;mso-wrap-distance-bottom:0.00pt;visibility:visible;" fillcolor="#FFFFFF" strokecolor="#000000"/>
            </w:pict>
          </mc:Fallback>
        </mc:AlternateContent>
      </w:r>
      <w:bookmarkEnd w:id="112"/>
      <w:bookmarkEnd w:id="113"/>
      <w:r/>
    </w:p>
    <w:p>
      <w:pPr>
        <w:pStyle w:val="976"/>
        <w:pBdr/>
        <w:spacing/>
        <w:ind/>
        <w:rPr/>
      </w:pPr>
      <w:r/>
      <w:bookmarkStart w:id="120" w:name="Xc5855d00dab4c5a94cb65e00399d0fdd927ffff"/>
      <w:r>
        <w:t xml:space="preserve">5.3 The Islamic Framework: Command-Oriented, Not Result-Oriented</w:t>
      </w:r>
      <w:r/>
    </w:p>
    <w:p>
      <w:pPr>
        <w:pBdr/>
        <w:spacing/>
        <w:ind/>
        <w:rPr/>
      </w:pPr>
      <w:r>
        <mc:AlternateContent>
          <mc:Choice Requires="wpg">
            <w:drawing>
              <wp:inline xmlns:wp="http://schemas.openxmlformats.org/drawingml/2006/wordprocessingDrawing" distT="0" distB="0" distL="0" distR="0">
                <wp:extent cx="0" cy="19050"/>
                <wp:effectExtent l="0" t="0" r="0" b="0"/>
                <wp:docPr id="9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2" o:spid="_x0000_s92"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14" w:name="the-fundamental-principle"/>
      <w:r>
        <w:t xml:space="preserve">5.3.1 The Fundamental Principle</w:t>
      </w:r>
      <w:r/>
    </w:p>
    <w:p>
      <w:pPr>
        <w:pStyle w:val="963"/>
        <w:pBdr/>
        <w:spacing/>
        <w:ind/>
        <w:rPr/>
      </w:pPr>
      <w:r>
        <w:rPr>
          <w:b/>
          <w:bCs/>
        </w:rPr>
        <w:t xml:space="preserve">We Are Commanded to Obey, Not to Succeed</w:t>
      </w:r>
      <w:r/>
    </w:p>
    <w:p>
      <w:pPr>
        <w:pStyle w:val="962"/>
        <w:pBdr/>
        <w:spacing/>
        <w:ind/>
        <w:rPr/>
      </w:pPr>
      <w:r>
        <w:t xml:space="preserve">A critical distinction in Islamic ethics is between:</w:t>
      </w:r>
      <w:r/>
    </w:p>
    <w:p>
      <w:pPr>
        <w:pStyle w:val="964"/>
        <w:numPr>
          <w:ilvl w:val="0"/>
          <w:numId w:val="201"/>
        </w:numPr>
        <w:pBdr/>
        <w:spacing/>
        <w:ind/>
        <w:rPr/>
      </w:pPr>
      <w:r>
        <w:rPr>
          <w:b/>
          <w:bCs/>
        </w:rPr>
        <w:t xml:space="preserve">Obedience (Taa’ah):</w:t>
      </w:r>
      <w:r>
        <w:t xml:space="preserve"> Following Allah’s commands</w:t>
      </w:r>
      <w:r/>
    </w:p>
    <w:p>
      <w:pPr>
        <w:pStyle w:val="964"/>
        <w:numPr>
          <w:ilvl w:val="0"/>
          <w:numId w:val="201"/>
        </w:numPr>
        <w:pBdr/>
        <w:spacing/>
        <w:ind/>
        <w:rPr/>
      </w:pPr>
      <w:r>
        <w:rPr>
          <w:b/>
          <w:bCs/>
        </w:rPr>
        <w:t xml:space="preserve">Success (Najah):</w:t>
      </w:r>
      <w:r>
        <w:t xml:space="preserve"> Achieving desired worldly outcomes</w:t>
      </w:r>
      <w:r/>
    </w:p>
    <w:p>
      <w:pPr>
        <w:pStyle w:val="963"/>
        <w:pBdr/>
        <w:spacing/>
        <w:ind/>
        <w:rPr/>
      </w:pPr>
      <w:r>
        <w:rPr>
          <w:b/>
          <w:bCs/>
        </w:rPr>
        <w:t xml:space="preserve">The Islamic Position:</w:t>
      </w:r>
      <w:r/>
    </w:p>
    <w:p>
      <w:pPr>
        <w:pStyle w:val="964"/>
        <w:numPr>
          <w:ilvl w:val="0"/>
          <w:numId w:val="202"/>
        </w:numPr>
        <w:pBdr/>
        <w:spacing/>
        <w:ind/>
        <w:rPr/>
      </w:pPr>
      <w:r>
        <w:t xml:space="preserve">Success is </w:t>
      </w:r>
      <w:r>
        <w:rPr>
          <w:b/>
          <w:bCs/>
        </w:rPr>
        <w:t xml:space="preserve">obedience itself</w:t>
      </w:r>
      <w:r>
        <w:t xml:space="preserve">, regardless of worldly outcome</w:t>
      </w:r>
      <w:r/>
    </w:p>
    <w:p>
      <w:pPr>
        <w:pStyle w:val="964"/>
        <w:numPr>
          <w:ilvl w:val="0"/>
          <w:numId w:val="202"/>
        </w:numPr>
        <w:pBdr/>
        <w:spacing/>
        <w:ind/>
        <w:rPr/>
      </w:pPr>
      <w:r>
        <w:t xml:space="preserve">Results are in Allah’s hands, not ours</w:t>
      </w:r>
      <w:r/>
    </w:p>
    <w:p>
      <w:pPr>
        <w:pStyle w:val="964"/>
        <w:numPr>
          <w:ilvl w:val="0"/>
          <w:numId w:val="202"/>
        </w:numPr>
        <w:pBdr/>
        <w:spacing/>
        <w:ind/>
        <w:rPr/>
      </w:pPr>
      <w:r>
        <w:t xml:space="preserve">Our responsibility is the action, not the consequence</w:t>
      </w:r>
      <w:r/>
    </w:p>
    <w:p>
      <w:pPr>
        <w:pStyle w:val="964"/>
        <w:numPr>
          <w:ilvl w:val="0"/>
          <w:numId w:val="202"/>
        </w:numPr>
        <w:pBdr/>
        <w:spacing/>
        <w:ind/>
        <w:rPr/>
      </w:pPr>
      <w:r>
        <w:t xml:space="preserve">We are judged by our intentions and efforts, not outcomes</w:t>
      </w:r>
      <w:r/>
    </w:p>
    <w:p>
      <w:pPr>
        <w:pStyle w:val="963"/>
        <w:pBdr/>
        <w:spacing/>
        <w:ind/>
        <w:rPr/>
      </w:pPr>
      <w:r>
        <w:rPr>
          <w:b/>
          <w:bCs/>
        </w:rPr>
        <w:t xml:space="preserve">Quranic Foundation:</w:t>
      </w:r>
      <w:r/>
    </w:p>
    <w:p>
      <w:pPr>
        <w:pStyle w:val="992"/>
        <w:pBdr/>
        <w:spacing/>
        <w:ind/>
        <w:rPr/>
      </w:pPr>
      <w:r>
        <w:t xml:space="preserve">“But perhaps you hate a thing and it is good for you; and perhaps you love a thing and it is bad for you. And Allah knows, while you know not.”</w:t>
      </w:r>
      <w:r>
        <w:t xml:space="preserve"> </w:t>
      </w:r>
      <w:r>
        <w:t xml:space="preserve">— </w:t>
      </w:r>
      <w:r>
        <w:rPr>
          <w:b/>
          <w:bCs/>
        </w:rPr>
        <w:t xml:space="preserve">Quran 2:216</w:t>
      </w:r>
      <w:r/>
    </w:p>
    <w:p>
      <w:pPr>
        <w:pStyle w:val="963"/>
        <w:pBdr/>
        <w:spacing/>
        <w:ind/>
        <w:rPr/>
      </w:pPr>
      <w:r>
        <w:t xml:space="preserve">This verse establishes:</w:t>
      </w:r>
      <w:r/>
    </w:p>
    <w:p>
      <w:pPr>
        <w:pStyle w:val="964"/>
        <w:numPr>
          <w:ilvl w:val="0"/>
          <w:numId w:val="203"/>
        </w:numPr>
        <w:pBdr/>
        <w:spacing/>
        <w:ind/>
        <w:rPr/>
      </w:pPr>
      <w:r>
        <w:rPr>
          <w:b/>
          <w:bCs/>
        </w:rPr>
        <w:t xml:space="preserve">Human knowledge is limited:</w:t>
      </w:r>
      <w:r>
        <w:t xml:space="preserve"> We cannot fully predict consequences</w:t>
      </w:r>
      <w:r/>
    </w:p>
    <w:p>
      <w:pPr>
        <w:pStyle w:val="964"/>
        <w:numPr>
          <w:ilvl w:val="0"/>
          <w:numId w:val="203"/>
        </w:numPr>
        <w:pBdr/>
        <w:spacing/>
        <w:ind/>
        <w:rPr/>
      </w:pPr>
      <w:r>
        <w:rPr>
          <w:b/>
          <w:bCs/>
        </w:rPr>
        <w:t xml:space="preserve">Divine wisdom exceeds ours:</w:t>
      </w:r>
      <w:r>
        <w:t xml:space="preserve"> Allah’s perspective encompasses what we cannot see</w:t>
      </w:r>
      <w:r/>
    </w:p>
    <w:p>
      <w:pPr>
        <w:pStyle w:val="964"/>
        <w:numPr>
          <w:ilvl w:val="0"/>
          <w:numId w:val="203"/>
        </w:numPr>
        <w:pBdr/>
        <w:spacing/>
        <w:ind/>
        <w:rPr/>
      </w:pPr>
      <w:r>
        <w:rPr>
          <w:b/>
          <w:bCs/>
        </w:rPr>
        <w:t xml:space="preserve">Trust in Allah’s plan:</w:t>
      </w:r>
      <w:r>
        <w:t xml:space="preserve"> Even apparent failures may be ultimate successes</w:t>
      </w:r>
      <w:r/>
    </w:p>
    <w:p>
      <w:pPr>
        <w:pStyle w:val="964"/>
        <w:numPr>
          <w:ilvl w:val="0"/>
          <w:numId w:val="203"/>
        </w:numPr>
        <w:pBdr/>
        <w:spacing/>
        <w:ind/>
        <w:rPr/>
      </w:pPr>
      <w:r>
        <w:rPr>
          <w:b/>
          <w:bCs/>
        </w:rPr>
        <w:t xml:space="preserve">Humility required:</w:t>
      </w:r>
      <w:r>
        <w:t xml:space="preserve"> We don’t know what’s truly good or bad for us</w:t>
      </w:r>
      <w:r/>
    </w:p>
    <w:p>
      <w:pPr>
        <w:pStyle w:val="963"/>
        <w:pBdr/>
        <w:spacing/>
        <w:ind/>
        <w:rPr/>
      </w:pPr>
      <w:r>
        <w:rPr>
          <w:b/>
          <w:bCs/>
        </w:rPr>
        <w:t xml:space="preserve">Another Quranic Principle:</w:t>
      </w:r>
      <w:r/>
    </w:p>
    <w:p>
      <w:pPr>
        <w:pStyle w:val="992"/>
        <w:pBdr/>
        <w:spacing/>
        <w:ind/>
        <w:rPr/>
      </w:pPr>
      <w:r>
        <w:t xml:space="preserve">“Say,</w:t>
      </w:r>
      <w:r>
        <w:t xml:space="preserve"> </w:t>
      </w:r>
      <w:r>
        <w:t xml:space="preserve">‘Never will we be struck except by what Allah has decreed for us; He is our protector.’</w:t>
      </w:r>
      <w:r>
        <w:t xml:space="preserve"> </w:t>
      </w:r>
      <w:r>
        <w:t xml:space="preserve">And upon Allah let the believers rely.”</w:t>
      </w:r>
      <w:r>
        <w:t xml:space="preserve"> </w:t>
      </w:r>
      <w:r>
        <w:t xml:space="preserve">— </w:t>
      </w:r>
      <w:r>
        <w:rPr>
          <w:b/>
          <w:bCs/>
        </w:rPr>
        <w:t xml:space="preserve">Quran 9:51</w:t>
      </w:r>
      <w:r/>
    </w:p>
    <w:p>
      <w:pPr>
        <w:pStyle w:val="963"/>
        <w:pBdr/>
        <w:spacing/>
        <w:ind/>
        <w:rPr/>
      </w:pPr>
      <w:r>
        <w:t xml:space="preserve">This teaches:</w:t>
      </w:r>
      <w:r/>
    </w:p>
    <w:p>
      <w:pPr>
        <w:pStyle w:val="964"/>
        <w:numPr>
          <w:ilvl w:val="0"/>
          <w:numId w:val="204"/>
        </w:numPr>
        <w:pBdr/>
        <w:spacing/>
        <w:ind/>
        <w:rPr/>
      </w:pPr>
      <w:r>
        <w:t xml:space="preserve">Outcomes are decreed by Allah</w:t>
      </w:r>
      <w:r/>
    </w:p>
    <w:p>
      <w:pPr>
        <w:pStyle w:val="964"/>
        <w:numPr>
          <w:ilvl w:val="0"/>
          <w:numId w:val="204"/>
        </w:numPr>
        <w:pBdr/>
        <w:spacing/>
        <w:ind/>
        <w:rPr/>
      </w:pPr>
      <w:r>
        <w:t xml:space="preserve">Our job is to do right and trust Allah</w:t>
      </w:r>
      <w:r/>
    </w:p>
    <w:p>
      <w:pPr>
        <w:pStyle w:val="964"/>
        <w:numPr>
          <w:ilvl w:val="0"/>
          <w:numId w:val="204"/>
        </w:numPr>
        <w:pBdr/>
        <w:spacing/>
        <w:ind/>
        <w:rPr/>
      </w:pPr>
      <w:r>
        <w:t xml:space="preserve">Reliance on Allah (Tawakkul) completes our efforts</w:t>
      </w:r>
      <w:r/>
    </w:p>
    <w:p>
      <w:pPr>
        <w:pBdr/>
        <w:spacing/>
        <w:ind/>
        <w:rPr/>
      </w:pPr>
      <w:r>
        <mc:AlternateContent>
          <mc:Choice Requires="wpg">
            <w:drawing>
              <wp:inline xmlns:wp="http://schemas.openxmlformats.org/drawingml/2006/wordprocessingDrawing" distT="0" distB="0" distL="0" distR="0">
                <wp:extent cx="0" cy="19050"/>
                <wp:effectExtent l="0" t="0" r="0" b="0"/>
                <wp:docPr id="9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3" o:spid="_x0000_s93" o:spt="1" type="#_x0000_t1" style="width:0.00pt;height:1.50pt;mso-wrap-distance-left:0.00pt;mso-wrap-distance-top:0.00pt;mso-wrap-distance-right:0.00pt;mso-wrap-distance-bottom:0.00pt;visibility:visible;" fillcolor="#FFFFFF" strokecolor="#000000"/>
            </w:pict>
          </mc:Fallback>
        </mc:AlternateContent>
      </w:r>
      <w:bookmarkEnd w:id="114"/>
      <w:r/>
    </w:p>
    <w:p>
      <w:pPr>
        <w:pStyle w:val="977"/>
        <w:pBdr/>
        <w:spacing/>
        <w:ind/>
        <w:rPr/>
      </w:pPr>
      <w:r/>
      <w:bookmarkStart w:id="115" w:name="we-are-not-money-oriented"/>
      <w:r>
        <w:t xml:space="preserve">5.3.2 We Are Not Money-Oriented</w:t>
      </w:r>
      <w:r/>
    </w:p>
    <w:p>
      <w:pPr>
        <w:pStyle w:val="963"/>
        <w:pBdr/>
        <w:spacing/>
        <w:ind/>
        <w:rPr/>
      </w:pPr>
      <w:r>
        <w:t xml:space="preserve">The I-VSD framework explicitly rejects optimizing business decisions solely for financial gain.</w:t>
      </w:r>
      <w:r/>
    </w:p>
    <w:p>
      <w:pPr>
        <w:pStyle w:val="962"/>
        <w:pBdr/>
        <w:spacing/>
        <w:ind/>
        <w:rPr/>
      </w:pPr>
      <w:r>
        <w:t xml:space="preserve">**Correct Success Metrics: Islamic principles establish fundamentally different success criteria than those used by the software industry.</w:t>
      </w:r>
      <w:r/>
    </w:p>
    <w:p>
      <w:pPr>
        <w:pStyle w:val="964"/>
        <w:numPr>
          <w:ilvl w:val="0"/>
          <w:numId w:val="205"/>
        </w:numPr>
        <w:pBdr/>
        <w:spacing/>
        <w:ind/>
        <w:rPr/>
      </w:pPr>
      <w:r>
        <w:rPr>
          <w:b/>
          <w:bCs/>
        </w:rPr>
        <w:t xml:space="preserve">Allah’s Pleasure (Ridwan):</w:t>
      </w:r>
      <w:r>
        <w:t xml:space="preserve"> Success is obedience itself, not achieving maximum revenue or market dominance</w:t>
      </w:r>
      <w:r/>
    </w:p>
    <w:p>
      <w:pPr>
        <w:pStyle w:val="964"/>
        <w:numPr>
          <w:ilvl w:val="0"/>
          <w:numId w:val="205"/>
        </w:numPr>
        <w:pBdr/>
        <w:spacing/>
        <w:ind/>
        <w:rPr/>
      </w:pPr>
      <w:r>
        <w:rPr>
          <w:b/>
          <w:bCs/>
        </w:rPr>
        <w:t xml:space="preserve">Compliance with Islamic Principles:</w:t>
      </w:r>
      <w:r>
        <w:t xml:space="preserve">** Success includes maintaining integrity in all business dealings</w:t>
      </w:r>
      <w:r/>
    </w:p>
    <w:p>
      <w:pPr>
        <w:pStyle w:val="964"/>
        <w:numPr>
          <w:ilvl w:val="0"/>
          <w:numId w:val="205"/>
        </w:numPr>
        <w:pBdr/>
        <w:spacing/>
        <w:ind/>
        <w:rPr/>
      </w:pPr>
      <w:r>
        <w:rPr>
          <w:b/>
          <w:bCs/>
        </w:rPr>
        <w:t xml:space="preserve">Genuine Benefit to Users:</w:t>
      </w:r>
      <w:r>
        <w:t xml:space="preserve">** Success means providing actual value that improves users’ lives, regardless of profitability</w:t>
      </w:r>
      <w:r/>
    </w:p>
    <w:p>
      <w:pPr>
        <w:pStyle w:val="964"/>
        <w:numPr>
          <w:ilvl w:val="0"/>
          <w:numId w:val="205"/>
        </w:numPr>
        <w:pBdr/>
        <w:spacing/>
        <w:ind/>
        <w:rPr/>
      </w:pPr>
      <w:r>
        <w:rPr>
          <w:b/>
          <w:bCs/>
        </w:rPr>
        <w:t xml:space="preserve">Sustainable and Halal Operations:</w:t>
      </w:r>
      <w:r>
        <w:t xml:space="preserve">** Success is judged by whether operations are conducted according to Islamic principles, not by short-term financial metrics</w:t>
      </w:r>
      <w:r/>
    </w:p>
    <w:p>
      <w:pPr>
        <w:pStyle w:val="964"/>
        <w:numPr>
          <w:ilvl w:val="0"/>
          <w:numId w:val="205"/>
        </w:numPr>
        <w:pBdr/>
        <w:spacing/>
        <w:ind/>
        <w:rPr/>
      </w:pPr>
      <w:r>
        <w:rPr>
          <w:b/>
          <w:bCs/>
        </w:rPr>
        <w:t xml:space="preserve">Helping Others Genuinely:</w:t>
      </w:r>
      <w:r>
        <w:t xml:space="preserve">** The ultimate measure of success is the positive impact on others, which is secondary to financial outcomes</w:t>
      </w:r>
      <w:r/>
    </w:p>
    <w:p>
      <w:pPr>
        <w:pStyle w:val="963"/>
        <w:pBdr/>
        <w:spacing/>
        <w:ind/>
        <w:rPr/>
      </w:pPr>
      <w:r>
        <w:rPr>
          <w:b/>
          <w:bCs/>
        </w:rPr>
        <w:t xml:space="preserve">The End Does Not Justify the Means</w:t>
      </w:r>
      <w:r/>
    </w:p>
    <w:p>
      <w:pPr>
        <w:pStyle w:val="962"/>
        <w:pBdr/>
        <w:spacing/>
        <w:ind/>
        <w:rPr/>
      </w:pPr>
      <w:r>
        <w:t xml:space="preserve">A fundamental distinction between Islamic ethics and consequentialist philosophies is the rejection of</w:t>
      </w:r>
      <w:r>
        <w:t xml:space="preserve"> </w:t>
      </w:r>
      <w:r>
        <w:t xml:space="preserve">“ends justify means”</w:t>
      </w:r>
      <w:r>
        <w:t xml:space="preserve"> </w:t>
      </w:r>
      <w:r>
        <w:t xml:space="preserve">reasoning. In Islamic ethics, certain actions are intrinsically prohibited regardless of their consequences. One cannot achieve a good outcome through prohibited means and claim the action was justified.</w:t>
      </w:r>
      <w:r/>
    </w:p>
    <w:p>
      <w:pPr>
        <w:pStyle w:val="962"/>
        <w:pBdr/>
        <w:spacing/>
        <w:ind/>
        <w:rPr/>
      </w:pPr>
      <w:r>
        <w:t xml:space="preserve">This principle directly challenges the dominant logic of the software industry. The following arguments are explicitly rejected under I-VSD:</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Rejected Reasoning</w:t>
            </w:r>
            <w:r/>
          </w:p>
        </w:tc>
        <w:tc>
          <w:tcPr>
            <w:tcBorders/>
          </w:tcPr>
          <w:p>
            <w:pPr>
              <w:pStyle w:val="964"/>
              <w:pBdr/>
              <w:spacing/>
              <w:ind/>
              <w:rPr/>
            </w:pPr>
            <w:r>
              <w:t xml:space="preserve">Why It Is Rejected</w:t>
            </w:r>
            <w:r/>
          </w:p>
        </w:tc>
      </w:tr>
      <w:tr>
        <w:trPr/>
        <w:tc>
          <w:tcPr>
            <w:tcBorders/>
          </w:tcPr>
          <w:p>
            <w:pPr>
              <w:pStyle w:val="964"/>
              <w:pBdr/>
              <w:spacing/>
              <w:ind/>
              <w:rPr/>
            </w:pPr>
            <w:r>
              <w:t xml:space="preserve">“We need dark patterns to survive”</w:t>
            </w:r>
            <w:r/>
          </w:p>
        </w:tc>
        <w:tc>
          <w:tcPr>
            <w:tcBorders/>
          </w:tcPr>
          <w:p>
            <w:pPr>
              <w:pStyle w:val="964"/>
              <w:pBdr/>
              <w:spacing/>
              <w:ind/>
              <w:rPr/>
            </w:pPr>
            <w:r>
              <w:t xml:space="preserve">Survival through deception is not justified</w:t>
            </w:r>
            <w:r/>
          </w:p>
        </w:tc>
      </w:tr>
      <w:tr>
        <w:trPr/>
        <w:tc>
          <w:tcPr>
            <w:tcBorders/>
          </w:tcPr>
          <w:p>
            <w:pPr>
              <w:pStyle w:val="964"/>
              <w:pBdr/>
              <w:spacing/>
              <w:ind/>
              <w:rPr/>
            </w:pPr>
            <w:r>
              <w:t xml:space="preserve">“Everyone does it”</w:t>
            </w:r>
            <w:r/>
          </w:p>
        </w:tc>
        <w:tc>
          <w:tcPr>
            <w:tcBorders/>
          </w:tcPr>
          <w:p>
            <w:pPr>
              <w:pStyle w:val="964"/>
              <w:pBdr/>
              <w:spacing/>
              <w:ind/>
              <w:rPr/>
            </w:pPr>
            <w:r>
              <w:t xml:space="preserve">Widespread sin does not make sin permissible</w:t>
            </w:r>
            <w:r/>
          </w:p>
        </w:tc>
      </w:tr>
      <w:tr>
        <w:trPr/>
        <w:tc>
          <w:tcPr>
            <w:tcBorders/>
          </w:tcPr>
          <w:p>
            <w:pPr>
              <w:pStyle w:val="964"/>
              <w:pBdr/>
              <w:spacing/>
              <w:ind/>
              <w:rPr/>
            </w:pPr>
            <w:r>
              <w:t xml:space="preserve">“Users benefit in the end”</w:t>
            </w:r>
            <w:r/>
          </w:p>
        </w:tc>
        <w:tc>
          <w:tcPr>
            <w:tcBorders/>
          </w:tcPr>
          <w:p>
            <w:pPr>
              <w:pStyle w:val="964"/>
              <w:pBdr/>
              <w:spacing/>
              <w:ind/>
              <w:rPr/>
            </w:pPr>
            <w:r>
              <w:t xml:space="preserve">Manipulation is intrinsically wrong regardless of outcome</w:t>
            </w:r>
            <w:r/>
          </w:p>
        </w:tc>
      </w:tr>
      <w:tr>
        <w:trPr/>
        <w:tc>
          <w:tcPr>
            <w:tcBorders/>
          </w:tcPr>
          <w:p>
            <w:pPr>
              <w:pStyle w:val="964"/>
              <w:pBdr/>
              <w:spacing/>
              <w:ind/>
              <w:rPr/>
            </w:pPr>
            <w:r>
              <w:t xml:space="preserve">“We’ll do good later when profitable”</w:t>
            </w:r>
            <w:r/>
          </w:p>
        </w:tc>
        <w:tc>
          <w:tcPr>
            <w:tcBorders/>
          </w:tcPr>
          <w:p>
            <w:pPr>
              <w:pStyle w:val="964"/>
              <w:pBdr/>
              <w:spacing/>
              <w:ind/>
              <w:rPr/>
            </w:pPr>
            <w:r>
              <w:t xml:space="preserve">Future intentions do not justify present wrongdoing</w:t>
            </w:r>
            <w:r/>
          </w:p>
        </w:tc>
      </w:tr>
      <w:tr>
        <w:trPr/>
        <w:tc>
          <w:tcPr>
            <w:tcBorders/>
          </w:tcPr>
          <w:p>
            <w:pPr>
              <w:pStyle w:val="964"/>
              <w:pBdr/>
              <w:spacing/>
              <w:ind/>
              <w:rPr/>
            </w:pPr>
            <w:r>
              <w:t xml:space="preserve">“It’s legal”</w:t>
            </w:r>
            <w:r/>
          </w:p>
        </w:tc>
        <w:tc>
          <w:tcPr>
            <w:tcBorders/>
          </w:tcPr>
          <w:p>
            <w:pPr>
              <w:pStyle w:val="964"/>
              <w:pBdr/>
              <w:spacing/>
              <w:ind/>
              <w:rPr/>
            </w:pPr>
            <w:r>
              <w:t xml:space="preserve">Legality is not the standard of morality</w:t>
            </w:r>
            <w:r/>
          </w:p>
        </w:tc>
      </w:tr>
    </w:tbl>
    <w:p>
      <w:pPr>
        <w:pStyle w:val="962"/>
        <w:pBdr/>
        <w:spacing/>
        <w:ind/>
        <w:rPr/>
      </w:pPr>
      <w:r>
        <w:t xml:space="preserve">The Prophet Muhammad (peace be upon him) taught:</w:t>
      </w:r>
      <w:r>
        <w:t xml:space="preserve"> </w:t>
      </w:r>
      <w:r>
        <w:t xml:space="preserve">“Indeed, what is lawful is clear and what is unlawful is clear, and between them are doubtful matters that many people do not know. Whoever guards against the doubtful matters has protected his religion and his honor”</w:t>
      </w:r>
      <w:r>
        <w:t xml:space="preserve"> </w:t>
      </w:r>
      <w:r>
        <w:t xml:space="preserve">(Sahih al-Bukhari 52, Sahih Muslim 1599).</w:t>
      </w:r>
      <w:r/>
    </w:p>
    <w:p>
      <w:pPr>
        <w:pStyle w:val="962"/>
        <w:pBdr/>
        <w:spacing/>
        <w:ind/>
        <w:rPr/>
      </w:pPr>
      <w:r>
        <w:t xml:space="preserve">This hadith establishes that even in ambiguous cases, the believer should err toward caution—a position directly contrary to the industry norm of pushing ethical boundaries until explicitly prohibited.</w:t>
      </w:r>
      <w:r/>
    </w:p>
    <w:p>
      <w:pPr>
        <w:pStyle w:val="962"/>
        <w:pBdr/>
        <w:spacing/>
        <w:ind/>
        <w:rPr/>
      </w:pPr>
      <w:r>
        <w:rPr>
          <w:b/>
          <w:bCs/>
        </w:rPr>
        <w:t xml:space="preserve">Practical Application:</w:t>
      </w:r>
      <w:r/>
    </w:p>
    <w:p>
      <w:pPr>
        <w:pStyle w:val="962"/>
        <w:pBdr/>
        <w:spacing/>
        <w:ind/>
        <w:rPr/>
      </w:pPr>
      <w:r>
        <w:t xml:space="preserve">When facing a business decision that could increase metrics through ethically questionable means:</w:t>
      </w:r>
      <w:r/>
    </w:p>
    <w:p>
      <w:pPr>
        <w:pStyle w:val="964"/>
        <w:numPr>
          <w:ilvl w:val="0"/>
          <w:numId w:val="206"/>
        </w:numPr>
        <w:pBdr/>
        <w:spacing/>
        <w:ind/>
        <w:rPr/>
      </w:pPr>
      <w:r>
        <w:rPr>
          <w:b/>
          <w:bCs/>
        </w:rPr>
        <w:t xml:space="preserve">Evaluate the action itself, not just its outcome:</w:t>
      </w:r>
      <w:r>
        <w:t xml:space="preserve"> Is this action permissible regardless of result?</w:t>
      </w:r>
      <w:r/>
    </w:p>
    <w:p>
      <w:pPr>
        <w:pStyle w:val="964"/>
        <w:numPr>
          <w:ilvl w:val="0"/>
          <w:numId w:val="206"/>
        </w:numPr>
        <w:pBdr/>
        <w:spacing/>
        <w:ind/>
        <w:rPr/>
      </w:pPr>
      <w:r>
        <w:rPr>
          <w:b/>
          <w:bCs/>
        </w:rPr>
        <w:t xml:space="preserve">Reject consequentialist reasoning:</w:t>
      </w:r>
      <w:r>
        <w:t xml:space="preserve"> </w:t>
      </w:r>
      <w:r>
        <w:t xml:space="preserve">“Good results”</w:t>
      </w:r>
      <w:r>
        <w:t xml:space="preserve"> </w:t>
      </w:r>
      <w:r>
        <w:t xml:space="preserve">cannot purify impermissible actions</w:t>
      </w:r>
      <w:r/>
    </w:p>
    <w:p>
      <w:pPr>
        <w:pStyle w:val="964"/>
        <w:numPr>
          <w:ilvl w:val="0"/>
          <w:numId w:val="206"/>
        </w:numPr>
        <w:pBdr/>
        <w:spacing/>
        <w:ind/>
        <w:rPr/>
      </w:pPr>
      <w:r>
        <w:rPr>
          <w:b/>
          <w:bCs/>
        </w:rPr>
        <w:t xml:space="preserve">Consider all parties affected:</w:t>
      </w:r>
      <w:r>
        <w:t xml:space="preserve"> Harm to users is not offset by benefit to the company</w:t>
      </w:r>
      <w:r/>
    </w:p>
    <w:p>
      <w:pPr>
        <w:pStyle w:val="964"/>
        <w:numPr>
          <w:ilvl w:val="0"/>
          <w:numId w:val="206"/>
        </w:numPr>
        <w:pBdr/>
        <w:spacing/>
        <w:ind/>
        <w:rPr/>
      </w:pPr>
      <w:r>
        <w:rPr>
          <w:b/>
          <w:bCs/>
        </w:rPr>
        <w:t xml:space="preserve">When in doubt, abstain:</w:t>
      </w:r>
      <w:r>
        <w:t xml:space="preserve"> The cautious path protects both religion and honor</w:t>
      </w:r>
      <w:r/>
    </w:p>
    <w:p>
      <w:pPr>
        <w:pStyle w:val="963"/>
        <w:pBdr/>
        <w:spacing/>
        <w:ind/>
        <w:rPr/>
      </w:pPr>
      <w:r>
        <w:rPr>
          <w:b/>
          <w:bCs/>
        </w:rPr>
        <w:t xml:space="preserve">The Prophet’s Example:</w:t>
      </w:r>
      <w:r/>
    </w:p>
    <w:p>
      <w:pPr>
        <w:pStyle w:val="962"/>
        <w:pBdr/>
        <w:spacing/>
        <w:ind/>
        <w:rPr/>
      </w:pPr>
      <w:r>
        <w:t xml:space="preserve">The Prophet Muhammad (PBUH) was offered:</w:t>
      </w:r>
      <w:r/>
    </w:p>
    <w:p>
      <w:pPr>
        <w:pStyle w:val="964"/>
        <w:numPr>
          <w:ilvl w:val="0"/>
          <w:numId w:val="207"/>
        </w:numPr>
        <w:pBdr/>
        <w:spacing/>
        <w:ind/>
        <w:rPr/>
      </w:pPr>
      <w:r>
        <w:t xml:space="preserve">All the wealth of Makkah</w:t>
      </w:r>
      <w:r/>
    </w:p>
    <w:p>
      <w:pPr>
        <w:pStyle w:val="964"/>
        <w:numPr>
          <w:ilvl w:val="0"/>
          <w:numId w:val="207"/>
        </w:numPr>
        <w:pBdr/>
        <w:spacing/>
        <w:ind/>
        <w:rPr/>
      </w:pPr>
      <w:r>
        <w:t xml:space="preserve">Leadership and power</w:t>
      </w:r>
      <w:r/>
    </w:p>
    <w:p>
      <w:pPr>
        <w:pStyle w:val="964"/>
        <w:numPr>
          <w:ilvl w:val="0"/>
          <w:numId w:val="207"/>
        </w:numPr>
        <w:pBdr/>
        <w:spacing/>
        <w:ind/>
        <w:rPr/>
      </w:pPr>
      <w:r>
        <w:t xml:space="preserve">Marriage to the most beautiful women</w:t>
      </w:r>
      <w:r/>
    </w:p>
    <w:p>
      <w:pPr>
        <w:pStyle w:val="964"/>
        <w:numPr>
          <w:ilvl w:val="0"/>
          <w:numId w:val="207"/>
        </w:numPr>
        <w:pBdr/>
        <w:spacing/>
        <w:ind/>
        <w:rPr/>
      </w:pPr>
      <w:r>
        <w:t xml:space="preserve">Everything worldly if he would compromise</w:t>
      </w:r>
      <w:r/>
    </w:p>
    <w:p>
      <w:pPr>
        <w:pStyle w:val="963"/>
        <w:pBdr/>
        <w:spacing/>
        <w:ind/>
        <w:rPr/>
      </w:pPr>
      <w:r>
        <w:rPr>
          <w:b/>
          <w:bCs/>
        </w:rPr>
        <w:t xml:space="preserve">His Response:</w:t>
      </w:r>
      <w:r/>
    </w:p>
    <w:p>
      <w:pPr>
        <w:pStyle w:val="992"/>
        <w:pBdr/>
        <w:spacing/>
        <w:ind/>
        <w:rPr/>
      </w:pPr>
      <w:r>
        <w:t xml:space="preserve">“By Allah, if they put the sun in my right hand and the moon in my left to abandon this matter, I would not abandon it until Allah makes it prevail or I perish therein.”</w:t>
      </w:r>
      <w:r/>
    </w:p>
    <w:p>
      <w:pPr>
        <w:pStyle w:val="963"/>
        <w:pBdr/>
        <w:spacing/>
        <w:ind/>
        <w:rPr/>
      </w:pPr>
      <w:r>
        <w:rPr>
          <w:b/>
          <w:bCs/>
        </w:rPr>
        <w:t xml:space="preserve">Analysis:</w:t>
      </w:r>
      <w:r/>
    </w:p>
    <w:p>
      <w:pPr>
        <w:pStyle w:val="964"/>
        <w:numPr>
          <w:ilvl w:val="0"/>
          <w:numId w:val="208"/>
        </w:numPr>
        <w:pBdr/>
        <w:spacing/>
        <w:ind/>
        <w:rPr/>
      </w:pPr>
      <w:r>
        <w:t xml:space="preserve">He acknowledged he might</w:t>
      </w:r>
      <w:r>
        <w:t xml:space="preserve"> </w:t>
      </w:r>
      <w:r>
        <w:t xml:space="preserve">“perish”</w:t>
      </w:r>
      <w:r>
        <w:t xml:space="preserve"> </w:t>
      </w:r>
      <w:r>
        <w:t xml:space="preserve">(worldly failure)</w:t>
      </w:r>
      <w:r/>
    </w:p>
    <w:p>
      <w:pPr>
        <w:pStyle w:val="964"/>
        <w:numPr>
          <w:ilvl w:val="0"/>
          <w:numId w:val="208"/>
        </w:numPr>
        <w:pBdr/>
        <w:spacing/>
        <w:ind/>
        <w:rPr/>
      </w:pPr>
      <w:r>
        <w:t xml:space="preserve">Success was defined as </w:t>
      </w:r>
      <w:r>
        <w:rPr>
          <w:b/>
          <w:bCs/>
        </w:rPr>
        <w:t xml:space="preserve">faithfulness</w:t>
      </w:r>
      <w:r>
        <w:t xml:space="preserve">, not victory</w:t>
      </w:r>
      <w:r/>
    </w:p>
    <w:p>
      <w:pPr>
        <w:pStyle w:val="964"/>
        <w:numPr>
          <w:ilvl w:val="0"/>
          <w:numId w:val="208"/>
        </w:numPr>
        <w:pBdr/>
        <w:spacing/>
        <w:ind/>
        <w:rPr/>
      </w:pPr>
      <w:r>
        <w:t xml:space="preserve">He trusted Allah with the outcome</w:t>
      </w:r>
      <w:r/>
    </w:p>
    <w:p>
      <w:pPr>
        <w:pStyle w:val="964"/>
        <w:numPr>
          <w:ilvl w:val="0"/>
          <w:numId w:val="208"/>
        </w:numPr>
        <w:pBdr/>
        <w:spacing/>
        <w:ind/>
        <w:rPr/>
      </w:pPr>
      <w:r>
        <w:t xml:space="preserve">History vindicated him, but that wasn’t guaranteed when he made the choice</w:t>
      </w:r>
      <w:r/>
    </w:p>
    <w:p>
      <w:pPr>
        <w:pBdr/>
        <w:spacing/>
        <w:ind/>
        <w:rPr/>
      </w:pPr>
      <w:r>
        <mc:AlternateContent>
          <mc:Choice Requires="wpg">
            <w:drawing>
              <wp:inline xmlns:wp="http://schemas.openxmlformats.org/drawingml/2006/wordprocessingDrawing" distT="0" distB="0" distL="0" distR="0">
                <wp:extent cx="0" cy="19050"/>
                <wp:effectExtent l="0" t="0" r="0" b="0"/>
                <wp:docPr id="9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4" o:spid="_x0000_s94" o:spt="1" type="#_x0000_t1" style="width:0.00pt;height:1.50pt;mso-wrap-distance-left:0.00pt;mso-wrap-distance-top:0.00pt;mso-wrap-distance-right:0.00pt;mso-wrap-distance-bottom:0.00pt;visibility:visible;" fillcolor="#FFFFFF" strokecolor="#000000"/>
            </w:pict>
          </mc:Fallback>
        </mc:AlternateContent>
      </w:r>
      <w:bookmarkEnd w:id="115"/>
      <w:r/>
    </w:p>
    <w:p>
      <w:pPr>
        <w:pStyle w:val="977"/>
        <w:pBdr/>
        <w:spacing/>
        <w:ind/>
        <w:rPr/>
      </w:pPr>
      <w:r/>
      <w:bookmarkStart w:id="116" w:name="applying-this-to-software-development"/>
      <w:r>
        <w:t xml:space="preserve">5.3.3 Applying This to Software Development</w:t>
      </w:r>
      <w:r/>
    </w:p>
    <w:p>
      <w:pPr>
        <w:pStyle w:val="963"/>
        <w:pBdr/>
        <w:spacing/>
        <w:ind/>
        <w:rPr/>
      </w:pPr>
      <w:r>
        <w:rPr>
          <w:b/>
          <w:bCs/>
        </w:rPr>
        <w:t xml:space="preserve">Decision Framework:</w:t>
      </w:r>
      <w:r/>
    </w:p>
    <w:p>
      <w:pPr>
        <w:pStyle w:val="962"/>
        <w:pBdr/>
        <w:spacing/>
        <w:ind/>
        <w:rPr/>
      </w:pPr>
      <w:r>
        <w:t xml:space="preserve">When facing ethical dilemmas in software development:</w:t>
      </w:r>
      <w:r/>
    </w:p>
    <w:p>
      <w:pPr>
        <w:numPr>
          <w:ilvl w:val="0"/>
          <w:numId w:val="209"/>
        </w:numPr>
        <w:pBdr/>
        <w:spacing/>
        <w:ind/>
        <w:rPr/>
      </w:pPr>
      <w:r>
        <w:rPr>
          <w:b/>
          <w:bCs/>
        </w:rPr>
        <w:t xml:space="preserve">Identify the Islamic command:</w:t>
      </w:r>
      <w:r>
        <w:t xml:space="preserve"> What does Allah require in this situation?</w:t>
      </w:r>
      <w:r/>
    </w:p>
    <w:p>
      <w:pPr>
        <w:pStyle w:val="964"/>
        <w:numPr>
          <w:ilvl w:val="1"/>
          <w:numId w:val="210"/>
        </w:numPr>
        <w:pBdr/>
        <w:spacing/>
        <w:ind/>
        <w:rPr/>
      </w:pPr>
      <w:r>
        <w:t xml:space="preserve">Honesty (Sidq)</w:t>
      </w:r>
      <w:r/>
    </w:p>
    <w:p>
      <w:pPr>
        <w:pStyle w:val="964"/>
        <w:numPr>
          <w:ilvl w:val="1"/>
          <w:numId w:val="210"/>
        </w:numPr>
        <w:pBdr/>
        <w:spacing/>
        <w:ind/>
        <w:rPr/>
      </w:pPr>
      <w:r>
        <w:t xml:space="preserve">Trustworthiness (Amanah)</w:t>
      </w:r>
      <w:r/>
    </w:p>
    <w:p>
      <w:pPr>
        <w:pStyle w:val="964"/>
        <w:numPr>
          <w:ilvl w:val="1"/>
          <w:numId w:val="210"/>
        </w:numPr>
        <w:pBdr/>
        <w:spacing/>
        <w:ind/>
        <w:rPr/>
      </w:pPr>
      <w:r>
        <w:t xml:space="preserve">Justice (Adl)</w:t>
      </w:r>
      <w:r/>
    </w:p>
    <w:p>
      <w:pPr>
        <w:pStyle w:val="964"/>
        <w:numPr>
          <w:ilvl w:val="1"/>
          <w:numId w:val="210"/>
        </w:numPr>
        <w:pBdr/>
        <w:spacing/>
        <w:ind/>
        <w:rPr/>
      </w:pPr>
      <w:r>
        <w:t xml:space="preserve">No harm (La Darar)</w:t>
      </w:r>
      <w:r/>
    </w:p>
    <w:p>
      <w:pPr>
        <w:numPr>
          <w:ilvl w:val="0"/>
          <w:numId w:val="209"/>
        </w:numPr>
        <w:pBdr/>
        <w:spacing/>
        <w:ind/>
        <w:rPr/>
      </w:pPr>
      <w:r>
        <w:rPr>
          <w:b/>
          <w:bCs/>
        </w:rPr>
        <w:t xml:space="preserve">Follow the command:</w:t>
      </w:r>
      <w:r>
        <w:t xml:space="preserve"> Regardless of projected financial impact</w:t>
      </w:r>
      <w:r/>
    </w:p>
    <w:p>
      <w:pPr>
        <w:numPr>
          <w:ilvl w:val="0"/>
          <w:numId w:val="209"/>
        </w:numPr>
        <w:pBdr/>
        <w:spacing/>
        <w:ind/>
        <w:rPr/>
      </w:pPr>
      <w:r>
        <w:rPr>
          <w:b/>
          <w:bCs/>
        </w:rPr>
        <w:t xml:space="preserve">Trust Allah with results:</w:t>
      </w:r>
      <w:r>
        <w:t xml:space="preserve"> The outcome is not your responsibility</w:t>
      </w:r>
      <w:r/>
    </w:p>
    <w:p>
      <w:pPr>
        <w:numPr>
          <w:ilvl w:val="0"/>
          <w:numId w:val="209"/>
        </w:numPr>
        <w:pBdr/>
        <w:spacing/>
        <w:ind/>
        <w:rPr/>
      </w:pPr>
      <w:r>
        <w:rPr>
          <w:b/>
          <w:bCs/>
        </w:rPr>
        <w:t xml:space="preserve">Accept whatever comes:</w:t>
      </w:r>
      <w:r>
        <w:t xml:space="preserve"> Worldly success or failure doesn’t change the rightness of the choice</w:t>
      </w:r>
      <w:r/>
    </w:p>
    <w:p>
      <w:pPr>
        <w:pStyle w:val="963"/>
        <w:pBdr/>
        <w:spacing/>
        <w:ind/>
        <w:rPr/>
      </w:pPr>
      <w:r>
        <w:rPr>
          <w:b/>
          <w:bCs/>
        </w:rPr>
        <w:t xml:space="preserve">Practical Examples:</w:t>
      </w:r>
      <w:r/>
    </w:p>
    <w:tbl>
      <w:tblPr>
        <w:tblStyle w:val="996"/>
        <w:tblW w:w="0" w:type="auto"/>
        <w:tblBorders/>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Situation</w:t>
            </w:r>
            <w:r/>
          </w:p>
        </w:tc>
        <w:tc>
          <w:tcPr>
            <w:tcBorders/>
          </w:tcPr>
          <w:p>
            <w:pPr>
              <w:pStyle w:val="964"/>
              <w:pBdr/>
              <w:spacing/>
              <w:ind/>
              <w:rPr/>
            </w:pPr>
            <w:r>
              <w:t xml:space="preserve">Money-Oriented Choice</w:t>
            </w:r>
            <w:r/>
          </w:p>
        </w:tc>
        <w:tc>
          <w:tcPr>
            <w:tcBorders/>
          </w:tcPr>
          <w:p>
            <w:pPr>
              <w:pStyle w:val="964"/>
              <w:pBdr/>
              <w:spacing/>
              <w:ind/>
              <w:rPr/>
            </w:pPr>
            <w:r>
              <w:t xml:space="preserve">Command-Oriented Choice</w:t>
            </w:r>
            <w:r/>
          </w:p>
        </w:tc>
      </w:tr>
      <w:tr>
        <w:trPr/>
        <w:tc>
          <w:tcPr>
            <w:tcBorders/>
          </w:tcPr>
          <w:p>
            <w:pPr>
              <w:pStyle w:val="964"/>
              <w:pBdr/>
              <w:spacing/>
              <w:ind/>
              <w:rPr/>
            </w:pPr>
            <w:r>
              <w:t xml:space="preserve">Dark patterns increase conversion</w:t>
            </w:r>
            <w:r/>
          </w:p>
        </w:tc>
        <w:tc>
          <w:tcPr>
            <w:tcBorders/>
          </w:tcPr>
          <w:p>
            <w:pPr>
              <w:pStyle w:val="964"/>
              <w:pBdr/>
              <w:spacing/>
              <w:ind/>
              <w:rPr/>
            </w:pPr>
            <w:r>
              <w:t xml:space="preserve">Implement them</w:t>
            </w:r>
            <w:r/>
          </w:p>
        </w:tc>
        <w:tc>
          <w:tcPr>
            <w:tcBorders/>
          </w:tcPr>
          <w:p>
            <w:pPr>
              <w:pStyle w:val="964"/>
              <w:pBdr/>
              <w:spacing/>
              <w:ind/>
              <w:rPr/>
            </w:pPr>
            <w:r>
              <w:t xml:space="preserve">Reject them</w:t>
            </w:r>
            <w:r/>
          </w:p>
        </w:tc>
      </w:tr>
      <w:tr>
        <w:trPr/>
        <w:tc>
          <w:tcPr>
            <w:tcBorders/>
          </w:tcPr>
          <w:p>
            <w:pPr>
              <w:pStyle w:val="964"/>
              <w:pBdr/>
              <w:spacing/>
              <w:ind/>
              <w:rPr/>
            </w:pPr>
            <w:r>
              <w:t xml:space="preserve">Selling user data is profitable</w:t>
            </w:r>
            <w:r/>
          </w:p>
        </w:tc>
        <w:tc>
          <w:tcPr>
            <w:tcBorders/>
          </w:tcPr>
          <w:p>
            <w:pPr>
              <w:pStyle w:val="964"/>
              <w:pBdr/>
              <w:spacing/>
              <w:ind/>
              <w:rPr/>
            </w:pPr>
            <w:r>
              <w:t xml:space="preserve">Sell it</w:t>
            </w:r>
            <w:r/>
          </w:p>
        </w:tc>
        <w:tc>
          <w:tcPr>
            <w:tcBorders/>
          </w:tcPr>
          <w:p>
            <w:pPr>
              <w:pStyle w:val="964"/>
              <w:pBdr/>
              <w:spacing/>
              <w:ind/>
              <w:rPr/>
            </w:pPr>
            <w:r>
              <w:t xml:space="preserve">Protect it</w:t>
            </w:r>
            <w:r/>
          </w:p>
        </w:tc>
      </w:tr>
      <w:tr>
        <w:trPr/>
        <w:tc>
          <w:tcPr>
            <w:tcBorders/>
          </w:tcPr>
          <w:p>
            <w:pPr>
              <w:pStyle w:val="964"/>
              <w:pBdr/>
              <w:spacing/>
              <w:ind/>
              <w:rPr/>
            </w:pPr>
            <w:r>
              <w:t xml:space="preserve">Lying about features closes deals</w:t>
            </w:r>
            <w:r/>
          </w:p>
        </w:tc>
        <w:tc>
          <w:tcPr>
            <w:tcBorders/>
          </w:tcPr>
          <w:p>
            <w:pPr>
              <w:pStyle w:val="964"/>
              <w:pBdr/>
              <w:spacing/>
              <w:ind/>
              <w:rPr/>
            </w:pPr>
            <w:r>
              <w:t xml:space="preserve">Lie</w:t>
            </w:r>
            <w:r/>
          </w:p>
        </w:tc>
        <w:tc>
          <w:tcPr>
            <w:tcBorders/>
          </w:tcPr>
          <w:p>
            <w:pPr>
              <w:pStyle w:val="964"/>
              <w:pBdr/>
              <w:spacing/>
              <w:ind/>
              <w:rPr/>
            </w:pPr>
            <w:r>
              <w:t xml:space="preserve">Tell truth</w:t>
            </w:r>
            <w:r/>
          </w:p>
        </w:tc>
      </w:tr>
      <w:tr>
        <w:trPr/>
        <w:tc>
          <w:tcPr>
            <w:tcBorders/>
          </w:tcPr>
          <w:p>
            <w:pPr>
              <w:pStyle w:val="964"/>
              <w:pBdr/>
              <w:spacing/>
              <w:ind/>
              <w:rPr/>
            </w:pPr>
            <w:r>
              <w:t xml:space="preserve">Unethical investor offers funding</w:t>
            </w:r>
            <w:r/>
          </w:p>
        </w:tc>
        <w:tc>
          <w:tcPr>
            <w:tcBorders/>
          </w:tcPr>
          <w:p>
            <w:pPr>
              <w:pStyle w:val="964"/>
              <w:pBdr/>
              <w:spacing/>
              <w:ind/>
              <w:rPr/>
            </w:pPr>
            <w:r>
              <w:t xml:space="preserve">Accept</w:t>
            </w:r>
            <w:r/>
          </w:p>
        </w:tc>
        <w:tc>
          <w:tcPr>
            <w:tcBorders/>
          </w:tcPr>
          <w:p>
            <w:pPr>
              <w:pStyle w:val="964"/>
              <w:pBdr/>
              <w:spacing/>
              <w:ind/>
              <w:rPr/>
            </w:pPr>
            <w:r>
              <w:t xml:space="preserve">Decline</w:t>
            </w:r>
            <w:r/>
          </w:p>
        </w:tc>
      </w:tr>
      <w:tr>
        <w:trPr/>
        <w:tc>
          <w:tcPr>
            <w:tcBorders/>
          </w:tcPr>
          <w:p>
            <w:pPr>
              <w:pStyle w:val="964"/>
              <w:pBdr/>
              <w:spacing/>
              <w:ind/>
              <w:rPr/>
            </w:pPr>
            <w:r>
              <w:t xml:space="preserve">Cutting corners saves money</w:t>
            </w:r>
            <w:r/>
          </w:p>
        </w:tc>
        <w:tc>
          <w:tcPr>
            <w:tcBorders/>
          </w:tcPr>
          <w:p>
            <w:pPr>
              <w:pStyle w:val="964"/>
              <w:pBdr/>
              <w:spacing/>
              <w:ind/>
              <w:rPr/>
            </w:pPr>
            <w:r>
              <w:t xml:space="preserve">Cut corners</w:t>
            </w:r>
            <w:r/>
          </w:p>
        </w:tc>
        <w:tc>
          <w:tcPr>
            <w:tcBorders/>
          </w:tcPr>
          <w:p>
            <w:pPr>
              <w:pStyle w:val="964"/>
              <w:pBdr/>
              <w:spacing/>
              <w:ind/>
              <w:rPr/>
            </w:pPr>
            <w:r>
              <w:t xml:space="preserve">Maintain standards</w:t>
            </w:r>
            <w:r/>
          </w:p>
        </w:tc>
      </w:tr>
    </w:tbl>
    <w:p>
      <w:pPr>
        <w:pStyle w:val="962"/>
        <w:pBdr/>
        <w:spacing/>
        <w:ind/>
        <w:rPr/>
      </w:pPr>
      <w:r>
        <w:rPr>
          <w:b/>
          <w:bCs/>
        </w:rPr>
        <w:t xml:space="preserve">The Islamic Entrepreneur’s Mindset:</w:t>
      </w:r>
      <w:r/>
    </w:p>
    <w:p>
      <w:pPr>
        <w:pStyle w:val="992"/>
        <w:pBdr/>
        <w:spacing/>
        <w:ind/>
        <w:rPr/>
      </w:pPr>
      <w:r>
        <w:t xml:space="preserve">“I will run my business according to Islamic principles. If it succeeds, Alhamdulillah (praise be to Allah). If it fails, Alhamdulillah. My success was in obeying Allah, and the outcome was never mine to control.”</w:t>
      </w:r>
      <w:r/>
    </w:p>
    <w:p>
      <w:pPr>
        <w:pBdr/>
        <w:spacing/>
        <w:ind/>
        <w:rPr/>
      </w:pPr>
      <w:r>
        <mc:AlternateContent>
          <mc:Choice Requires="wpg">
            <w:drawing>
              <wp:inline xmlns:wp="http://schemas.openxmlformats.org/drawingml/2006/wordprocessingDrawing" distT="0" distB="0" distL="0" distR="0">
                <wp:extent cx="0" cy="19050"/>
                <wp:effectExtent l="0" t="0" r="0" b="0"/>
                <wp:docPr id="9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5" o:spid="_x0000_s95" o:spt="1" type="#_x0000_t1" style="width:0.00pt;height:1.50pt;mso-wrap-distance-left:0.00pt;mso-wrap-distance-top:0.00pt;mso-wrap-distance-right:0.00pt;mso-wrap-distance-bottom:0.00pt;visibility:visible;" fillcolor="#FFFFFF" strokecolor="#000000"/>
            </w:pict>
          </mc:Fallback>
        </mc:AlternateContent>
      </w:r>
      <w:bookmarkEnd w:id="116"/>
      <w:r/>
    </w:p>
    <w:p>
      <w:pPr>
        <w:pStyle w:val="977"/>
        <w:pBdr/>
        <w:spacing/>
        <w:ind/>
        <w:rPr/>
      </w:pPr>
      <w:r/>
      <w:bookmarkStart w:id="117" w:name="reconciling-faith-and-business-reality"/>
      <w:r>
        <w:t xml:space="preserve">5.3.4 Reconciling Faith and Business Reality</w:t>
      </w:r>
      <w:r/>
    </w:p>
    <w:p>
      <w:pPr>
        <w:pStyle w:val="963"/>
        <w:pBdr/>
        <w:spacing/>
        <w:ind/>
        <w:rPr/>
      </w:pPr>
      <w:r>
        <w:rPr>
          <w:b/>
          <w:bCs/>
        </w:rPr>
        <w:t xml:space="preserve">The Balance:</w:t>
      </w:r>
      <w:r/>
    </w:p>
    <w:p>
      <w:pPr>
        <w:pStyle w:val="962"/>
        <w:pBdr/>
        <w:spacing/>
        <w:ind/>
        <w:rPr/>
      </w:pPr>
      <w:r>
        <w:t xml:space="preserve">Being command-oriented does not mean being naive or impractical:</w:t>
      </w:r>
      <w:r/>
    </w:p>
    <w:p>
      <w:pPr>
        <w:pStyle w:val="962"/>
        <w:pBdr/>
        <w:spacing/>
        <w:ind/>
        <w:rPr/>
      </w:pPr>
      <w:r>
        <w:rPr>
          <w:b/>
          <w:bCs/>
        </w:rPr>
        <w:t xml:space="preserve">What It Means:</w:t>
      </w:r>
      <w:r/>
    </w:p>
    <w:p>
      <w:pPr>
        <w:pStyle w:val="964"/>
        <w:numPr>
          <w:ilvl w:val="0"/>
          <w:numId w:val="211"/>
        </w:numPr>
        <w:pBdr/>
        <w:spacing/>
        <w:ind/>
        <w:rPr/>
      </w:pPr>
      <w:r>
        <w:t xml:space="preserve">Using all permissible means to succeed</w:t>
      </w:r>
      <w:r/>
    </w:p>
    <w:p>
      <w:pPr>
        <w:pStyle w:val="964"/>
        <w:numPr>
          <w:ilvl w:val="0"/>
          <w:numId w:val="211"/>
        </w:numPr>
        <w:pBdr/>
        <w:spacing/>
        <w:ind/>
        <w:rPr/>
      </w:pPr>
      <w:r>
        <w:t xml:space="preserve">Striving for excellence (Ihsan) in all aspects</w:t>
      </w:r>
      <w:r/>
    </w:p>
    <w:p>
      <w:pPr>
        <w:pStyle w:val="964"/>
        <w:numPr>
          <w:ilvl w:val="0"/>
          <w:numId w:val="211"/>
        </w:numPr>
        <w:pBdr/>
        <w:spacing/>
        <w:ind/>
        <w:rPr/>
      </w:pPr>
      <w:r>
        <w:t xml:space="preserve">Planning carefully and executing professionally</w:t>
      </w:r>
      <w:r/>
    </w:p>
    <w:p>
      <w:pPr>
        <w:pStyle w:val="964"/>
        <w:numPr>
          <w:ilvl w:val="0"/>
          <w:numId w:val="211"/>
        </w:numPr>
        <w:pBdr/>
        <w:spacing/>
        <w:ind/>
        <w:rPr/>
      </w:pPr>
      <w:r>
        <w:t xml:space="preserve">Making wise business decisions within ethical bounds</w:t>
      </w:r>
      <w:r/>
    </w:p>
    <w:p>
      <w:pPr>
        <w:pStyle w:val="963"/>
        <w:pBdr/>
        <w:spacing/>
        <w:ind/>
        <w:rPr/>
      </w:pPr>
      <w:r>
        <w:rPr>
          <w:b/>
          <w:bCs/>
        </w:rPr>
        <w:t xml:space="preserve">What It Doesn’t Mean:</w:t>
      </w:r>
      <w:r/>
    </w:p>
    <w:p>
      <w:pPr>
        <w:pStyle w:val="964"/>
        <w:numPr>
          <w:ilvl w:val="0"/>
          <w:numId w:val="212"/>
        </w:numPr>
        <w:pBdr/>
        <w:spacing/>
        <w:ind/>
        <w:rPr/>
      </w:pPr>
      <w:r>
        <w:t xml:space="preserve">Ignoring market realities</w:t>
      </w:r>
      <w:r/>
    </w:p>
    <w:p>
      <w:pPr>
        <w:pStyle w:val="964"/>
        <w:numPr>
          <w:ilvl w:val="0"/>
          <w:numId w:val="212"/>
        </w:numPr>
        <w:pBdr/>
        <w:spacing/>
        <w:ind/>
        <w:rPr/>
      </w:pPr>
      <w:r>
        <w:t xml:space="preserve">Making foolish business decisions</w:t>
      </w:r>
      <w:r/>
    </w:p>
    <w:p>
      <w:pPr>
        <w:pStyle w:val="964"/>
        <w:numPr>
          <w:ilvl w:val="0"/>
          <w:numId w:val="212"/>
        </w:numPr>
        <w:pBdr/>
        <w:spacing/>
        <w:ind/>
        <w:rPr/>
      </w:pPr>
      <w:r>
        <w:t xml:space="preserve">Refusing to compete responsibly</w:t>
      </w:r>
      <w:r/>
    </w:p>
    <w:p>
      <w:pPr>
        <w:pStyle w:val="964"/>
        <w:numPr>
          <w:ilvl w:val="0"/>
          <w:numId w:val="212"/>
        </w:numPr>
        <w:pBdr/>
        <w:spacing/>
        <w:ind/>
        <w:rPr/>
      </w:pPr>
      <w:r>
        <w:t xml:space="preserve">Expecting miracles without effort</w:t>
      </w:r>
      <w:r/>
    </w:p>
    <w:p>
      <w:pPr>
        <w:pStyle w:val="963"/>
        <w:pBdr/>
        <w:spacing/>
        <w:ind/>
        <w:rPr/>
      </w:pPr>
      <w:r>
        <w:rPr>
          <w:b/>
          <w:bCs/>
        </w:rPr>
        <w:t xml:space="preserve">The Full Hadith Context:</w:t>
      </w:r>
      <w:r/>
    </w:p>
    <w:p>
      <w:pPr>
        <w:pStyle w:val="992"/>
        <w:pBdr/>
        <w:spacing/>
        <w:ind/>
        <w:rPr/>
      </w:pPr>
      <w:r>
        <w:t xml:space="preserve">“Tie your camel and trust in Allah.”</w:t>
      </w:r>
      <w:r>
        <w:t xml:space="preserve"> </w:t>
      </w:r>
      <w:r>
        <w:t xml:space="preserve">— </w:t>
      </w:r>
      <w:r>
        <w:rPr>
          <w:b/>
          <w:bCs/>
        </w:rPr>
        <w:t xml:space="preserve">Jami` at-Tirmidhi 2517</w:t>
      </w:r>
      <w:r/>
    </w:p>
    <w:p>
      <w:pPr>
        <w:pStyle w:val="963"/>
        <w:pBdr/>
        <w:spacing/>
        <w:ind/>
        <w:rPr/>
      </w:pPr>
      <w:r>
        <w:t xml:space="preserve">This teaches the complete picture:</w:t>
      </w:r>
      <w:r/>
    </w:p>
    <w:p>
      <w:pPr>
        <w:pStyle w:val="964"/>
        <w:numPr>
          <w:ilvl w:val="0"/>
          <w:numId w:val="213"/>
        </w:numPr>
        <w:pBdr/>
        <w:spacing/>
        <w:ind/>
        <w:rPr/>
      </w:pPr>
      <w:r>
        <w:rPr>
          <w:b/>
          <w:bCs/>
        </w:rPr>
        <w:t xml:space="preserve">Tie your camel:</w:t>
      </w:r>
      <w:r>
        <w:t xml:space="preserve"> Do everything within your power, using wisdom and skill</w:t>
      </w:r>
      <w:r/>
    </w:p>
    <w:p>
      <w:pPr>
        <w:pStyle w:val="964"/>
        <w:numPr>
          <w:ilvl w:val="0"/>
          <w:numId w:val="213"/>
        </w:numPr>
        <w:pBdr/>
        <w:spacing/>
        <w:ind/>
        <w:rPr/>
      </w:pPr>
      <w:r>
        <w:rPr>
          <w:b/>
          <w:bCs/>
        </w:rPr>
        <w:t xml:space="preserve">Trust in Allah:</w:t>
      </w:r>
      <w:r>
        <w:t xml:space="preserve"> After your best effort, accept whatever outcome Allah decrees</w:t>
      </w:r>
      <w:r/>
    </w:p>
    <w:p>
      <w:pPr>
        <w:pStyle w:val="963"/>
        <w:pBdr/>
        <w:spacing/>
        <w:ind/>
        <w:rPr/>
      </w:pPr>
      <w:r>
        <w:rPr>
          <w:b/>
          <w:bCs/>
        </w:rPr>
        <w:t xml:space="preserve">Practical Wisdom:</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Action</w:t>
            </w:r>
            <w:r/>
          </w:p>
        </w:tc>
        <w:tc>
          <w:tcPr>
            <w:tcBorders/>
          </w:tcPr>
          <w:p>
            <w:pPr>
              <w:pStyle w:val="964"/>
              <w:pBdr/>
              <w:spacing/>
              <w:ind/>
              <w:rPr/>
            </w:pPr>
            <w:r>
              <w:t xml:space="preserve">Islamic Approach</w:t>
            </w:r>
            <w:r/>
          </w:p>
        </w:tc>
      </w:tr>
      <w:tr>
        <w:trPr/>
        <w:tc>
          <w:tcPr>
            <w:tcBorders/>
          </w:tcPr>
          <w:p>
            <w:pPr>
              <w:pStyle w:val="964"/>
              <w:pBdr/>
              <w:spacing/>
              <w:ind/>
              <w:rPr/>
            </w:pPr>
            <w:r>
              <w:t xml:space="preserve">Market research</w:t>
            </w:r>
            <w:r/>
          </w:p>
        </w:tc>
        <w:tc>
          <w:tcPr>
            <w:tcBorders/>
          </w:tcPr>
          <w:p>
            <w:pPr>
              <w:pStyle w:val="964"/>
              <w:pBdr/>
              <w:spacing/>
              <w:ind/>
              <w:rPr/>
            </w:pPr>
            <w:r>
              <w:t xml:space="preserve">Do it thoroughly - this is</w:t>
            </w:r>
            <w:r>
              <w:t xml:space="preserve"> </w:t>
            </w:r>
            <w:r>
              <w:t xml:space="preserve">“tying your camel”</w:t>
            </w:r>
            <w:r/>
          </w:p>
        </w:tc>
      </w:tr>
      <w:tr>
        <w:trPr/>
        <w:tc>
          <w:tcPr>
            <w:tcBorders/>
          </w:tcPr>
          <w:p>
            <w:pPr>
              <w:pStyle w:val="964"/>
              <w:pBdr/>
              <w:spacing/>
              <w:ind/>
              <w:rPr/>
            </w:pPr>
            <w:r>
              <w:t xml:space="preserve">Financial planning</w:t>
            </w:r>
            <w:r/>
          </w:p>
        </w:tc>
        <w:tc>
          <w:tcPr>
            <w:tcBorders/>
          </w:tcPr>
          <w:p>
            <w:pPr>
              <w:pStyle w:val="964"/>
              <w:pBdr/>
              <w:spacing/>
              <w:ind/>
              <w:rPr/>
            </w:pPr>
            <w:r>
              <w:t xml:space="preserve">Be prudent and realistic</w:t>
            </w:r>
            <w:r/>
          </w:p>
        </w:tc>
      </w:tr>
      <w:tr>
        <w:trPr/>
        <w:tc>
          <w:tcPr>
            <w:tcBorders/>
          </w:tcPr>
          <w:p>
            <w:pPr>
              <w:pStyle w:val="964"/>
              <w:pBdr/>
              <w:spacing/>
              <w:ind/>
              <w:rPr/>
            </w:pPr>
            <w:r>
              <w:t xml:space="preserve">Competitive analysis</w:t>
            </w:r>
            <w:r/>
          </w:p>
        </w:tc>
        <w:tc>
          <w:tcPr>
            <w:tcBorders/>
          </w:tcPr>
          <w:p>
            <w:pPr>
              <w:pStyle w:val="964"/>
              <w:pBdr/>
              <w:spacing/>
              <w:ind/>
              <w:rPr/>
            </w:pPr>
            <w:r>
              <w:t xml:space="preserve">Understand your market</w:t>
            </w:r>
            <w:r/>
          </w:p>
        </w:tc>
      </w:tr>
      <w:tr>
        <w:trPr/>
        <w:tc>
          <w:tcPr>
            <w:tcBorders/>
          </w:tcPr>
          <w:p>
            <w:pPr>
              <w:pStyle w:val="964"/>
              <w:pBdr/>
              <w:spacing/>
              <w:ind/>
              <w:rPr/>
            </w:pPr>
            <w:r>
              <w:t xml:space="preserve">Quality assurance</w:t>
            </w:r>
            <w:r/>
          </w:p>
        </w:tc>
        <w:tc>
          <w:tcPr>
            <w:tcBorders/>
          </w:tcPr>
          <w:p>
            <w:pPr>
              <w:pStyle w:val="964"/>
              <w:pBdr/>
              <w:spacing/>
              <w:ind/>
              <w:rPr/>
            </w:pPr>
            <w:r>
              <w:t xml:space="preserve">Excel in your craft (Ihsan)</w:t>
            </w:r>
            <w:r/>
          </w:p>
        </w:tc>
      </w:tr>
      <w:tr>
        <w:trPr/>
        <w:tc>
          <w:tcPr>
            <w:tcBorders/>
          </w:tcPr>
          <w:p>
            <w:pPr>
              <w:pStyle w:val="964"/>
              <w:pBdr/>
              <w:spacing/>
              <w:ind/>
              <w:rPr/>
            </w:pPr>
            <w:r>
              <w:t xml:space="preserve">Ethical boundaries</w:t>
            </w:r>
            <w:r/>
          </w:p>
        </w:tc>
        <w:tc>
          <w:tcPr>
            <w:tcBorders/>
          </w:tcPr>
          <w:p>
            <w:pPr>
              <w:pStyle w:val="964"/>
              <w:pBdr/>
              <w:spacing/>
              <w:ind/>
              <w:rPr/>
            </w:pPr>
            <w:r>
              <w:t xml:space="preserve">These are non-negotiable, regardless of business impact</w:t>
            </w:r>
            <w:r/>
          </w:p>
        </w:tc>
      </w:tr>
      <w:tr>
        <w:trPr/>
        <w:tc>
          <w:tcPr>
            <w:tcBorders/>
          </w:tcPr>
          <w:p>
            <w:pPr>
              <w:pStyle w:val="964"/>
              <w:pBdr/>
              <w:spacing/>
              <w:ind/>
              <w:rPr/>
            </w:pPr>
            <w:r>
              <w:t xml:space="preserve">Results</w:t>
            </w:r>
            <w:r/>
          </w:p>
        </w:tc>
        <w:tc>
          <w:tcPr>
            <w:tcBorders/>
          </w:tcPr>
          <w:p>
            <w:pPr>
              <w:pStyle w:val="964"/>
              <w:pBdr/>
              <w:spacing/>
              <w:ind/>
              <w:rPr/>
            </w:pPr>
            <w:r>
              <w:t xml:space="preserve">Accept with gratitude and contentment (Ridha)</w:t>
            </w:r>
            <w:r/>
          </w:p>
        </w:tc>
      </w:tr>
    </w:tbl>
    <w:p>
      <w:pPr>
        <w:pStyle w:val="962"/>
        <w:pBdr/>
        <w:spacing/>
        <w:ind/>
        <w:rPr/>
      </w:pPr>
      <w:r>
        <w:t xml:space="preserve">Reference hadith:</w:t>
      </w:r>
      <w:r>
        <w:br/>
      </w:r>
      <w:r>
        <w:t xml:space="preserve">A strong believed is more beloved to Allah than a weak believer, and in both are good.</w:t>
      </w:r>
      <w:r/>
    </w:p>
    <w:p>
      <w:pPr>
        <w:pStyle w:val="962"/>
        <w:pBdr/>
        <w:spacing/>
        <w:ind/>
        <w:rPr/>
      </w:pPr>
      <w:r>
        <w:t xml:space="preserve">Interpretation: doesn’t only concern physical strength, but also being better In your field and lots more.</w:t>
      </w:r>
      <w:r/>
    </w:p>
    <w:p>
      <w:pPr>
        <w:pBdr/>
        <w:spacing/>
        <w:ind/>
        <w:rPr/>
      </w:pPr>
      <w:r>
        <mc:AlternateContent>
          <mc:Choice Requires="wpg">
            <w:drawing>
              <wp:inline xmlns:wp="http://schemas.openxmlformats.org/drawingml/2006/wordprocessingDrawing" distT="0" distB="0" distL="0" distR="0">
                <wp:extent cx="0" cy="19050"/>
                <wp:effectExtent l="0" t="0" r="0" b="0"/>
                <wp:docPr id="9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6" o:spid="_x0000_s96" o:spt="1" type="#_x0000_t1" style="width:0.00pt;height:1.50pt;mso-wrap-distance-left:0.00pt;mso-wrap-distance-top:0.00pt;mso-wrap-distance-right:0.00pt;mso-wrap-distance-bottom:0.00pt;visibility:visible;" fillcolor="#FFFFFF" strokecolor="#000000"/>
            </w:pict>
          </mc:Fallback>
        </mc:AlternateContent>
      </w:r>
      <w:bookmarkEnd w:id="117"/>
      <w:r/>
    </w:p>
    <w:p>
      <w:pPr>
        <w:pStyle w:val="977"/>
        <w:pBdr/>
        <w:spacing/>
        <w:ind/>
        <w:rPr/>
      </w:pPr>
      <w:r/>
      <w:bookmarkStart w:id="118" w:name="the-ultimate-success-metric"/>
      <w:r>
        <w:t xml:space="preserve">5.3.5 The Ultimate Success Metric</w:t>
      </w:r>
      <w:r/>
    </w:p>
    <w:p>
      <w:pPr>
        <w:pStyle w:val="963"/>
        <w:pBdr/>
        <w:spacing/>
        <w:ind/>
        <w:rPr/>
      </w:pPr>
      <w:r>
        <w:rPr>
          <w:b/>
          <w:bCs/>
        </w:rPr>
        <w:t xml:space="preserve">Worldly vs. Ultimate Success:</w:t>
      </w:r>
      <w:r/>
    </w:p>
    <w:tbl>
      <w:tblPr>
        <w:tblStyle w:val="996"/>
        <w:tblW w:w="0" w:type="auto"/>
        <w:tblBorders/>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Metric</w:t>
            </w:r>
            <w:r/>
          </w:p>
        </w:tc>
        <w:tc>
          <w:tcPr>
            <w:tcBorders/>
          </w:tcPr>
          <w:p>
            <w:pPr>
              <w:pStyle w:val="964"/>
              <w:pBdr/>
              <w:spacing/>
              <w:ind/>
              <w:rPr/>
            </w:pPr>
            <w:r>
              <w:t xml:space="preserve">Worldly View</w:t>
            </w:r>
            <w:r/>
          </w:p>
        </w:tc>
        <w:tc>
          <w:tcPr>
            <w:tcBorders/>
          </w:tcPr>
          <w:p>
            <w:pPr>
              <w:pStyle w:val="964"/>
              <w:pBdr/>
              <w:spacing/>
              <w:ind/>
              <w:rPr/>
            </w:pPr>
            <w:r>
              <w:t xml:space="preserve">Islamic View</w:t>
            </w:r>
            <w:r/>
          </w:p>
        </w:tc>
      </w:tr>
      <w:tr>
        <w:trPr/>
        <w:tc>
          <w:tcPr>
            <w:tcBorders/>
          </w:tcPr>
          <w:p>
            <w:pPr>
              <w:pStyle w:val="964"/>
              <w:pBdr/>
              <w:spacing/>
              <w:ind/>
              <w:rPr/>
            </w:pPr>
            <w:r>
              <w:t xml:space="preserve">Company valuation</w:t>
            </w:r>
            <w:r/>
          </w:p>
        </w:tc>
        <w:tc>
          <w:tcPr>
            <w:tcBorders/>
          </w:tcPr>
          <w:p>
            <w:pPr>
              <w:pStyle w:val="964"/>
              <w:pBdr/>
              <w:spacing/>
              <w:ind/>
              <w:rPr/>
            </w:pPr>
            <w:r>
              <w:t xml:space="preserve">Success</w:t>
            </w:r>
            <w:r/>
          </w:p>
        </w:tc>
        <w:tc>
          <w:tcPr>
            <w:tcBorders/>
          </w:tcPr>
          <w:p>
            <w:pPr>
              <w:pStyle w:val="964"/>
              <w:pBdr/>
              <w:spacing/>
              <w:ind/>
              <w:rPr/>
            </w:pPr>
            <w:r>
              <w:t xml:space="preserve">Neutral (can be good or bad)</w:t>
            </w:r>
            <w:r/>
          </w:p>
        </w:tc>
      </w:tr>
      <w:tr>
        <w:trPr/>
        <w:tc>
          <w:tcPr>
            <w:tcBorders/>
          </w:tcPr>
          <w:p>
            <w:pPr>
              <w:pStyle w:val="964"/>
              <w:pBdr/>
              <w:spacing/>
              <w:ind/>
              <w:rPr/>
            </w:pPr>
            <w:r>
              <w:t xml:space="preserve">User growth</w:t>
            </w:r>
            <w:r/>
          </w:p>
        </w:tc>
        <w:tc>
          <w:tcPr>
            <w:tcBorders/>
          </w:tcPr>
          <w:p>
            <w:pPr>
              <w:pStyle w:val="964"/>
              <w:pBdr/>
              <w:spacing/>
              <w:ind/>
              <w:rPr/>
            </w:pPr>
            <w:r>
              <w:t xml:space="preserve">Success</w:t>
            </w:r>
            <w:r/>
          </w:p>
        </w:tc>
        <w:tc>
          <w:tcPr>
            <w:tcBorders/>
          </w:tcPr>
          <w:p>
            <w:pPr>
              <w:pStyle w:val="964"/>
              <w:pBdr/>
              <w:spacing/>
              <w:ind/>
              <w:rPr/>
            </w:pPr>
            <w:r>
              <w:t xml:space="preserve">Neutral (depends on what users do)</w:t>
            </w:r>
            <w:r/>
          </w:p>
        </w:tc>
      </w:tr>
      <w:tr>
        <w:trPr/>
        <w:tc>
          <w:tcPr>
            <w:tcBorders/>
          </w:tcPr>
          <w:p>
            <w:pPr>
              <w:pStyle w:val="964"/>
              <w:pBdr/>
              <w:spacing/>
              <w:ind/>
              <w:rPr/>
            </w:pPr>
            <w:r>
              <w:t xml:space="preserve">Revenue</w:t>
            </w:r>
            <w:r/>
          </w:p>
        </w:tc>
        <w:tc>
          <w:tcPr>
            <w:tcBorders/>
          </w:tcPr>
          <w:p>
            <w:pPr>
              <w:pStyle w:val="964"/>
              <w:pBdr/>
              <w:spacing/>
              <w:ind/>
              <w:rPr/>
            </w:pPr>
            <w:r>
              <w:t xml:space="preserve">Success</w:t>
            </w:r>
            <w:r/>
          </w:p>
        </w:tc>
        <w:tc>
          <w:tcPr>
            <w:tcBorders/>
          </w:tcPr>
          <w:p>
            <w:pPr>
              <w:pStyle w:val="964"/>
              <w:pBdr/>
              <w:spacing/>
              <w:ind/>
              <w:rPr/>
            </w:pPr>
            <w:r>
              <w:t xml:space="preserve">Neutral (depends on how earned)</w:t>
            </w:r>
            <w:r/>
          </w:p>
        </w:tc>
      </w:tr>
      <w:tr>
        <w:trPr/>
        <w:tc>
          <w:tcPr>
            <w:tcBorders/>
          </w:tcPr>
          <w:p>
            <w:pPr>
              <w:pStyle w:val="964"/>
              <w:pBdr/>
              <w:spacing/>
              <w:ind/>
              <w:rPr/>
            </w:pPr>
            <w:r>
              <w:t xml:space="preserve">Market dominance</w:t>
            </w:r>
            <w:r/>
          </w:p>
        </w:tc>
        <w:tc>
          <w:tcPr>
            <w:tcBorders/>
          </w:tcPr>
          <w:p>
            <w:pPr>
              <w:pStyle w:val="964"/>
              <w:pBdr/>
              <w:spacing/>
              <w:ind/>
              <w:rPr/>
            </w:pPr>
            <w:r>
              <w:t xml:space="preserve">Success</w:t>
            </w:r>
            <w:r/>
          </w:p>
        </w:tc>
        <w:tc>
          <w:tcPr>
            <w:tcBorders/>
          </w:tcPr>
          <w:p>
            <w:pPr>
              <w:pStyle w:val="964"/>
              <w:pBdr/>
              <w:spacing/>
              <w:ind/>
              <w:rPr/>
            </w:pPr>
            <w:r>
              <w:t xml:space="preserve">Potentially dangerous</w:t>
            </w:r>
            <w:r/>
          </w:p>
        </w:tc>
      </w:tr>
      <w:tr>
        <w:trPr/>
        <w:tc>
          <w:tcPr>
            <w:tcBorders/>
          </w:tcPr>
          <w:p>
            <w:pPr>
              <w:pStyle w:val="964"/>
              <w:pBdr/>
              <w:spacing/>
              <w:ind/>
              <w:rPr/>
            </w:pPr>
            <w:r>
              <w:t xml:space="preserve">Pleasing Allah</w:t>
            </w:r>
            <w:r/>
          </w:p>
        </w:tc>
        <w:tc>
          <w:tcPr>
            <w:tcBorders/>
          </w:tcPr>
          <w:p>
            <w:pPr>
              <w:pStyle w:val="964"/>
              <w:pBdr/>
              <w:spacing/>
              <w:ind/>
              <w:rPr/>
            </w:pPr>
            <w:r>
              <w:t xml:space="preserve">Not measured</w:t>
            </w:r>
            <w:r/>
          </w:p>
        </w:tc>
        <w:tc>
          <w:tcPr>
            <w:tcBorders/>
          </w:tcPr>
          <w:p>
            <w:pPr>
              <w:pStyle w:val="964"/>
              <w:pBdr/>
              <w:spacing/>
              <w:ind/>
              <w:rPr/>
            </w:pPr>
            <w:r>
              <w:rPr>
                <w:b/>
                <w:bCs/>
              </w:rPr>
              <w:t xml:space="preserve">The only true success</w:t>
            </w:r>
            <w:r/>
          </w:p>
        </w:tc>
      </w:tr>
      <w:tr>
        <w:trPr/>
        <w:tc>
          <w:tcPr>
            <w:tcBorders/>
          </w:tcPr>
          <w:p>
            <w:pPr>
              <w:pStyle w:val="964"/>
              <w:pBdr/>
              <w:spacing/>
              <w:ind/>
              <w:rPr/>
            </w:pPr>
            <w:r>
              <w:t xml:space="preserve">Maintaining integrity</w:t>
            </w:r>
            <w:r/>
          </w:p>
        </w:tc>
        <w:tc>
          <w:tcPr>
            <w:tcBorders/>
          </w:tcPr>
          <w:p>
            <w:pPr>
              <w:pStyle w:val="964"/>
              <w:pBdr/>
              <w:spacing/>
              <w:ind/>
              <w:rPr/>
            </w:pPr>
            <w:r>
              <w:t xml:space="preserve">Often seen as cost</w:t>
            </w:r>
            <w:r/>
          </w:p>
        </w:tc>
        <w:tc>
          <w:tcPr>
            <w:tcBorders/>
          </w:tcPr>
          <w:p>
            <w:pPr>
              <w:pStyle w:val="964"/>
              <w:pBdr/>
              <w:spacing/>
              <w:ind/>
              <w:rPr/>
            </w:pPr>
            <w:r>
              <w:rPr>
                <w:b/>
                <w:bCs/>
              </w:rPr>
              <w:t xml:space="preserve">Core success metric</w:t>
            </w:r>
            <w:r/>
          </w:p>
        </w:tc>
      </w:tr>
      <w:tr>
        <w:trPr/>
        <w:tc>
          <w:tcPr>
            <w:tcBorders/>
          </w:tcPr>
          <w:p>
            <w:pPr>
              <w:pStyle w:val="964"/>
              <w:pBdr/>
              <w:spacing/>
              <w:ind/>
              <w:rPr/>
            </w:pPr>
            <w:r>
              <w:t xml:space="preserve">Helping others genuinely</w:t>
            </w:r>
            <w:r/>
          </w:p>
        </w:tc>
        <w:tc>
          <w:tcPr>
            <w:tcBorders/>
          </w:tcPr>
          <w:p>
            <w:pPr>
              <w:pStyle w:val="964"/>
              <w:pBdr/>
              <w:spacing/>
              <w:ind/>
              <w:rPr/>
            </w:pPr>
            <w:r>
              <w:t xml:space="preserve">Secondary</w:t>
            </w:r>
            <w:r/>
          </w:p>
        </w:tc>
        <w:tc>
          <w:tcPr>
            <w:tcBorders/>
          </w:tcPr>
          <w:p>
            <w:pPr>
              <w:pStyle w:val="964"/>
              <w:pBdr/>
              <w:spacing/>
              <w:ind/>
              <w:rPr/>
            </w:pPr>
            <w:r>
              <w:rPr>
                <w:b/>
                <w:bCs/>
              </w:rPr>
              <w:t xml:space="preserve">Primary purpose</w:t>
            </w:r>
            <w:r/>
          </w:p>
        </w:tc>
      </w:tr>
    </w:tbl>
    <w:p>
      <w:pPr>
        <w:pStyle w:val="962"/>
        <w:pBdr/>
        <w:spacing/>
        <w:ind/>
        <w:rPr/>
      </w:pPr>
      <w:r>
        <w:rPr>
          <w:b/>
          <w:bCs/>
        </w:rPr>
        <w:t xml:space="preserve">The Quranic Promise:</w:t>
      </w:r>
      <w:r/>
    </w:p>
    <w:p>
      <w:pPr>
        <w:pStyle w:val="992"/>
        <w:pBdr/>
        <w:spacing/>
        <w:ind/>
        <w:rPr/>
      </w:pPr>
      <w:r>
        <w:t xml:space="preserve">“Whoever does righteousness, whether male or female, while being a believer - those will enter Paradise and will not be wronged, [even as much as] the speck on a date seed.”</w:t>
      </w:r>
      <w:r>
        <w:t xml:space="preserve"> </w:t>
      </w:r>
      <w:r>
        <w:t xml:space="preserve">— </w:t>
      </w:r>
      <w:r>
        <w:rPr>
          <w:b/>
          <w:bCs/>
        </w:rPr>
        <w:t xml:space="preserve">Quran 4:124</w:t>
      </w:r>
      <w:r/>
    </w:p>
    <w:p>
      <w:pPr>
        <w:pStyle w:val="963"/>
        <w:pBdr/>
        <w:spacing/>
        <w:ind/>
        <w:rPr/>
      </w:pPr>
      <w:r>
        <w:t xml:space="preserve">This guarantees:</w:t>
      </w:r>
      <w:r/>
    </w:p>
    <w:p>
      <w:pPr>
        <w:pStyle w:val="964"/>
        <w:numPr>
          <w:ilvl w:val="0"/>
          <w:numId w:val="214"/>
        </w:numPr>
        <w:pBdr/>
        <w:spacing/>
        <w:ind/>
        <w:rPr/>
      </w:pPr>
      <w:r>
        <w:t xml:space="preserve">Righteous action is never wasted</w:t>
      </w:r>
      <w:r/>
    </w:p>
    <w:p>
      <w:pPr>
        <w:pStyle w:val="964"/>
        <w:numPr>
          <w:ilvl w:val="0"/>
          <w:numId w:val="214"/>
        </w:numPr>
        <w:pBdr/>
        <w:spacing/>
        <w:ind/>
        <w:rPr/>
      </w:pPr>
      <w:r>
        <w:t xml:space="preserve">True compensation comes from Allah</w:t>
      </w:r>
      <w:r/>
    </w:p>
    <w:p>
      <w:pPr>
        <w:pStyle w:val="964"/>
        <w:numPr>
          <w:ilvl w:val="0"/>
          <w:numId w:val="214"/>
        </w:numPr>
        <w:pBdr/>
        <w:spacing/>
        <w:ind/>
        <w:rPr/>
      </w:pPr>
      <w:r>
        <w:t xml:space="preserve">Worldly outcomes don’t determine ultimate success</w:t>
      </w:r>
      <w:r/>
    </w:p>
    <w:p>
      <w:pPr>
        <w:pStyle w:val="964"/>
        <w:numPr>
          <w:ilvl w:val="0"/>
          <w:numId w:val="214"/>
        </w:numPr>
        <w:pBdr/>
        <w:spacing/>
        <w:ind/>
        <w:rPr/>
      </w:pPr>
      <w:r>
        <w:t xml:space="preserve">Even the smallest good deed counts</w:t>
      </w:r>
      <w:r/>
    </w:p>
    <w:p>
      <w:pPr>
        <w:pStyle w:val="963"/>
        <w:pBdr/>
        <w:spacing/>
        <w:ind/>
        <w:rPr/>
      </w:pPr>
      <w:r>
        <w:rPr>
          <w:b/>
          <w:bCs/>
        </w:rPr>
        <w:t xml:space="preserve">Final Principle:</w:t>
      </w:r>
      <w:r/>
    </w:p>
    <w:p>
      <w:pPr>
        <w:pStyle w:val="962"/>
        <w:pBdr/>
        <w:spacing/>
        <w:ind/>
        <w:rPr/>
      </w:pPr>
      <w:r>
        <w:t xml:space="preserve">The I-VSD framework is built on this foundation:</w:t>
      </w:r>
      <w:r/>
    </w:p>
    <w:p>
      <w:pPr>
        <w:pStyle w:val="992"/>
        <w:pBdr/>
        <w:spacing/>
        <w:ind/>
        <w:rPr/>
      </w:pPr>
      <w:r>
        <w:rPr>
          <w:b/>
          <w:bCs/>
        </w:rPr>
        <w:t xml:space="preserve">We build software that pleases Allah, serves users ethically, and trusts Allah with the outcome. If we succeed financially, we are grateful. If we fail financially but maintained our principles, we have still succeeded in what matters most.</w:t>
      </w:r>
      <w:r/>
    </w:p>
    <w:p>
      <w:pPr>
        <w:pStyle w:val="963"/>
        <w:pBdr/>
        <w:spacing/>
        <w:ind/>
        <w:rPr/>
      </w:pPr>
      <w:r>
        <w:t xml:space="preserve">This is not naive idealism - it is the rational position for one who believes in Allah’s promise and the reality of the Hereafter.</w:t>
      </w:r>
      <w:r/>
    </w:p>
    <w:p>
      <w:pPr>
        <w:pBdr/>
        <w:spacing/>
        <w:ind/>
        <w:rPr/>
      </w:pPr>
      <w:r>
        <mc:AlternateContent>
          <mc:Choice Requires="wpg">
            <w:drawing>
              <wp:inline xmlns:wp="http://schemas.openxmlformats.org/drawingml/2006/wordprocessingDrawing" distT="0" distB="0" distL="0" distR="0">
                <wp:extent cx="0" cy="19050"/>
                <wp:effectExtent l="0" t="0" r="0" b="0"/>
                <wp:docPr id="9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7" o:spid="_x0000_s97" o:spt="1" type="#_x0000_t1" style="width:0.00pt;height:1.50pt;mso-wrap-distance-left:0.00pt;mso-wrap-distance-top:0.00pt;mso-wrap-distance-right:0.00pt;mso-wrap-distance-bottom:0.00pt;visibility:visible;" fillcolor="#FFFFFF" strokecolor="#000000"/>
            </w:pict>
          </mc:Fallback>
        </mc:AlternateContent>
      </w:r>
      <w:bookmarkEnd w:id="118"/>
      <w:r/>
    </w:p>
    <w:p>
      <w:pPr>
        <w:pStyle w:val="977"/>
        <w:pBdr/>
        <w:spacing/>
        <w:ind/>
        <w:rPr/>
      </w:pPr>
      <w:r/>
      <w:bookmarkStart w:id="119" w:name="barakah-and-non-financial-evaluation"/>
      <w:r>
        <w:t xml:space="preserve">5.3.6 Barakah and Non-Financial Evaluation</w:t>
      </w:r>
      <w:r/>
    </w:p>
    <w:p>
      <w:pPr>
        <w:pStyle w:val="963"/>
        <w:pBdr/>
        <w:spacing/>
        <w:ind/>
        <w:rPr/>
      </w:pPr>
      <w:r>
        <w:t xml:space="preserve">Barakah is a theological concept of blessing, not a metric that this thesis can measure. It remains relevant because I-</w:t>
      </w:r>
      <w:r>
        <w:t xml:space="preserve">VSD does not treat revenue, growth, engagement, or market share as the only signs of success. Islamic software ethics also asks whether a provider acts with trustworthiness, avoids harm, preserves rights, keeps promises, and serves users without deception.</w:t>
      </w:r>
      <w:r/>
    </w:p>
    <w:p>
      <w:pPr>
        <w:pStyle w:val="962"/>
        <w:pBdr/>
        <w:spacing/>
        <w:ind/>
        <w:rPr/>
      </w:pPr>
      <w:r>
        <w:t xml:space="preserve">This thesis should therefore use Barakah analytically rather than devotionally. The point is not to </w:t>
      </w:r>
      <w:r>
        <w:t xml:space="preserve">claim that an ethical software provider will necessarily achieve visible worldly benefit, avoid hardship, or receive measurable reward. The point is that Islamic evaluation includes duties and forms of value that conventional software metrics often ignore.</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Islamic evaluation concern</w:t>
            </w:r>
            <w:r/>
          </w:p>
        </w:tc>
        <w:tc>
          <w:tcPr>
            <w:tcBorders/>
          </w:tcPr>
          <w:p>
            <w:pPr>
              <w:pStyle w:val="964"/>
              <w:pBdr/>
              <w:spacing/>
              <w:ind/>
              <w:rPr/>
            </w:pPr>
            <w:r>
              <w:t xml:space="preserve">Software-design implication</w:t>
            </w:r>
            <w:r/>
          </w:p>
        </w:tc>
        <w:tc>
          <w:tcPr>
            <w:tcBorders/>
          </w:tcPr>
          <w:p>
            <w:pPr>
              <w:pStyle w:val="964"/>
              <w:pBdr/>
              <w:spacing/>
              <w:ind/>
              <w:rPr/>
            </w:pPr>
            <w:r>
              <w:t xml:space="preserve">Evidence boundary</w:t>
            </w:r>
            <w:r/>
          </w:p>
        </w:tc>
      </w:tr>
      <w:tr>
        <w:trPr/>
        <w:tc>
          <w:tcPr>
            <w:tcBorders/>
          </w:tcPr>
          <w:p>
            <w:pPr>
              <w:pStyle w:val="964"/>
              <w:pBdr/>
              <w:spacing/>
              <w:ind/>
              <w:rPr/>
            </w:pPr>
            <w:r>
              <w:t xml:space="preserve">Halal and accountable provision</w:t>
            </w:r>
            <w:r/>
          </w:p>
        </w:tc>
        <w:tc>
          <w:tcPr>
            <w:tcBorders/>
          </w:tcPr>
          <w:p>
            <w:pPr>
              <w:pStyle w:val="964"/>
              <w:pBdr/>
              <w:spacing/>
              <w:ind/>
              <w:rPr/>
            </w:pPr>
            <w:r>
              <w:t xml:space="preserve">Avoid revenue models built on deception, coercion, exploitative uncertainty, or unlawful gain.</w:t>
            </w:r>
            <w:r/>
          </w:p>
        </w:tc>
        <w:tc>
          <w:tcPr>
            <w:tcBorders/>
          </w:tcPr>
          <w:p>
            <w:pPr>
              <w:pStyle w:val="964"/>
              <w:pBdr/>
              <w:spacing/>
              <w:ind/>
              <w:rPr/>
            </w:pPr>
            <w:r>
              <w:t xml:space="preserve">Requires financial, legal, and scholarly review where relevant.</w:t>
            </w:r>
            <w:r/>
          </w:p>
        </w:tc>
      </w:tr>
      <w:tr>
        <w:trPr/>
        <w:tc>
          <w:tcPr>
            <w:tcBorders/>
          </w:tcPr>
          <w:p>
            <w:pPr>
              <w:pStyle w:val="964"/>
              <w:pBdr/>
              <w:spacing/>
              <w:ind/>
              <w:rPr/>
            </w:pPr>
            <w:r>
              <w:t xml:space="preserve">Amanah and Wafa</w:t>
            </w:r>
            <w:r/>
          </w:p>
        </w:tc>
        <w:tc>
          <w:tcPr>
            <w:tcBorders/>
          </w:tcPr>
          <w:p>
            <w:pPr>
              <w:pStyle w:val="964"/>
              <w:pBdr/>
              <w:spacing/>
              <w:ind/>
              <w:rPr/>
            </w:pPr>
            <w:r>
              <w:t xml:space="preserve">Treat user data, payments, source material, promises, and community trust as responsibilities.</w:t>
            </w:r>
            <w:r/>
          </w:p>
        </w:tc>
        <w:tc>
          <w:tcPr>
            <w:tcBorders/>
          </w:tcPr>
          <w:p>
            <w:pPr>
              <w:pStyle w:val="964"/>
              <w:pBdr/>
              <w:spacing/>
              <w:ind/>
              <w:rPr/>
            </w:pPr>
            <w:r>
              <w:t xml:space="preserve">Requires design review, policy review, audits, and incident history.</w:t>
            </w:r>
            <w:r/>
          </w:p>
        </w:tc>
      </w:tr>
      <w:tr>
        <w:trPr/>
        <w:tc>
          <w:tcPr>
            <w:tcBorders/>
          </w:tcPr>
          <w:p>
            <w:pPr>
              <w:pStyle w:val="964"/>
              <w:pBdr/>
              <w:spacing/>
              <w:ind/>
              <w:rPr/>
            </w:pPr>
            <w:r>
              <w:t xml:space="preserve">La Darar and Adl</w:t>
            </w:r>
            <w:r/>
          </w:p>
        </w:tc>
        <w:tc>
          <w:tcPr>
            <w:tcBorders/>
          </w:tcPr>
          <w:p>
            <w:pPr>
              <w:pStyle w:val="964"/>
              <w:pBdr/>
              <w:spacing/>
              <w:ind/>
              <w:rPr/>
            </w:pPr>
            <w:r>
              <w:t xml:space="preserve">Evaluate whether defaults, recommender systems, pricing, moderation, and access rules shift harm onto users.</w:t>
            </w:r>
            <w:r/>
          </w:p>
        </w:tc>
        <w:tc>
          <w:tcPr>
            <w:tcBorders/>
          </w:tcPr>
          <w:p>
            <w:pPr>
              <w:pStyle w:val="964"/>
              <w:pBdr/>
              <w:spacing/>
              <w:ind/>
              <w:rPr/>
            </w:pPr>
            <w:r>
              <w:t xml:space="preserve">Requires stakeholder evidence and post-deployment review.</w:t>
            </w:r>
            <w:r/>
          </w:p>
        </w:tc>
      </w:tr>
      <w:tr>
        <w:trPr/>
        <w:tc>
          <w:tcPr>
            <w:tcBorders/>
          </w:tcPr>
          <w:p>
            <w:pPr>
              <w:pStyle w:val="964"/>
              <w:pBdr/>
              <w:spacing/>
              <w:ind/>
              <w:rPr/>
            </w:pPr>
            <w:r>
              <w:t xml:space="preserve">Ihsan</w:t>
            </w:r>
            <w:r/>
          </w:p>
        </w:tc>
        <w:tc>
          <w:tcPr>
            <w:tcBorders/>
          </w:tcPr>
          <w:p>
            <w:pPr>
              <w:pStyle w:val="964"/>
              <w:pBdr/>
              <w:spacing/>
              <w:ind/>
              <w:rPr/>
            </w:pPr>
            <w:r>
              <w:t xml:space="preserve">Pursue excellence in clarity, accessibility, maintainability, and support even when minimum compliance would be easier.</w:t>
            </w:r>
            <w:r/>
          </w:p>
        </w:tc>
        <w:tc>
          <w:tcPr>
            <w:tcBorders/>
          </w:tcPr>
          <w:p>
            <w:pPr>
              <w:pStyle w:val="964"/>
              <w:pBdr/>
              <w:spacing/>
              <w:ind/>
              <w:rPr/>
            </w:pPr>
            <w:r>
              <w:t xml:space="preserve">Requires quality review and user feedback.</w:t>
            </w:r>
            <w:r/>
          </w:p>
        </w:tc>
      </w:tr>
      <w:tr>
        <w:trPr/>
        <w:tc>
          <w:tcPr>
            <w:tcBorders/>
          </w:tcPr>
          <w:p>
            <w:pPr>
              <w:pStyle w:val="964"/>
              <w:pBdr/>
              <w:spacing/>
              <w:ind/>
              <w:rPr/>
            </w:pPr>
            <w:r>
              <w:t xml:space="preserve">Non-financial success</w:t>
            </w:r>
            <w:r/>
          </w:p>
        </w:tc>
        <w:tc>
          <w:tcPr>
            <w:tcBorders/>
          </w:tcPr>
          <w:p>
            <w:pPr>
              <w:pStyle w:val="964"/>
              <w:pBdr/>
              <w:spacing/>
              <w:ind/>
              <w:rPr/>
            </w:pPr>
            <w:r>
              <w:t xml:space="preserve">Include integrity, service, harm prevention, source fidelity, stewardship, and reversibility in evaluation.</w:t>
            </w:r>
            <w:r/>
          </w:p>
        </w:tc>
        <w:tc>
          <w:tcPr>
            <w:tcBorders/>
          </w:tcPr>
          <w:p>
            <w:pPr>
              <w:pStyle w:val="964"/>
              <w:pBdr/>
              <w:spacing/>
              <w:ind/>
              <w:rPr/>
            </w:pPr>
            <w:r>
              <w:t xml:space="preserve">These are framework criteria, not empirical outcome claims by themselves.</w:t>
            </w:r>
            <w:r/>
          </w:p>
        </w:tc>
      </w:tr>
    </w:tbl>
    <w:p>
      <w:pPr>
        <w:pStyle w:val="962"/>
        <w:pBdr/>
        <w:spacing/>
        <w:ind/>
        <w:rPr/>
      </w:pPr>
      <w:r>
        <w:t xml:space="preserve">A concise way to express the section’s role is: I-VSD expands the definition of success. It allows financial viability to matter, but it refuses to let financial viability erase moral accountability.</w:t>
      </w:r>
      <w:r/>
    </w:p>
    <w:p>
      <w:pPr>
        <w:pBdr/>
        <w:spacing/>
        <w:ind/>
        <w:rPr/>
      </w:pPr>
      <w:r>
        <mc:AlternateContent>
          <mc:Choice Requires="wpg">
            <w:drawing>
              <wp:inline xmlns:wp="http://schemas.openxmlformats.org/drawingml/2006/wordprocessingDrawing" distT="0" distB="0" distL="0" distR="0">
                <wp:extent cx="0" cy="19050"/>
                <wp:effectExtent l="0" t="0" r="0" b="0"/>
                <wp:docPr id="9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8" o:spid="_x0000_s98" o:spt="1" type="#_x0000_t1" style="width:0.00pt;height:1.50pt;mso-wrap-distance-left:0.00pt;mso-wrap-distance-top:0.00pt;mso-wrap-distance-right:0.00pt;mso-wrap-distance-bottom:0.00pt;visibility:visible;" fillcolor="#FFFFFF" strokecolor="#000000"/>
            </w:pict>
          </mc:Fallback>
        </mc:AlternateContent>
      </w:r>
      <w:bookmarkEnd w:id="119"/>
      <w:bookmarkEnd w:id="120"/>
      <w:r/>
    </w:p>
    <w:p>
      <w:pPr>
        <w:pStyle w:val="976"/>
        <w:pBdr/>
        <w:spacing/>
        <w:ind/>
        <w:rPr/>
      </w:pPr>
      <w:r/>
      <w:bookmarkStart w:id="144" w:name="Xafb075b67f3bfff0444bd190f815c4f6f516c5b"/>
      <w:r>
        <w:t xml:space="preserve">5.4 Additional Considerations and Practical Constraints</w:t>
      </w:r>
      <w:r/>
    </w:p>
    <w:p>
      <w:pPr>
        <w:pStyle w:val="963"/>
        <w:pBdr/>
        <w:spacing/>
        <w:ind/>
        <w:rPr/>
      </w:pPr>
      <w:r>
        <w:t xml:space="preserve">Beyond the challenges discussed in previous sections, several additional considerations affect the practical application of the I-VSD framework in software service development.</w:t>
      </w:r>
      <w:r/>
    </w:p>
    <w:p>
      <w:pPr>
        <w:pBdr/>
        <w:spacing/>
        <w:ind/>
        <w:rPr/>
      </w:pPr>
      <w:r>
        <mc:AlternateContent>
          <mc:Choice Requires="wpg">
            <w:drawing>
              <wp:inline xmlns:wp="http://schemas.openxmlformats.org/drawingml/2006/wordprocessingDrawing" distT="0" distB="0" distL="0" distR="0">
                <wp:extent cx="0" cy="19050"/>
                <wp:effectExtent l="0" t="0" r="0" b="0"/>
                <wp:docPr id="10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9" o:spid="_x0000_s99"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21" w:name="resource-and-market-constraints"/>
      <w:r>
        <w:t xml:space="preserve">5.4.1 Resource and Market Constraints</w:t>
      </w:r>
      <w:r/>
    </w:p>
    <w:p>
      <w:pPr>
        <w:pStyle w:val="963"/>
        <w:pBdr/>
        <w:spacing/>
        <w:ind/>
        <w:rPr/>
      </w:pPr>
      <w:r>
        <w:t xml:space="preserve">The non-profit approach advocated by I-VSD faces inherent resource limitations. Organizations operating without venture capital funding will have less capital than VC-funded competitors, resulting</w:t>
      </w:r>
      <w:r>
        <w:t xml:space="preserve"> in slower growth and more limited initial features. However, this apparent limitation may actually represent an intentional trade-off for ethical integrity—slower, sustainable growth aligned with values rather than explosive growth driven by exploitation.</w:t>
      </w:r>
      <w:r/>
    </w:p>
    <w:p>
      <w:pPr>
        <w:pStyle w:val="962"/>
        <w:pBdr/>
        <w:spacing/>
        <w:ind/>
        <w:rPr/>
      </w:pPr>
      <w:r>
        <w:t xml:space="preserve">The framewor</w:t>
      </w:r>
      <w:r>
        <w:t xml:space="preserve">k was developed primarily within a European legal context, where regulations like GDPR provide strong user protection foundations. Application in regions with different legal requirements may require adaptation, representing an area for future development.</w:t>
      </w:r>
      <w:r/>
    </w:p>
    <w:p>
      <w:pPr>
        <w:pStyle w:val="962"/>
        <w:pBdr/>
        <w:spacing/>
        <w:ind/>
        <w:rPr/>
      </w:pPr>
      <w:r>
        <w:rPr>
          <w:b/>
          <w:bCs/>
        </w:rPr>
        <w:t xml:space="preserve">Automation, Labor, and Sustainable Capacity</w:t>
      </w:r>
      <w:r/>
    </w:p>
    <w:p>
      <w:pPr>
        <w:pStyle w:val="962"/>
        <w:pBdr/>
        <w:spacing/>
        <w:ind/>
        <w:rPr/>
      </w:pPr>
      <w:r>
        <w:t xml:space="preserve">A further constraint is the economic pressure created by automation. Software organizations may adopt AI systems to reduce labor costs, but the long-term pipeline of expertise still depends on people learning through junior, intermediate, an</w:t>
      </w:r>
      <w:r>
        <w:t xml:space="preserve">d senior roles. If entry-level work is automated without preserving paths for apprenticeship and review, the industry risks weakening the very senior expertise required to evaluate AI-generated code, security decisions, architecture, and ethical tradeoffs.</w:t>
      </w:r>
      <w:r/>
    </w:p>
    <w:p>
      <w:pPr>
        <w:pStyle w:val="962"/>
        <w:pBdr/>
        <w:spacing/>
        <w:ind/>
        <w:rPr/>
      </w:pPr>
      <w:r>
        <w:t xml:space="preserve">This thesis should not make sweeping claims that capitalism inevitably collapses or that all automation is harmful. The narrower I-VSD concern is that short-term cos</w:t>
      </w:r>
      <w:r>
        <w:t xml:space="preserve">t optimization can undermine sustainable human capacity. Ethical software organizations should therefore consider how automation affects training, review responsibility, labor dignity, and the long-term health of the communities and markets they depend on.</w:t>
      </w:r>
      <w:r/>
    </w:p>
    <w:p>
      <w:pPr>
        <w:pBdr/>
        <w:spacing/>
        <w:ind/>
        <w:rPr/>
      </w:pPr>
      <w:r>
        <mc:AlternateContent>
          <mc:Choice Requires="wpg">
            <w:drawing>
              <wp:inline xmlns:wp="http://schemas.openxmlformats.org/drawingml/2006/wordprocessingDrawing" distT="0" distB="0" distL="0" distR="0">
                <wp:extent cx="0" cy="19050"/>
                <wp:effectExtent l="0" t="0" r="0" b="0"/>
                <wp:docPr id="10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0" o:spid="_x0000_s100" o:spt="1" type="#_x0000_t1" style="width:0.00pt;height:1.50pt;mso-wrap-distance-left:0.00pt;mso-wrap-distance-top:0.00pt;mso-wrap-distance-right:0.00pt;mso-wrap-distance-bottom:0.00pt;visibility:visible;" fillcolor="#FFFFFF" strokecolor="#000000"/>
            </w:pict>
          </mc:Fallback>
        </mc:AlternateContent>
      </w:r>
      <w:bookmarkEnd w:id="121"/>
      <w:r/>
    </w:p>
    <w:p>
      <w:pPr>
        <w:pStyle w:val="977"/>
        <w:pBdr/>
        <w:spacing/>
        <w:ind/>
        <w:rPr/>
      </w:pPr>
      <w:r/>
      <w:bookmarkStart w:id="122" w:name="framework-formalization"/>
      <w:r>
        <w:t xml:space="preserve">5.4.2 Framework Formalization</w:t>
      </w:r>
      <w:r/>
    </w:p>
    <w:p>
      <w:pPr>
        <w:pStyle w:val="963"/>
        <w:pBdr/>
        <w:spacing/>
        <w:ind/>
        <w:rPr/>
      </w:pPr>
      <w:r>
        <w:t xml:space="preserve">The I-VSD framework currently expresses its guidance through heuristics and principles rather than formal specifications. While </w:t>
      </w:r>
      <w:r>
        <w:t xml:space="preserve">this approach provides flexibility, future work could develop mathematical or logical formalization enabling automated compliance checking. Such tooling would make the framework more accessible to development teams without deep expertise in Islamic ethics.</w:t>
      </w:r>
      <w:r/>
    </w:p>
    <w:p>
      <w:pPr>
        <w:pStyle w:val="962"/>
        <w:pBdr/>
        <w:spacing/>
        <w:ind/>
        <w:rPr/>
      </w:pPr>
      <w:r>
        <w:t xml:space="preserve">W</w:t>
      </w:r>
      <w:r>
        <w:t xml:space="preserve">hen Islamic principles appear to conflict in specific situations, the current approach relies on case-by-case analysis and scholarly consultation. A more formalized decision framework for principle conflicts would enhance the framework’s practical utility.</w:t>
      </w:r>
      <w:r/>
    </w:p>
    <w:p>
      <w:pPr>
        <w:pBdr/>
        <w:spacing/>
        <w:ind/>
        <w:rPr/>
      </w:pPr>
      <w:r>
        <mc:AlternateContent>
          <mc:Choice Requires="wpg">
            <w:drawing>
              <wp:inline xmlns:wp="http://schemas.openxmlformats.org/drawingml/2006/wordprocessingDrawing" distT="0" distB="0" distL="0" distR="0">
                <wp:extent cx="0" cy="19050"/>
                <wp:effectExtent l="0" t="0" r="0" b="0"/>
                <wp:docPr id="10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1" o:spid="_x0000_s101" o:spt="1" type="#_x0000_t1" style="width:0.00pt;height:1.50pt;mso-wrap-distance-left:0.00pt;mso-wrap-distance-top:0.00pt;mso-wrap-distance-right:0.00pt;mso-wrap-distance-bottom:0.00pt;visibility:visible;" fillcolor="#FFFFFF" strokecolor="#000000"/>
            </w:pict>
          </mc:Fallback>
        </mc:AlternateContent>
      </w:r>
      <w:bookmarkEnd w:id="122"/>
      <w:r/>
    </w:p>
    <w:p>
      <w:pPr>
        <w:pStyle w:val="977"/>
        <w:pBdr/>
        <w:spacing/>
        <w:ind/>
        <w:rPr/>
      </w:pPr>
      <w:r/>
      <w:bookmarkStart w:id="123" w:name="implementation-requirements"/>
      <w:r>
        <w:t xml:space="preserve">5.4.3 Implementation Requirements</w:t>
      </w:r>
      <w:r/>
    </w:p>
    <w:p>
      <w:pPr>
        <w:pStyle w:val="963"/>
        <w:pBdr/>
        <w:spacing/>
        <w:ind/>
        <w:rPr/>
      </w:pPr>
      <w:r>
        <w:t xml:space="preserve">I-VSD implementation requires a combination of competencies not always found in single individuals: understanding of Islamic princip</w:t>
      </w:r>
      <w:r>
        <w:t xml:space="preserve">les, software development expertise, and business acumen. Interdisciplinary teams that combine these competencies provide a strong implementation approach. Educational resources designed specifically for I-VSD implementation can help bridge knowledge gaps.</w:t>
      </w:r>
      <w:r/>
    </w:p>
    <w:p>
      <w:pPr>
        <w:pBdr/>
        <w:spacing/>
        <w:ind/>
        <w:rPr/>
      </w:pPr>
      <w:r>
        <mc:AlternateContent>
          <mc:Choice Requires="wpg">
            <w:drawing>
              <wp:inline xmlns:wp="http://schemas.openxmlformats.org/drawingml/2006/wordprocessingDrawing" distT="0" distB="0" distL="0" distR="0">
                <wp:extent cx="0" cy="19050"/>
                <wp:effectExtent l="0" t="0" r="0" b="0"/>
                <wp:docPr id="10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2" o:spid="_x0000_s102" o:spt="1" type="#_x0000_t1" style="width:0.00pt;height:1.50pt;mso-wrap-distance-left:0.00pt;mso-wrap-distance-top:0.00pt;mso-wrap-distance-right:0.00pt;mso-wrap-distance-bottom:0.00pt;visibility:visible;" fillcolor="#FFFFFF" strokecolor="#000000"/>
            </w:pict>
          </mc:Fallback>
        </mc:AlternateContent>
      </w:r>
      <w:bookmarkEnd w:id="123"/>
      <w:r/>
    </w:p>
    <w:p>
      <w:pPr>
        <w:pStyle w:val="977"/>
        <w:pBdr/>
        <w:spacing/>
        <w:ind/>
        <w:rPr/>
      </w:pPr>
      <w:r/>
      <w:bookmarkStart w:id="124" w:name="market-education-challenge"/>
      <w:r>
        <w:t xml:space="preserve">5.4.4 Market Education Challenge</w:t>
      </w:r>
      <w:r/>
    </w:p>
    <w:p>
      <w:pPr>
        <w:pStyle w:val="963"/>
        <w:pBdr/>
        <w:spacing/>
        <w:ind/>
        <w:rPr/>
      </w:pPr>
      <w:r>
        <w:t xml:space="preserve">Users accustomed to</w:t>
      </w:r>
      <w:r>
        <w:t xml:space="preserve"> </w:t>
      </w:r>
      <w:r>
        <w:t xml:space="preserve">“free”</w:t>
      </w:r>
      <w:r>
        <w:t xml:space="preserve"> </w:t>
      </w:r>
      <w:r>
        <w:t xml:space="preserve">software (where the user is actually the product) m</w:t>
      </w:r>
      <w:r>
        <w:t xml:space="preserve">ay not immediately understand or value ethically-designed alternatives. Building awareness of why ethical software matters, and why it may require sustainable pricing, represents ongoing work essential to the viability of I-VSD-compliant software services.</w:t>
      </w:r>
      <w:r/>
    </w:p>
    <w:p>
      <w:pPr>
        <w:pBdr/>
        <w:spacing/>
        <w:ind/>
        <w:rPr/>
      </w:pPr>
      <w:r>
        <mc:AlternateContent>
          <mc:Choice Requires="wpg">
            <w:drawing>
              <wp:inline xmlns:wp="http://schemas.openxmlformats.org/drawingml/2006/wordprocessingDrawing" distT="0" distB="0" distL="0" distR="0">
                <wp:extent cx="0" cy="19050"/>
                <wp:effectExtent l="0" t="0" r="0" b="0"/>
                <wp:docPr id="10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3" o:spid="_x0000_s103" o:spt="1" type="#_x0000_t1" style="width:0.00pt;height:1.50pt;mso-wrap-distance-left:0.00pt;mso-wrap-distance-top:0.00pt;mso-wrap-distance-right:0.00pt;mso-wrap-distance-bottom:0.00pt;visibility:visible;" fillcolor="#FFFFFF" strokecolor="#000000"/>
            </w:pict>
          </mc:Fallback>
        </mc:AlternateContent>
      </w:r>
      <w:bookmarkEnd w:id="124"/>
      <w:r/>
    </w:p>
    <w:p>
      <w:pPr>
        <w:pStyle w:val="977"/>
        <w:pBdr/>
        <w:spacing/>
        <w:ind/>
        <w:rPr/>
      </w:pPr>
      <w:r/>
      <w:bookmarkStart w:id="125" w:name="X5151a449e0cfe8cfe022d9d0bef31a97f8ccb9d"/>
      <w:r>
        <w:t xml:space="preserve">5.4.5 Performance Metrics and Provider Evaluation</w:t>
      </w:r>
      <w:r/>
    </w:p>
    <w:p>
      <w:pPr>
        <w:pStyle w:val="963"/>
        <w:pBdr/>
        <w:spacing/>
        <w:ind/>
        <w:rPr/>
      </w:pPr>
      <w:r>
        <w:t xml:space="preserve">I-VSD should not be reduced to conventional growth, </w:t>
      </w:r>
      <w:r>
        <w:t xml:space="preserve">engagement, conversion, or revenue benchmarks. Those measures may still be relevant to sustainability, but they are incomplete when the provider is accountable for user rights, data stewardship, honesty, accessibility, moderation, and long-term dependence.</w:t>
      </w:r>
      <w:r/>
    </w:p>
    <w:p>
      <w:pPr>
        <w:pStyle w:val="962"/>
        <w:pBdr/>
        <w:spacing/>
        <w:ind/>
        <w:rPr/>
      </w:pPr>
      <w:r>
        <w:t xml:space="preserve">A provider applying I-VSD should therefore track design and governance indicators such as:</w:t>
      </w:r>
      <w:r/>
    </w:p>
    <w:p>
      <w:pPr>
        <w:pStyle w:val="964"/>
        <w:numPr>
          <w:ilvl w:val="0"/>
          <w:numId w:val="215"/>
        </w:numPr>
        <w:pBdr/>
        <w:spacing/>
        <w:ind/>
        <w:rPr/>
      </w:pPr>
      <w:r>
        <w:t xml:space="preserve">Whether major features passed privacy, security, accessibility, and anti-deception review.</w:t>
      </w:r>
      <w:r/>
    </w:p>
    <w:p>
      <w:pPr>
        <w:pStyle w:val="964"/>
        <w:numPr>
          <w:ilvl w:val="0"/>
          <w:numId w:val="215"/>
        </w:numPr>
        <w:pBdr/>
        <w:spacing/>
        <w:ind/>
        <w:rPr/>
      </w:pPr>
      <w:r>
        <w:t xml:space="preserve">Whether pricing, renewals, data use, recommender logic, and moderation policies are understandable to affected users.</w:t>
      </w:r>
      <w:r/>
    </w:p>
    <w:p>
      <w:pPr>
        <w:pStyle w:val="964"/>
        <w:numPr>
          <w:ilvl w:val="0"/>
          <w:numId w:val="215"/>
        </w:numPr>
        <w:pBdr/>
        <w:spacing/>
        <w:ind/>
        <w:rPr/>
      </w:pPr>
      <w:r>
        <w:t xml:space="preserve">Whether users have meaningful exit, appeal, data portability, and support paths.</w:t>
      </w:r>
      <w:r/>
    </w:p>
    <w:p>
      <w:pPr>
        <w:pStyle w:val="964"/>
        <w:numPr>
          <w:ilvl w:val="0"/>
          <w:numId w:val="215"/>
        </w:numPr>
        <w:pBdr/>
        <w:spacing/>
        <w:ind/>
        <w:rPr/>
      </w:pPr>
      <w:r>
        <w:t xml:space="preserve">Whether incidents, complaints, false positives, security issues, and policy exceptions are documented and reviewed.</w:t>
      </w:r>
      <w:r/>
    </w:p>
    <w:p>
      <w:pPr>
        <w:pStyle w:val="964"/>
        <w:numPr>
          <w:ilvl w:val="0"/>
          <w:numId w:val="215"/>
        </w:numPr>
        <w:pBdr/>
        <w:spacing/>
        <w:ind/>
        <w:rPr/>
      </w:pPr>
      <w:r>
        <w:t xml:space="preserve">Whether optional analytics, personalization, or AI features have explicit purpose, boundaries, and evaluation criteria.</w:t>
      </w:r>
      <w:r/>
    </w:p>
    <w:p>
      <w:pPr>
        <w:pStyle w:val="963"/>
        <w:pBdr/>
        <w:spacing/>
        <w:ind/>
        <w:rPr/>
      </w:pPr>
      <w:r>
        <w:t xml:space="preserve">These indicators do not establish that the provider is ethical or that users trust it. They help make ethical review inspectable, and they create the evidence base future evaluators would need.</w:t>
      </w:r>
      <w:r/>
    </w:p>
    <w:p>
      <w:pPr>
        <w:pBdr/>
        <w:spacing/>
        <w:ind/>
        <w:rPr/>
      </w:pPr>
      <w:r>
        <mc:AlternateContent>
          <mc:Choice Requires="wpg">
            <w:drawing>
              <wp:inline xmlns:wp="http://schemas.openxmlformats.org/drawingml/2006/wordprocessingDrawing" distT="0" distB="0" distL="0" distR="0">
                <wp:extent cx="0" cy="19050"/>
                <wp:effectExtent l="0" t="0" r="0" b="0"/>
                <wp:docPr id="10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4" o:spid="_x0000_s104" o:spt="1" type="#_x0000_t1" style="width:0.00pt;height:1.50pt;mso-wrap-distance-left:0.00pt;mso-wrap-distance-top:0.00pt;mso-wrap-distance-right:0.00pt;mso-wrap-distance-bottom:0.00pt;visibility:visible;" fillcolor="#FFFFFF" strokecolor="#000000"/>
            </w:pict>
          </mc:Fallback>
        </mc:AlternateContent>
      </w:r>
      <w:bookmarkEnd w:id="125"/>
      <w:r/>
    </w:p>
    <w:p>
      <w:pPr>
        <w:pStyle w:val="977"/>
        <w:pBdr/>
        <w:spacing/>
        <w:ind/>
        <w:rPr/>
      </w:pPr>
      <w:r/>
      <w:bookmarkStart w:id="126" w:name="technical-implementation-costs"/>
      <w:r>
        <w:t xml:space="preserve">5.4.6 Technical Implementation Costs</w:t>
      </w:r>
      <w:r/>
    </w:p>
    <w:p>
      <w:pPr>
        <w:pStyle w:val="963"/>
        <w:pBdr/>
        <w:spacing/>
        <w:ind/>
        <w:rPr/>
      </w:pPr>
      <w:r>
        <w:t xml:space="preserve">Implementing full ethical compliance requires significant technical investment. Accessibility features supporting users with disabilities, older devices, and diverse needs require develo</w:t>
      </w:r>
      <w:r>
        <w:t xml:space="preserve">pment resources that budget-constrained organizations may struggle to allocate. Security certifications and audits represent substantial ongoing costs. Multi-language support to serve the global Muslim community demands translation and localization effort.</w:t>
      </w:r>
      <w:r/>
    </w:p>
    <w:p>
      <w:pPr>
        <w:pStyle w:val="962"/>
        <w:pBdr/>
        <w:spacing/>
        <w:ind/>
        <w:rPr/>
      </w:pPr>
      <w:r>
        <w:t xml:space="preserve">These costs are real constraints that I-VSD-compliant organizations must address through prioritization and phased implementation. However, viewing these requirements as optional</w:t>
      </w:r>
      <w:r>
        <w:t xml:space="preserve"> </w:t>
      </w:r>
      <w:r>
        <w:t xml:space="preserve">“nice-to-haves”</w:t>
      </w:r>
      <w:r>
        <w:t xml:space="preserve"> </w:t>
      </w:r>
      <w:r>
        <w:t xml:space="preserve">would undermine the framework’s integrity. Accessibility, security, and internationalization represent obligations under I-VSD principles, not merely competitive advantages.</w:t>
      </w:r>
      <w:r/>
    </w:p>
    <w:p>
      <w:pPr>
        <w:pBdr/>
        <w:spacing/>
        <w:ind/>
        <w:rPr/>
      </w:pPr>
      <w:r>
        <mc:AlternateContent>
          <mc:Choice Requires="wpg">
            <w:drawing>
              <wp:inline xmlns:wp="http://schemas.openxmlformats.org/drawingml/2006/wordprocessingDrawing" distT="0" distB="0" distL="0" distR="0">
                <wp:extent cx="0" cy="19050"/>
                <wp:effectExtent l="0" t="0" r="0" b="0"/>
                <wp:docPr id="10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5" o:spid="_x0000_s105" o:spt="1" type="#_x0000_t1" style="width:0.00pt;height:1.50pt;mso-wrap-distance-left:0.00pt;mso-wrap-distance-top:0.00pt;mso-wrap-distance-right:0.00pt;mso-wrap-distance-bottom:0.00pt;visibility:visible;" fillcolor="#FFFFFF" strokecolor="#000000"/>
            </w:pict>
          </mc:Fallback>
        </mc:AlternateContent>
      </w:r>
      <w:bookmarkEnd w:id="126"/>
      <w:r/>
    </w:p>
    <w:p>
      <w:pPr>
        <w:pStyle w:val="977"/>
        <w:pBdr/>
        <w:spacing/>
        <w:ind/>
        <w:rPr/>
      </w:pPr>
      <w:r/>
      <w:bookmarkStart w:id="127" w:name="short-term-vs.-long-term-thinking"/>
      <w:r>
        <w:t xml:space="preserve">5.4.7 Short-Term vs. Long-Term Thinking</w:t>
      </w:r>
      <w:r/>
    </w:p>
    <w:p>
      <w:pPr>
        <w:pStyle w:val="963"/>
        <w:pBdr/>
        <w:spacing/>
        <w:ind/>
        <w:rPr/>
      </w:pPr>
      <w:r>
        <w:t xml:space="preserve">A fundamental question facing any I-VSD implementation concerns time ho</w:t>
      </w:r>
      <w:r>
        <w:t xml:space="preserve">rizon. Ethical approaches often sacrifice short-term gains for long-term sustainability. Organizations must decide whether they will pursue immediate returns through whatever means available, or accept delayed results in exchange for principled operations.</w:t>
      </w:r>
      <w:r/>
    </w:p>
    <w:p>
      <w:pPr>
        <w:pStyle w:val="962"/>
        <w:pBdr/>
        <w:spacing/>
        <w:ind/>
        <w:rPr/>
      </w:pPr>
      <w:r>
        <w:t xml:space="preserve">The I-VSD framework explicitly advocates for long-term thinking aligned with Islamic principles of patience and trust in Allah’s provision. </w:t>
      </w:r>
      <w:r>
        <w:t xml:space="preserve">Short-term sacrifices for ethical integrity represent investments in sustainable success. However, organizations must have sufficient runway to survive the period before long-term benefits materialize, making initial funding and resource planning critical.</w:t>
      </w:r>
      <w:r/>
    </w:p>
    <w:p>
      <w:pPr>
        <w:pBdr/>
        <w:spacing/>
        <w:ind/>
        <w:rPr/>
      </w:pPr>
      <w:r>
        <mc:AlternateContent>
          <mc:Choice Requires="wpg">
            <w:drawing>
              <wp:inline xmlns:wp="http://schemas.openxmlformats.org/drawingml/2006/wordprocessingDrawing" distT="0" distB="0" distL="0" distR="0">
                <wp:extent cx="0" cy="19050"/>
                <wp:effectExtent l="0" t="0" r="0" b="0"/>
                <wp:docPr id="10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6" o:spid="_x0000_s106" o:spt="1" type="#_x0000_t1" style="width:0.00pt;height:1.50pt;mso-wrap-distance-left:0.00pt;mso-wrap-distance-top:0.00pt;mso-wrap-distance-right:0.00pt;mso-wrap-distance-bottom:0.00pt;visibility:visible;" fillcolor="#FFFFFF" strokecolor="#000000"/>
            </w:pict>
          </mc:Fallback>
        </mc:AlternateContent>
      </w:r>
      <w:bookmarkEnd w:id="127"/>
      <w:r/>
    </w:p>
    <w:p>
      <w:pPr>
        <w:pStyle w:val="977"/>
        <w:pBdr/>
        <w:spacing/>
        <w:ind/>
        <w:rPr/>
      </w:pPr>
      <w:r/>
      <w:bookmarkStart w:id="128" w:name="X3770c1b923e95af332b6d6385be1540e196e423"/>
      <w:r>
        <w:t xml:space="preserve">5.4.8 International and Accessibility Considerations</w:t>
      </w:r>
      <w:r/>
    </w:p>
    <w:p>
      <w:pPr>
        <w:pStyle w:val="963"/>
        <w:pBdr/>
        <w:spacing/>
        <w:ind/>
        <w:rPr/>
      </w:pPr>
      <w:r>
        <w:t xml:space="preserve">Software services implementing I-VSD should consider the global nature of the Muslim community. Pricing should account for purchasing power differences across countrie</w:t>
      </w:r>
      <w:r>
        <w:t xml:space="preserve">s, making services accessible to Muslims regardless of economic circumstances. Student discounts, non-profit rates, and open-source contributor recognition align with Islamic principles of supporting those seeking knowledge and those serving the community.</w:t>
      </w:r>
      <w:r/>
    </w:p>
    <w:p>
      <w:pPr>
        <w:pStyle w:val="962"/>
        <w:pBdr/>
        <w:spacing/>
        <w:ind/>
        <w:rPr/>
      </w:pPr>
      <w:r>
        <w:t xml:space="preserve">Accessibility extends beyond disability accommodations to include support for older devices and operating systems that remain common in developing regions. Text-to-speech functionality, keyboard navigat</w:t>
      </w:r>
      <w:r>
        <w:t xml:space="preserve">ion, and image descriptions serve users with visual impairments while also benefiting users with limited literacy. Avoiding vendor lock-in through support for multiple platforms ensures users are not forced to purchase specific hardware to access services.</w:t>
      </w:r>
      <w:r/>
    </w:p>
    <w:p>
      <w:pPr>
        <w:pStyle w:val="962"/>
        <w:pBdr/>
        <w:spacing/>
        <w:ind/>
        <w:rPr/>
      </w:pPr>
      <w:r>
        <w:t xml:space="preserve">Translation support for major languages serves the diverse Muslim community, though resources often constrain the breadth of language support possible. Prioritization should consider both user population and underserved communities.</w:t>
      </w:r>
      <w:r/>
    </w:p>
    <w:p>
      <w:pPr>
        <w:pStyle w:val="962"/>
        <w:pBdr/>
        <w:spacing/>
        <w:ind/>
        <w:rPr/>
      </w:pPr>
      <w:r>
        <w:t xml:space="preserve">Accessibility also has an economic and cultural dimension. Profit-driven prioritization often underestimates accessibility because the direct return on investment appears smaller than f</w:t>
      </w:r>
      <w:r>
        <w:t xml:space="preserve">eatures for the majority. I-VSD challenges that calculation. If software exists to serve a community, then excluding users because their needs are numerically smaller is not a neutral prioritization choice; it is a moral tradeoff that must be acknowledged.</w:t>
      </w:r>
      <w:r/>
    </w:p>
    <w:p>
      <w:pPr>
        <w:pStyle w:val="962"/>
        <w:pBdr/>
        <w:spacing/>
        <w:ind/>
        <w:rPr/>
      </w:pPr>
      <w:r>
        <w:t xml:space="preserve">Universal design reduces this te</w:t>
      </w:r>
      <w:r>
        <w:t xml:space="preserve">nsion because many accessibility practices benefit wider groups than the original target: captions help users in noisy spaces, semantic markup improves navigation, clear contrast helps outdoor mobile use, and keyboard support helps both disabled and expert</w:t>
      </w:r>
      <w:r>
        <w:t xml:space="preserve"> users. Internationalization should be treated similarly. Cultural intelligence, language support, device constraints, and accessibility are not separate “edge cases”; they are how software respects the actual diversity of the community it claims to serve.</w:t>
      </w:r>
      <w:r/>
    </w:p>
    <w:p>
      <w:pPr>
        <w:pStyle w:val="962"/>
        <w:pBdr/>
        <w:spacing/>
        <w:ind/>
        <w:rPr/>
      </w:pPr>
      <w:r>
        <w:t xml:space="preserve">Accessibility is not an optional enhancement; it is part of whether a product meaningfully serves the people it claims to serve. Laws</w:t>
      </w:r>
      <w:r>
        <w:t xml:space="preserve"> and standards provide a legal floor rather than ethical ceiling: I-VSD asks whether users with disabilities, older devices, limited bandwidth, cognitive load, or different cultural expectations can actually participate without being treated as edge cases.</w:t>
      </w:r>
      <w:r/>
    </w:p>
    <w:p>
      <w:pPr>
        <w:pBdr/>
        <w:spacing/>
        <w:ind/>
        <w:rPr/>
      </w:pPr>
      <w:r>
        <mc:AlternateContent>
          <mc:Choice Requires="wpg">
            <w:drawing>
              <wp:inline xmlns:wp="http://schemas.openxmlformats.org/drawingml/2006/wordprocessingDrawing" distT="0" distB="0" distL="0" distR="0">
                <wp:extent cx="0" cy="19050"/>
                <wp:effectExtent l="0" t="0" r="0" b="0"/>
                <wp:docPr id="10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7" o:spid="_x0000_s107" o:spt="1" type="#_x0000_t1" style="width:0.00pt;height:1.50pt;mso-wrap-distance-left:0.00pt;mso-wrap-distance-top:0.00pt;mso-wrap-distance-right:0.00pt;mso-wrap-distance-bottom:0.00pt;visibility:visible;" fillcolor="#FFFFFF" strokecolor="#000000"/>
            </w:pict>
          </mc:Fallback>
        </mc:AlternateContent>
      </w:r>
      <w:bookmarkEnd w:id="128"/>
      <w:r/>
    </w:p>
    <w:p>
      <w:pPr>
        <w:pStyle w:val="977"/>
        <w:pBdr/>
        <w:spacing/>
        <w:ind/>
        <w:rPr/>
      </w:pPr>
      <w:r/>
      <w:bookmarkStart w:id="129" w:name="Xd432f22378139f06a65a82b8fa72aa3ca3b90c3"/>
      <w:r>
        <w:t xml:space="preserve">5.4.9 Accountability for Invisible Design Choices</w:t>
      </w:r>
      <w:r/>
    </w:p>
    <w:p>
      <w:pPr>
        <w:pStyle w:val="963"/>
        <w:pBdr/>
        <w:spacing/>
        <w:ind/>
        <w:rPr/>
      </w:pPr>
      <w:r>
        <w:t xml:space="preserve">Man</w:t>
      </w:r>
      <w:r>
        <w:t xml:space="preserve">y ethically important software choices are difficult to observe from the outside. A provider may avoid a dark pattern, reject unnecessary tracking, patch a vulnerability early, or maintain accessibility support without creating a visible product milestone.</w:t>
      </w:r>
      <w:r/>
    </w:p>
    <w:p>
      <w:pPr>
        <w:pStyle w:val="962"/>
        <w:pBdr/>
        <w:spacing/>
        <w:ind/>
        <w:rPr/>
      </w:pPr>
      <w:r>
        <w:t xml:space="preserve">I-VSD treats these invisible choices as part of provider accountability. The framework asks whether decisions preserve Amanah, avoid harm, respect user rights, and remain reviewable even when the avoided harm does not appear in ordinary product metrics.</w:t>
      </w:r>
      <w:r/>
    </w:p>
    <w:p>
      <w:pPr>
        <w:pStyle w:val="962"/>
        <w:pBdr/>
        <w:spacing/>
        <w:ind/>
        <w:rPr/>
      </w:pPr>
      <w:r>
        <w:t xml:space="preserve">From an Islamic perspective, unseen choices are still morally significant. In thesis terms, this supports the need for governance and evaluation practices that record why a provider rejected harmful options, not only which visible features it shipped.</w:t>
      </w:r>
      <w:r/>
    </w:p>
    <w:p>
      <w:pPr>
        <w:pStyle w:val="962"/>
        <w:pBdr/>
        <w:spacing/>
        <w:ind/>
        <w:rPr/>
      </w:pPr>
      <w:r>
        <w:t xml:space="preserve">This section should therefore be read as a narrow argument about evaluation gaps in software ethics. It does not claim that invisible ethical action can be fully measured, nor that the thesis can assess sincerity or spiritual reward.</w:t>
      </w:r>
      <w:r/>
    </w:p>
    <w:p>
      <w:pPr>
        <w:pBdr/>
        <w:spacing/>
        <w:ind/>
        <w:rPr/>
      </w:pPr>
      <w:r>
        <mc:AlternateContent>
          <mc:Choice Requires="wpg">
            <w:drawing>
              <wp:inline xmlns:wp="http://schemas.openxmlformats.org/drawingml/2006/wordprocessingDrawing" distT="0" distB="0" distL="0" distR="0">
                <wp:extent cx="0" cy="19050"/>
                <wp:effectExtent l="0" t="0" r="0" b="0"/>
                <wp:docPr id="10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8" o:spid="_x0000_s108" o:spt="1" type="#_x0000_t1" style="width:0.00pt;height:1.50pt;mso-wrap-distance-left:0.00pt;mso-wrap-distance-top:0.00pt;mso-wrap-distance-right:0.00pt;mso-wrap-distance-bottom:0.00pt;visibility:visible;" fillcolor="#FFFFFF" strokecolor="#000000"/>
            </w:pict>
          </mc:Fallback>
        </mc:AlternateContent>
      </w:r>
      <w:bookmarkEnd w:id="129"/>
      <w:r/>
    </w:p>
    <w:p>
      <w:pPr>
        <w:pStyle w:val="977"/>
        <w:pBdr/>
        <w:spacing/>
        <w:ind/>
        <w:rPr/>
      </w:pPr>
      <w:r/>
      <w:bookmarkStart w:id="130" w:name="Xf74be882a985c2fcf612ab2cc0fe478a0a29aaf"/>
      <w:r>
        <w:t xml:space="preserve">5.4.10 Supply Chain Ethics and Dependency Compliance</w:t>
      </w:r>
      <w:r/>
    </w:p>
    <w:p>
      <w:pPr>
        <w:pStyle w:val="963"/>
        <w:pBdr/>
        <w:spacing/>
        <w:ind/>
        <w:rPr/>
      </w:pPr>
      <w:r>
        <w:t xml:space="preserve">I-VSD compliance extends beyond an organization’s direct practices to encompass </w:t>
      </w:r>
      <w:r>
        <w:t xml:space="preserve">its entire dependency chain. A software service may implement every I-VSD principle internally while still participating in ethical violations through its dependencies—infrastructure providers, third-party libraries, payment processors, and cloud services.</w:t>
      </w:r>
      <w:r/>
    </w:p>
    <w:p>
      <w:pPr>
        <w:pStyle w:val="962"/>
        <w:pBdr/>
        <w:spacing/>
        <w:ind/>
        <w:rPr/>
      </w:pPr>
      <w:r>
        <w:t xml:space="preserve">This creates both limitations and advantages. On the limitation side, I-VSD-compliant organizations may find that industry-standard, low-cost solutions are ethically problematic. Hosting on major cloud provi</w:t>
      </w:r>
      <w:r>
        <w:t xml:space="preserve">ders whose parent companies engage in controversial practices, using libraries with exploitative licensing, or depending on services that monetize user data—all these common industry choices may compromise I-VSD compliance regardless of internal practices.</w:t>
      </w:r>
      <w:r/>
    </w:p>
    <w:p>
      <w:pPr>
        <w:pStyle w:val="962"/>
        <w:pBdr/>
        <w:spacing/>
        <w:ind/>
        <w:rPr/>
      </w:pPr>
      <w:r>
        <w:t xml:space="preserve">The European cloud sovereignty debate illustrates this tension. As geopolitical concerns grow, European practitioners increasingly question dependence on American technology giants. The question</w:t>
      </w:r>
      <w:r>
        <w:t xml:space="preserve"> </w:t>
      </w:r>
      <w:r>
        <w:t xml:space="preserve">“Should we be less dependent on American tech giants?”</w:t>
      </w:r>
      <w:r>
        <w:t xml:space="preserve"> </w:t>
      </w:r>
      <w:r>
        <w:t xml:space="preserve">reflects broader concerns about data sovereignty, legal jurisdiction, and value alignment that I-VSD organizations must also consider.</w:t>
      </w:r>
      <w:r/>
    </w:p>
    <w:p>
      <w:pPr>
        <w:pStyle w:val="962"/>
        <w:pBdr/>
        <w:spacing/>
        <w:ind/>
        <w:rPr/>
      </w:pPr>
      <w:r>
        <w:t xml:space="preserve">However, this constraint produces significant advantages. I-VSD-compliant supply chains provide protection against the instabilities that affect ethically compromised services: unpredictable pricing changes, license modification</w:t>
      </w:r>
      <w:r>
        <w:t xml:space="preserve">s, broken promises, and reputational damage by association. Organizations that prioritize ethical compliance over cost minimization contribute to the viability of ethical alternatives, creating market pressure that can eventually reform industry practices.</w:t>
      </w:r>
      <w:r/>
    </w:p>
    <w:p>
      <w:pPr>
        <w:pStyle w:val="962"/>
        <w:pBdr/>
        <w:spacing/>
        <w:ind/>
        <w:rPr/>
      </w:pPr>
      <w:r>
        <w:t xml:space="preserve">The consumer dimension deserves acknowledgment. Unethical software services exist because consumers tolerate or actively choose them. When o</w:t>
      </w:r>
      <w:r>
        <w:t xml:space="preserve">rganizations and consumers collectively prioritize ethical compliance, market dynamics shift. This represents I-VSD’s broader contribution: not merely guiding individual organizations but participating in systemic change toward ethical software ecosystems.</w:t>
      </w:r>
      <w:r/>
    </w:p>
    <w:p>
      <w:pPr>
        <w:pStyle w:val="962"/>
        <w:pBdr/>
        <w:spacing/>
        <w:ind/>
        <w:rPr/>
      </w:pPr>
      <w:r>
        <w:rPr>
          <w:b/>
          <w:bCs/>
        </w:rPr>
        <w:t xml:space="preserve">Legal Compatibility Versus Moral Reciprocity</w:t>
      </w:r>
      <w:r/>
    </w:p>
    <w:p>
      <w:pPr>
        <w:pStyle w:val="962"/>
        <w:pBdr/>
        <w:spacing/>
        <w:ind/>
        <w:rPr/>
      </w:pPr>
      <w:r>
        <w:t xml:space="preserve">Dependency compliance also requires distinguishing what is legally po</w:t>
      </w:r>
      <w:r>
        <w:t xml:space="preserve">ssible from what is morally reciprocal. A company may use clean-room implementation, protocol reimplementation, permissive-license boundaries, or AI-assisted rewriting to avoid directly copying protected code. Some of these methods are legitimate and neces</w:t>
      </w:r>
      <w:r>
        <w:t xml:space="preserve">sary for interoperability. However, I-VSD asks a further question: is the organization using legal technique to respect user freedom and compatibility, or to capture the benefit of open-source labor while escaping the duties that made that labor available?</w:t>
      </w:r>
      <w:r/>
    </w:p>
    <w:p>
      <w:pPr>
        <w:pStyle w:val="962"/>
        <w:pBdr/>
        <w:spacing/>
        <w:ind/>
        <w:rPr/>
      </w:pPr>
      <w:r>
        <w:t xml:space="preserve">This distinction is especially important in license disputes and</w:t>
      </w:r>
      <w:r>
        <w:t xml:space="preserve"> alleged compliance failures. Public reports such as the Rockchip/FFmpeg DMCA dispute should be handled cautiously because the thesis is not a court. The safe lesson is broader: dependency choices carry obligations of attribution, license compliance, timel</w:t>
      </w:r>
      <w:r>
        <w:t xml:space="preserve">y response to maintainers, and respect for the moral intent of reciprocal software communities. If an organization treats open-source licenses as obstacles to route around rather than commitments to honor, it weakens the trust infrastructure it depends on.</w:t>
      </w:r>
      <w:r/>
    </w:p>
    <w:p>
      <w:pPr>
        <w:pStyle w:val="962"/>
        <w:pBdr/>
        <w:spacing/>
        <w:ind/>
        <w:rPr/>
      </w:pPr>
      <w:r>
        <w:rPr>
          <w:b/>
          <w:bCs/>
        </w:rPr>
        <w:t xml:space="preserve">License Compliance and Reciprocity</w:t>
      </w:r>
      <w:r/>
    </w:p>
    <w:p>
      <w:pPr>
        <w:pStyle w:val="962"/>
        <w:pBdr/>
        <w:spacing/>
        <w:ind/>
        <w:rPr/>
      </w:pPr>
      <w:r>
        <w:t xml:space="preserve">Supply-chain ethics also includes respecting the licenses, authorship, and reciprocal expectations of upstream projects. A software organ</w:t>
      </w:r>
      <w:r>
        <w:t xml:space="preserve">ization can violate Amanah even when it finds a legally clever route around another project’s intentions. Clean-room reimplementation, specification copying, AI-assisted reconstruction, or compatibility engineering may be legally permitted in some contexts</w:t>
      </w:r>
      <w:r>
        <w:t xml:space="preserve">, and this thesis should not treat them as inherently unlawful. The moral question is narrower: whether the organization is using legal form to capture open-source benefits while avoiding reasonable duties of attribution, reciprocity, or community respect.</w:t>
      </w:r>
      <w:r/>
    </w:p>
    <w:p>
      <w:pPr>
        <w:pStyle w:val="962"/>
        <w:pBdr/>
        <w:spacing/>
        <w:ind/>
        <w:rPr/>
      </w:pPr>
      <w:r>
        <w:t xml:space="preserve">Public license disputes illustrate why caution is necessary. Alleged GPL, LGPL, AGPL, trademark, or a</w:t>
      </w:r>
      <w:r>
        <w:t xml:space="preserve">ttribution conflicts can damage trust even before courts or maintainers settle every legal detail. I-VSD therefore recommends conservative language and conservative practice: verify license obligations, keep notices and attribution intact, document provena</w:t>
      </w:r>
      <w:r>
        <w:t xml:space="preserve">nce, avoid relicensing code without authority, and treat upstream maintainers as stakeholders rather than obstacles. If an organization benefits from a commons, it should not search only for loopholes that let it extract value while weakening that commons.</w:t>
      </w:r>
      <w:r/>
    </w:p>
    <w:p>
      <w:pPr>
        <w:pStyle w:val="962"/>
        <w:pBdr/>
        <w:spacing/>
        <w:ind/>
        <w:rPr/>
      </w:pPr>
      <w:r>
        <w:t xml:space="preserve">This principle matters for AI-assisted development as well. AI systems can make it easier to reproduce behavior</w:t>
      </w:r>
      <w:r>
        <w:t xml:space="preserve">, structure, or code-like solutions without noticing provenance. Ethical teams should therefore combine legal review, dependency scanning, human review, and transparent documentation when using AI-generated code near licensed or specification-derived work.</w:t>
      </w:r>
      <w:r/>
    </w:p>
    <w:p>
      <w:pPr>
        <w:pStyle w:val="962"/>
        <w:pBdr/>
        <w:spacing/>
        <w:ind/>
        <w:rPr/>
      </w:pPr>
      <w:r>
        <w:rPr>
          <w:b/>
          <w:bCs/>
        </w:rPr>
        <w:t xml:space="preserve">Service Deaths and Exit Resilience</w:t>
      </w:r>
      <w:r/>
    </w:p>
    <w:p>
      <w:pPr>
        <w:pStyle w:val="962"/>
        <w:pBdr/>
        <w:spacing/>
        <w:ind/>
        <w:rPr/>
      </w:pPr>
      <w:r>
        <w:t xml:space="preserve">The history of d</w:t>
      </w:r>
      <w:r>
        <w:t xml:space="preserve">iscontinued websites and online services shows that digital products can disappear even when users have built workflows, communities, or memories around them. I-VSD should therefore treat service continuity, exportability, self-hosting, and graceful shutdo</w:t>
      </w:r>
      <w:r>
        <w:t xml:space="preserve">wn plans as ethical design concerns rather than optional operational details. A provider that cannot promise indefinite survival can still act responsibly by documenting exit paths, preserving user data portability, and avoiding avoidable dependency traps.</w:t>
      </w:r>
      <w:r/>
    </w:p>
    <w:p>
      <w:pPr>
        <w:pStyle w:val="962"/>
        <w:pBdr/>
        <w:spacing/>
        <w:ind/>
        <w:rPr/>
      </w:pPr>
      <w:r>
        <w:t xml:space="preserve">This matters especially for nonprofit and community infrastructure. If a service becomes part of religious, educational, or organizational life, its closure can create more than inconvenience; it can disrupt trust, records, and collective memory.</w:t>
      </w:r>
      <w:r/>
    </w:p>
    <w:p>
      <w:pPr>
        <w:pBdr/>
        <w:spacing/>
        <w:ind/>
        <w:rPr/>
      </w:pPr>
      <w:r>
        <mc:AlternateContent>
          <mc:Choice Requires="wpg">
            <w:drawing>
              <wp:inline xmlns:wp="http://schemas.openxmlformats.org/drawingml/2006/wordprocessingDrawing" distT="0" distB="0" distL="0" distR="0">
                <wp:extent cx="0" cy="19050"/>
                <wp:effectExtent l="0" t="0" r="0" b="0"/>
                <wp:docPr id="11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9" o:spid="_x0000_s109" o:spt="1" type="#_x0000_t1" style="width:0.00pt;height:1.50pt;mso-wrap-distance-left:0.00pt;mso-wrap-distance-top:0.00pt;mso-wrap-distance-right:0.00pt;mso-wrap-distance-bottom:0.00pt;visibility:visible;" fillcolor="#FFFFFF" strokecolor="#000000"/>
            </w:pict>
          </mc:Fallback>
        </mc:AlternateContent>
      </w:r>
      <w:bookmarkEnd w:id="130"/>
      <w:r/>
    </w:p>
    <w:p>
      <w:pPr>
        <w:pStyle w:val="977"/>
        <w:pBdr/>
        <w:spacing/>
        <w:ind/>
        <w:rPr/>
      </w:pPr>
      <w:r/>
      <w:bookmarkStart w:id="131" w:name="consumer-awareness-and-collective-action"/>
      <w:r>
        <w:t xml:space="preserve">5.4.11 Consumer Awareness and Collective Action</w:t>
      </w:r>
      <w:r/>
    </w:p>
    <w:p>
      <w:pPr>
        <w:pStyle w:val="963"/>
        <w:pBdr/>
        <w:spacing/>
        <w:ind/>
        <w:rPr/>
      </w:pPr>
      <w:r>
        <w:t xml:space="preserve">Recent developments show growing consumer awareness of unethical technology practices. The</w:t>
      </w:r>
      <w:r>
        <w:t xml:space="preserve"> </w:t>
      </w:r>
      <w:r>
        <w:t xml:space="preserve">“Clippy Movement”</w:t>
      </w:r>
      <w:r>
        <w:t xml:space="preserve"> </w:t>
      </w:r>
      <w:r>
        <w:t xml:space="preserve">of 2025, initiated by consumer rights activist Louis Rossmann, encouraged users to adopt the Microsoft Clippy mascot as a profile picture to </w:t>
      </w:r>
      <w:r>
        <w:t xml:space="preserve">protest data exploitation, enshittification, and loss of software ownership. The choice of Clippy was symbolic—unlike contemporary AI systems, Clippy did not mine user data, sell information to advertisers, or require subscriptions for basic functionality.</w:t>
      </w:r>
      <w:r/>
    </w:p>
    <w:p>
      <w:pPr>
        <w:pStyle w:val="962"/>
        <w:pBdr/>
        <w:spacing/>
        <w:ind/>
        <w:rPr/>
      </w:pPr>
      <w:r>
        <w:t xml:space="preserve">The movement’s slogan,</w:t>
      </w:r>
      <w:r>
        <w:t xml:space="preserve"> </w:t>
      </w:r>
      <w:r>
        <w:t xml:space="preserve">“Clippy just wanted to help,”</w:t>
      </w:r>
      <w:r>
        <w:t xml:space="preserve"> </w:t>
      </w:r>
      <w:r>
        <w:t xml:space="preserve">encapsulates the contrast between user-serving and user-exploiting design philosophies. While critics dismissed the action as</w:t>
      </w:r>
      <w:r>
        <w:t xml:space="preserve"> </w:t>
      </w:r>
      <w:r>
        <w:t xml:space="preserve">“slacktivism,”</w:t>
      </w:r>
      <w:r>
        <w:t xml:space="preserve"> </w:t>
      </w:r>
      <w:r>
        <w:t xml:space="preserve">it successfully raised awareness and coordinated political action around issues like DMCA Section 1201 reform. The movement’s visibility suggested that significant portions of the user base are dissatisfied with current industry practices.</w:t>
      </w:r>
      <w:r/>
    </w:p>
    <w:p>
      <w:pPr>
        <w:pStyle w:val="962"/>
        <w:pBdr/>
        <w:spacing/>
        <w:ind/>
        <w:rPr/>
      </w:pPr>
      <w:r>
        <w:t xml:space="preserve">This growing awareness creates opportunities for I-VSD-compliant services. Organizations that can credibly show ethical</w:t>
      </w:r>
      <w:r>
        <w:t xml:space="preserve"> practices may capture users actively seeking alternatives to exploitative platforms. The I-VSD framework provides both the operational guidance to build genuinely ethical services and the principled foundation to communicate that commitment authentically.</w:t>
      </w:r>
      <w:r/>
    </w:p>
    <w:p>
      <w:pPr>
        <w:pStyle w:val="962"/>
        <w:pBdr/>
        <w:spacing/>
        <w:ind/>
        <w:rPr/>
      </w:pPr>
      <w:r>
        <w:rPr>
          <w:b/>
          <w:bCs/>
        </w:rPr>
        <w:t xml:space="preserve">Accountability as Collective Market Feedback</w:t>
      </w:r>
      <w:r/>
    </w:p>
    <w:p>
      <w:pPr>
        <w:pStyle w:val="962"/>
        <w:pBdr/>
        <w:spacing/>
        <w:ind/>
        <w:rPr/>
      </w:pPr>
      <w:r>
        <w:t xml:space="preserve">Consumer a</w:t>
      </w:r>
      <w:r>
        <w:t xml:space="preserve">wareness should not remain passive knowledge. I-VSD depends on users, customers, reviewers, institutions, regulators, and communities holding software providers accountable when they choose deceptive, extractive, negligent, or harmful practices. In practic</w:t>
      </w:r>
      <w:r>
        <w:t xml:space="preserve">al terms, accountability can mean refusing to recommend a harmful product, migrating to better alternatives, documenting harms accurately, filing legal or platform complaints where appropriate, and supporting organizations that choose more ethical designs.</w:t>
      </w:r>
      <w:r/>
    </w:p>
    <w:p>
      <w:pPr>
        <w:pStyle w:val="962"/>
        <w:pBdr/>
        <w:spacing/>
        <w:ind/>
        <w:rPr/>
      </w:pPr>
      <w:r>
        <w:t xml:space="preserve">This is not a call for harassment, revenge, or disproportionate punishment. The point is that moral choices should have visible consequences. If providers can repeatedly choose immoral patterns without</w:t>
      </w:r>
      <w:r>
        <w:t xml:space="preserve"> reputational, economic, legal, or adoption consequences, the market teaches the industry that harmful choices are safe. A healthier software ecosystem makes unethical choices costly and makes trustworthy alternatives easier to discover, fund, and sustain.</w:t>
      </w:r>
      <w:r/>
    </w:p>
    <w:p>
      <w:pPr>
        <w:pStyle w:val="962"/>
        <w:pBdr/>
        <w:spacing/>
        <w:ind/>
        <w:rPr/>
      </w:pPr>
      <w:r>
        <w:rPr>
          <w:b/>
          <w:bCs/>
        </w:rPr>
        <w:t xml:space="preserve">Accountability as Consumer and Community Feedback</w:t>
      </w:r>
      <w:r/>
    </w:p>
    <w:p>
      <w:pPr>
        <w:pStyle w:val="962"/>
        <w:pBdr/>
        <w:spacing/>
        <w:ind/>
        <w:rPr/>
      </w:pPr>
      <w:r>
        <w:t xml:space="preserve">The final role of consumers, reviewers, institutions, regulators, and communities is to hold software providers accountable for their choices. If a provider repeatedly chooses deception, extractive defaults, negligent moderation, un</w:t>
      </w:r>
      <w:r>
        <w:t xml:space="preserve">safe data practices, or false moral branding, that choice should create real consequences: public criticism, refusal to recommend, migration to better alternatives, formal complaints where appropriate, and support for competitors that behave more honestly.</w:t>
      </w:r>
      <w:r/>
    </w:p>
    <w:p>
      <w:pPr>
        <w:pStyle w:val="962"/>
        <w:pBdr/>
        <w:spacing/>
        <w:ind/>
        <w:rPr/>
      </w:pPr>
      <w:r>
        <w:t xml:space="preserve">This accountability should not be understood as harassment, vengeance, or personal hostility. The point is moral feedback. A market in which harmful choices produce no reputational, financial, legal, or adoption cost teaches </w:t>
      </w:r>
      <w:r>
        <w:t xml:space="preserve">providers that immoral design is safe. I-VSD therefore depends not only on ethical builders, but also on users and communities who make ethical and unethical conduct visible enough that software providers can feel the consequences of the choices they make.</w:t>
      </w:r>
      <w:r/>
    </w:p>
    <w:p>
      <w:pPr>
        <w:pBdr/>
        <w:spacing/>
        <w:ind/>
        <w:rPr/>
      </w:pPr>
      <w:r>
        <mc:AlternateContent>
          <mc:Choice Requires="wpg">
            <w:drawing>
              <wp:inline xmlns:wp="http://schemas.openxmlformats.org/drawingml/2006/wordprocessingDrawing" distT="0" distB="0" distL="0" distR="0">
                <wp:extent cx="0" cy="19050"/>
                <wp:effectExtent l="0" t="0" r="0" b="0"/>
                <wp:docPr id="11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0" o:spid="_x0000_s110" o:spt="1" type="#_x0000_t1" style="width:0.00pt;height:1.50pt;mso-wrap-distance-left:0.00pt;mso-wrap-distance-top:0.00pt;mso-wrap-distance-right:0.00pt;mso-wrap-distance-bottom:0.00pt;visibility:visible;" fillcolor="#FFFFFF" strokecolor="#000000"/>
            </w:pict>
          </mc:Fallback>
        </mc:AlternateContent>
      </w:r>
      <w:bookmarkEnd w:id="131"/>
      <w:r/>
    </w:p>
    <w:p>
      <w:pPr>
        <w:pStyle w:val="977"/>
        <w:pBdr/>
        <w:spacing/>
        <w:ind/>
        <w:rPr/>
      </w:pPr>
      <w:r/>
      <w:bookmarkStart w:id="132" w:name="X533a0fb75a02e8a9f446527231cf70fa8b8bc5f"/>
      <w:r>
        <w:t xml:space="preserve">5.4.12 Inherent Abstraction and Context Dependency</w:t>
      </w:r>
      <w:r/>
    </w:p>
    <w:p>
      <w:pPr>
        <w:pStyle w:val="963"/>
        <w:pBdr/>
        <w:spacing/>
        <w:ind/>
        <w:rPr/>
      </w:pPr>
      <w:r>
        <w:t xml:space="preserve">A fundamental limitation of this thesis—distinct from limitations of the I-VSD framework itself—is its necessarily abstract nature. The software industry encompasses vast diversity: enter</w:t>
      </w:r>
      <w:r>
        <w:t xml:space="preserve">prise systems, mobile applications, embedded software, web services, databases, cloud infrastructure, payment processing, and countless specialized domains. Each category presents unique ethical considerations, vendor landscapes, and technical constraints.</w:t>
      </w:r>
      <w:r/>
    </w:p>
    <w:p>
      <w:pPr>
        <w:pStyle w:val="962"/>
        <w:pBdr/>
        <w:spacing/>
        <w:ind/>
        <w:rPr/>
      </w:pPr>
      <w:r>
        <w:t xml:space="preserve">This thesis cannot prescribe specific vendors, technologies, or services. It cannot declare which cloud provider, database system, or payment processor a given organization should</w:t>
      </w:r>
      <w:r>
        <w:t xml:space="preserve"> select. Such recommendations would require context unavailable to a general framework: organizational budget constraints, team technical capabilities, geographic requirements, existing infrastructure, regulatory environment, and specific use case demands.</w:t>
      </w:r>
      <w:r/>
    </w:p>
    <w:p>
      <w:pPr>
        <w:pStyle w:val="962"/>
        <w:pBdr/>
        <w:spacing/>
        <w:ind/>
        <w:rPr/>
      </w:pPr>
      <w:r>
        <w:t xml:space="preserve">The ISLAMU Event case study illustrates I-VSD application in one specific context—a nonprofit organization developing a feder</w:t>
      </w:r>
      <w:r>
        <w:t xml:space="preserve">ated event platform. While this provides concrete illustration, most readers will operate in different contexts: for-profit enterprises, different industries, varying organizational positions, and perhaps different faith traditions or secular orientations.</w:t>
      </w:r>
      <w:r/>
    </w:p>
    <w:p>
      <w:pPr>
        <w:pStyle w:val="962"/>
        <w:pBdr/>
        <w:spacing/>
        <w:ind/>
        <w:rPr/>
      </w:pPr>
      <w:r>
        <w:t xml:space="preserve">The thesis also operates from certain assumptions. It assumes readers value moral and ethical compliance</w:t>
      </w:r>
      <w:r>
        <w:t xml:space="preserve"> as a priority rather than merely a constraint. It addresses Muslims who accept Islamic principles as authoritative, though the framework’s emphasis on honesty, user respect, and harm avoidance has broader applicability. Practitioners without decision auth</w:t>
      </w:r>
      <w:r>
        <w:t xml:space="preserve">ority may have limited influence over organizational decisions, so I-VSD should be understood as a framework for review, escalation, documentation, and future organizational learning rather than as a guarantee that every individual can change every system.</w:t>
      </w:r>
      <w:r/>
    </w:p>
    <w:p>
      <w:pPr>
        <w:pStyle w:val="962"/>
        <w:pBdr/>
        <w:spacing/>
        <w:ind/>
        <w:rPr/>
      </w:pPr>
      <w:r>
        <w:t xml:space="preserve">These limitations are acknowledged rather than apologized for. A framework abstract enough to apply broadly necessarily sacrifices specificity. </w:t>
      </w:r>
      <w:r>
        <w:t xml:space="preserve">The I-VSD framework provides principles and heuristics; practitioners must apply judgment to their particular circumstances. The case study illustrates one application path; it cannot show that application is easy or that every situation has clear answers.</w:t>
      </w:r>
      <w:r/>
    </w:p>
    <w:p>
      <w:pPr>
        <w:pBdr/>
        <w:spacing/>
        <w:ind/>
        <w:rPr/>
      </w:pPr>
      <w:r>
        <mc:AlternateContent>
          <mc:Choice Requires="wpg">
            <w:drawing>
              <wp:inline xmlns:wp="http://schemas.openxmlformats.org/drawingml/2006/wordprocessingDrawing" distT="0" distB="0" distL="0" distR="0">
                <wp:extent cx="0" cy="19050"/>
                <wp:effectExtent l="0" t="0" r="0" b="0"/>
                <wp:docPr id="11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1" o:spid="_x0000_s111" o:spt="1" type="#_x0000_t1" style="width:0.00pt;height:1.50pt;mso-wrap-distance-left:0.00pt;mso-wrap-distance-top:0.00pt;mso-wrap-distance-right:0.00pt;mso-wrap-distance-bottom:0.00pt;visibility:visible;" fillcolor="#FFFFFF" strokecolor="#000000"/>
            </w:pict>
          </mc:Fallback>
        </mc:AlternateContent>
      </w:r>
      <w:bookmarkEnd w:id="132"/>
      <w:r/>
    </w:p>
    <w:p>
      <w:pPr>
        <w:pStyle w:val="977"/>
        <w:pBdr/>
        <w:spacing/>
        <w:ind/>
        <w:rPr/>
      </w:pPr>
      <w:r/>
      <w:bookmarkStart w:id="133" w:name="X1609e20616419ad1136257e4ccfac3e1cbeebfd"/>
      <w:r>
        <w:t xml:space="preserve">5.4.13 Decision Cost Reduction and Cognitive Liberation</w:t>
      </w:r>
      <w:r/>
    </w:p>
    <w:p>
      <w:pPr>
        <w:pStyle w:val="963"/>
        <w:pBdr/>
        <w:spacing/>
        <w:ind/>
        <w:rPr/>
      </w:pPr>
      <w:r>
        <w:t xml:space="preserve">Every decision extracts payment in three currencies: time, focus, and optionality. Time costs are visible—the hours spent researching, deliberating, and deciding. Focus costs are subtler but more expensive: decisions create</w:t>
      </w:r>
      <w:r>
        <w:t xml:space="preserve"> </w:t>
      </w:r>
      <w:r>
        <w:t xml:space="preserve">“background radiation”</w:t>
      </w:r>
      <w:r>
        <w:t xml:space="preserve"> </w:t>
      </w:r>
      <w:r>
        <w:t xml:space="preserve">that consumes cognitive resources even when not consciously considered. Optionality costs represent the paths foreclosed by commitment.</w:t>
      </w:r>
      <w:r/>
    </w:p>
    <w:p>
      <w:pPr>
        <w:pStyle w:val="962"/>
        <w:pBdr/>
        <w:spacing/>
        <w:ind/>
        <w:rPr/>
      </w:pPr>
      <w:r>
        <w:t xml:space="preserve">The I-VSD framework provides s</w:t>
      </w:r>
      <w:r>
        <w:t xml:space="preserve">ignificant value by reducing these costs. When fundamental questions are answered by principle rather than case-by-case deliberation, practitioners reclaim cognitive territory that would otherwise be occupied by perpetual reconsideration. Instead of asking</w:t>
      </w:r>
      <w:r>
        <w:t xml:space="preserve"> </w:t>
      </w:r>
      <w:r>
        <w:t xml:space="preserve">“should we implement this dark pattern?”</w:t>
      </w:r>
      <w:r>
        <w:t xml:space="preserve"> </w:t>
      </w:r>
      <w:r>
        <w:t xml:space="preserve">for every feature, the answer is predetermined: no. Instead of evaluating each data monetization opportunity on its merits, the framework provides a clear prohibition.</w:t>
      </w:r>
      <w:r/>
    </w:p>
    <w:p>
      <w:pPr>
        <w:pStyle w:val="962"/>
        <w:pBdr/>
        <w:spacing/>
        <w:ind/>
        <w:rPr/>
      </w:pPr>
      <w:r>
        <w:t xml:space="preserve">This reduction in decision burden produces counterintuitive freedom. Researchers note that</w:t>
      </w:r>
      <w:r>
        <w:t xml:space="preserve"> </w:t>
      </w:r>
      <w:r>
        <w:t xml:space="preserve">“having infinite options sounds appealing in theory, but in practice it becomes paralyzing.”</w:t>
      </w:r>
      <w:r>
        <w:t xml:space="preserve"> </w:t>
      </w:r>
      <w:r>
        <w:t xml:space="preserve">The I-VSD framewor</w:t>
      </w:r>
      <w:r>
        <w:t xml:space="preserve">k eliminates options that violate its principles, reducing the decision space to manageable dimensions. This is not constraint but liberation—freedom from the exhausting burden of treating every ethical question as an open problem requiring novel analysis.</w:t>
      </w:r>
      <w:r/>
    </w:p>
    <w:p>
      <w:pPr>
        <w:pBdr/>
        <w:spacing/>
        <w:ind/>
        <w:rPr/>
      </w:pPr>
      <w:r>
        <mc:AlternateContent>
          <mc:Choice Requires="wpg">
            <w:drawing>
              <wp:inline xmlns:wp="http://schemas.openxmlformats.org/drawingml/2006/wordprocessingDrawing" distT="0" distB="0" distL="0" distR="0">
                <wp:extent cx="0" cy="19050"/>
                <wp:effectExtent l="0" t="0" r="0" b="0"/>
                <wp:docPr id="11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2" o:spid="_x0000_s112" o:spt="1" type="#_x0000_t1" style="width:0.00pt;height:1.50pt;mso-wrap-distance-left:0.00pt;mso-wrap-distance-top:0.00pt;mso-wrap-distance-right:0.00pt;mso-wrap-distance-bottom:0.00pt;visibility:visible;" fillcolor="#FFFFFF" strokecolor="#000000"/>
            </w:pict>
          </mc:Fallback>
        </mc:AlternateContent>
      </w:r>
      <w:bookmarkEnd w:id="133"/>
      <w:r/>
    </w:p>
    <w:p>
      <w:pPr>
        <w:pStyle w:val="977"/>
        <w:pBdr/>
        <w:spacing/>
        <w:ind/>
        <w:rPr/>
      </w:pPr>
      <w:r/>
      <w:bookmarkStart w:id="134" w:name="X010c92ef8cecd2865eda688786c8bf1d4b7d90e"/>
      <w:r>
        <w:t xml:space="preserve">5.4.14 Strategic Focus Through Principled Limitation</w:t>
      </w:r>
      <w:r/>
    </w:p>
    <w:p>
      <w:pPr>
        <w:pStyle w:val="963"/>
        <w:pBdr/>
        <w:spacing/>
        <w:ind/>
        <w:rPr/>
      </w:pPr>
      <w:r>
        <w:t xml:space="preserve">Military strategists observe that</w:t>
      </w:r>
      <w:r>
        <w:t xml:space="preserve"> </w:t>
      </w:r>
      <w:r>
        <w:t xml:space="preserve">“he who tries to protect everything protects nothing.”</w:t>
      </w:r>
      <w:r>
        <w:t xml:space="preserve"> </w:t>
      </w:r>
      <w:r>
        <w:t xml:space="preserve">This principle applies eq</w:t>
      </w:r>
      <w:r>
        <w:t xml:space="preserve">ually to software development: attempting to optimize simultaneously for revenue, engagement, virality, user welfare, and ethical compliance produces excellence in none. Some objectives inherently conflict, and pursuing all guarantees achieving none fully.</w:t>
      </w:r>
      <w:r/>
    </w:p>
    <w:p>
      <w:pPr>
        <w:pStyle w:val="962"/>
        <w:pBdr/>
        <w:spacing/>
        <w:ind/>
        <w:rPr/>
      </w:pPr>
      <w:r>
        <w:t xml:space="preserve">The I-VSD framework provides strategic focus by establishing non-negotiable priorities. When ethical compliance is mandatory rather than optional, optimization becomes concentrated in the remaining dimensions. This concentration of force enables</w:t>
      </w:r>
      <w:r>
        <w:t xml:space="preserve"> </w:t>
      </w:r>
      <w:r>
        <w:t xml:space="preserve">“decisive, long-term victory”</w:t>
      </w:r>
      <w:r>
        <w:t xml:space="preserve"> </w:t>
      </w:r>
      <w:r>
        <w:t xml:space="preserve">in chosen areas rather than diluted effort across conflicting objectives.</w:t>
      </w:r>
      <w:r/>
    </w:p>
    <w:p>
      <w:pPr>
        <w:pStyle w:val="962"/>
        <w:pBdr/>
        <w:spacing/>
        <w:ind/>
        <w:rPr/>
      </w:pPr>
      <w:r>
        <w:t xml:space="preserve">Practitioners must accept this trade-off consciously. I-VSD compliance may mean slower growth than competitors who exploit users. It may mean smaller addressable markets than platforms willing to compromise. It may mean accepting</w:t>
      </w:r>
      <w:r>
        <w:t xml:space="preserve"> </w:t>
      </w:r>
      <w:r>
        <w:t xml:space="preserve">“short-term vulnerability in one area in exchange for decisive, long-term victory in another.”</w:t>
      </w:r>
      <w:r>
        <w:t xml:space="preserve"> </w:t>
      </w:r>
      <w:r>
        <w:t xml:space="preserve">This strategic clarity is itself a benefit: rather than perpetually negotiating between ethics and expedience, the framework resolves the conflict in favor of principle.</w:t>
      </w:r>
      <w:r/>
    </w:p>
    <w:p>
      <w:pPr>
        <w:pBdr/>
        <w:spacing/>
        <w:ind/>
        <w:rPr/>
      </w:pPr>
      <w:r>
        <mc:AlternateContent>
          <mc:Choice Requires="wpg">
            <w:drawing>
              <wp:inline xmlns:wp="http://schemas.openxmlformats.org/drawingml/2006/wordprocessingDrawing" distT="0" distB="0" distL="0" distR="0">
                <wp:extent cx="0" cy="19050"/>
                <wp:effectExtent l="0" t="0" r="0" b="0"/>
                <wp:docPr id="11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3" o:spid="_x0000_s113" o:spt="1" type="#_x0000_t1" style="width:0.00pt;height:1.50pt;mso-wrap-distance-left:0.00pt;mso-wrap-distance-top:0.00pt;mso-wrap-distance-right:0.00pt;mso-wrap-distance-bottom:0.00pt;visibility:visible;" fillcolor="#FFFFFF" strokecolor="#000000"/>
            </w:pict>
          </mc:Fallback>
        </mc:AlternateContent>
      </w:r>
      <w:bookmarkEnd w:id="134"/>
      <w:r/>
    </w:p>
    <w:p>
      <w:pPr>
        <w:pStyle w:val="977"/>
        <w:pBdr/>
        <w:spacing/>
        <w:ind/>
        <w:rPr/>
      </w:pPr>
      <w:r/>
      <w:bookmarkStart w:id="135" w:name="X4735701464d3b09c38faec5aa927cafd4a37104"/>
      <w:r>
        <w:t xml:space="preserve">5.4.15 Progressive Adoption and Incremental Transformation</w:t>
      </w:r>
      <w:r/>
    </w:p>
    <w:p>
      <w:pPr>
        <w:pStyle w:val="963"/>
        <w:pBdr/>
        <w:spacing/>
        <w:ind/>
        <w:rPr/>
      </w:pPr>
      <w:r>
        <w:t xml:space="preserve">The I-VSD fr</w:t>
      </w:r>
      <w:r>
        <w:t xml:space="preserve">amework does not require instantaneous transformation. Software organizations can adopt the framework progressively, applying its principles to new decisions while maintaining existing systems. This flexibility represents a significant practical advantage.</w:t>
      </w:r>
      <w:r/>
    </w:p>
    <w:p>
      <w:pPr>
        <w:pStyle w:val="962"/>
        <w:pBdr/>
        <w:spacing/>
        <w:ind/>
        <w:rPr/>
      </w:pPr>
      <w:r>
        <w:t xml:space="preserve">Progressive adoption can proceed along multiple dimensions. New dependencies and architectural decisions c</w:t>
      </w:r>
      <w:r>
        <w:t xml:space="preserve">an use I-VSD evaluation while legacy components remain unchanged. The most severe violations can be addressed first while less critical issues await resources. Business model transformation can occur incrementally as sustainable alternatives become viable.</w:t>
      </w:r>
      <w:r/>
    </w:p>
    <w:p>
      <w:pPr>
        <w:pStyle w:val="962"/>
        <w:pBdr/>
        <w:spacing/>
        <w:ind/>
        <w:rPr/>
      </w:pPr>
      <w:r>
        <w:t xml:space="preserve">The software industry uniquely accommodates such transformation. Unlike physical manufacturing where changes require retooling factories, software modifications often req</w:t>
      </w:r>
      <w:r>
        <w:t xml:space="preserve">uire only changing code. Names, logos, business models, technologies, dependencies, interfaces, terms of service—all can evolve. The Ghostty Terminal’s adoption of a nonprofit funding model shows that even fundamental organizational changes are achievable.</w:t>
      </w:r>
      <w:r/>
    </w:p>
    <w:p>
      <w:pPr>
        <w:pStyle w:val="962"/>
        <w:pBdr/>
        <w:spacing/>
        <w:ind/>
        <w:rPr/>
      </w:pPr>
      <w:r>
        <w:t xml:space="preserve">This flexibility means that readers need not face binary choice between complete I-VSD compliance and complete rejection. The framework provides value at any level of adoption, with increasing benefit as compliance deepens.</w:t>
      </w:r>
      <w:r/>
    </w:p>
    <w:p>
      <w:pPr>
        <w:pBdr/>
        <w:spacing/>
        <w:ind/>
        <w:rPr/>
      </w:pPr>
      <w:r>
        <mc:AlternateContent>
          <mc:Choice Requires="wpg">
            <w:drawing>
              <wp:inline xmlns:wp="http://schemas.openxmlformats.org/drawingml/2006/wordprocessingDrawing" distT="0" distB="0" distL="0" distR="0">
                <wp:extent cx="0" cy="19050"/>
                <wp:effectExtent l="0" t="0" r="0" b="0"/>
                <wp:docPr id="11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4" o:spid="_x0000_s114" o:spt="1" type="#_x0000_t1" style="width:0.00pt;height:1.50pt;mso-wrap-distance-left:0.00pt;mso-wrap-distance-top:0.00pt;mso-wrap-distance-right:0.00pt;mso-wrap-distance-bottom:0.00pt;visibility:visible;" fillcolor="#FFFFFF" strokecolor="#000000"/>
            </w:pict>
          </mc:Fallback>
        </mc:AlternateContent>
      </w:r>
      <w:bookmarkEnd w:id="135"/>
      <w:r/>
    </w:p>
    <w:p>
      <w:pPr>
        <w:pStyle w:val="977"/>
        <w:pBdr/>
        <w:spacing/>
        <w:ind/>
        <w:rPr/>
      </w:pPr>
      <w:r/>
      <w:bookmarkStart w:id="136" w:name="Xee94cf9f80258cb4f051725534ace294f3e1b6a"/>
      <w:r>
        <w:t xml:space="preserve">5.4.16 Team Alignment, Shared Purpose, and Governance Discipline</w:t>
      </w:r>
      <w:r/>
    </w:p>
    <w:p>
      <w:pPr>
        <w:pStyle w:val="963"/>
        <w:pBdr/>
        <w:spacing/>
        <w:ind/>
        <w:rPr/>
      </w:pPr>
      <w:r>
        <w:t xml:space="preserve">Team alignment matters in this thesis only insofar as it affects provider-mediated software decisions. I</w:t>
      </w:r>
      <w:r>
        <w:t xml:space="preserve">-VSD is not a general theory of organizational psychology, motivation, or team wellbeing. Its narrower role is to make design responsibilities explicit so that teams can review features, policies, dependencies, and business choices against shared criteria.</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Governance need</w:t>
            </w:r>
            <w:r/>
          </w:p>
        </w:tc>
        <w:tc>
          <w:tcPr>
            <w:tcBorders/>
          </w:tcPr>
          <w:p>
            <w:pPr>
              <w:pStyle w:val="964"/>
              <w:pBdr/>
              <w:spacing/>
              <w:ind/>
              <w:rPr/>
            </w:pPr>
            <w:r>
              <w:t xml:space="preserve">I-VSD contribution</w:t>
            </w:r>
            <w:r/>
          </w:p>
        </w:tc>
        <w:tc>
          <w:tcPr>
            <w:tcBorders/>
          </w:tcPr>
          <w:p>
            <w:pPr>
              <w:pStyle w:val="964"/>
              <w:pBdr/>
              <w:spacing/>
              <w:ind/>
              <w:rPr/>
            </w:pPr>
            <w:r>
              <w:t xml:space="preserve">Limit</w:t>
            </w:r>
            <w:r/>
          </w:p>
        </w:tc>
      </w:tr>
      <w:tr>
        <w:trPr/>
        <w:tc>
          <w:tcPr>
            <w:tcBorders/>
          </w:tcPr>
          <w:p>
            <w:pPr>
              <w:pStyle w:val="964"/>
              <w:pBdr/>
              <w:spacing/>
              <w:ind/>
              <w:rPr/>
            </w:pPr>
            <w:r>
              <w:t xml:space="preserve">Shared decision vocabulary</w:t>
            </w:r>
            <w:r/>
          </w:p>
        </w:tc>
        <w:tc>
          <w:tcPr>
            <w:tcBorders/>
          </w:tcPr>
          <w:p>
            <w:pPr>
              <w:pStyle w:val="964"/>
              <w:pBdr/>
              <w:spacing/>
              <w:ind/>
              <w:rPr/>
            </w:pPr>
            <w:r>
              <w:t xml:space="preserve">Principles and domains make tradeoffs discussable.</w:t>
            </w:r>
            <w:r/>
          </w:p>
        </w:tc>
        <w:tc>
          <w:tcPr>
            <w:tcBorders/>
          </w:tcPr>
          <w:p>
            <w:pPr>
              <w:pStyle w:val="964"/>
              <w:pBdr/>
              <w:spacing/>
              <w:ind/>
              <w:rPr/>
            </w:pPr>
            <w:r>
              <w:t xml:space="preserve">The framework does not remove the need for judgement.</w:t>
            </w:r>
            <w:r/>
          </w:p>
        </w:tc>
      </w:tr>
      <w:tr>
        <w:trPr/>
        <w:tc>
          <w:tcPr>
            <w:tcBorders/>
          </w:tcPr>
          <w:p>
            <w:pPr>
              <w:pStyle w:val="964"/>
              <w:pBdr/>
              <w:spacing/>
              <w:ind/>
              <w:rPr/>
            </w:pPr>
            <w:r>
              <w:t xml:space="preserve">Escalation path</w:t>
            </w:r>
            <w:r/>
          </w:p>
        </w:tc>
        <w:tc>
          <w:tcPr>
            <w:tcBorders/>
          </w:tcPr>
          <w:p>
            <w:pPr>
              <w:pStyle w:val="964"/>
              <w:pBdr/>
              <w:spacing/>
              <w:ind/>
              <w:rPr/>
            </w:pPr>
            <w:r>
              <w:t xml:space="preserve">High-risk choices can be routed to technical, operational, governance, or scholarly review.</w:t>
            </w:r>
            <w:r/>
          </w:p>
        </w:tc>
        <w:tc>
          <w:tcPr>
            <w:tcBorders/>
          </w:tcPr>
          <w:p>
            <w:pPr>
              <w:pStyle w:val="964"/>
              <w:pBdr/>
              <w:spacing/>
              <w:ind/>
              <w:rPr/>
            </w:pPr>
            <w:r>
              <w:t xml:space="preserve">The thesis does not design a full HR or management system.</w:t>
            </w:r>
            <w:r/>
          </w:p>
        </w:tc>
      </w:tr>
      <w:tr>
        <w:trPr/>
        <w:tc>
          <w:tcPr>
            <w:tcBorders/>
          </w:tcPr>
          <w:p>
            <w:pPr>
              <w:pStyle w:val="964"/>
              <w:pBdr/>
              <w:spacing/>
              <w:ind/>
              <w:rPr/>
            </w:pPr>
            <w:r>
              <w:t xml:space="preserve">Accountability</w:t>
            </w:r>
            <w:r/>
          </w:p>
        </w:tc>
        <w:tc>
          <w:tcPr>
            <w:tcBorders/>
          </w:tcPr>
          <w:p>
            <w:pPr>
              <w:pStyle w:val="964"/>
              <w:pBdr/>
              <w:spacing/>
              <w:ind/>
              <w:rPr/>
            </w:pPr>
            <w:r>
              <w:t xml:space="preserve">Decisions can record principle, domain, evidence level, and open risk.</w:t>
            </w:r>
            <w:r/>
          </w:p>
        </w:tc>
        <w:tc>
          <w:tcPr>
            <w:tcBorders/>
          </w:tcPr>
          <w:p>
            <w:pPr>
              <w:pStyle w:val="964"/>
              <w:pBdr/>
              <w:spacing/>
              <w:ind/>
              <w:rPr/>
            </w:pPr>
            <w:r>
              <w:t xml:space="preserve">Documentation is useful only if teams actually maintain it.</w:t>
            </w:r>
            <w:r/>
          </w:p>
        </w:tc>
      </w:tr>
      <w:tr>
        <w:trPr/>
        <w:tc>
          <w:tcPr>
            <w:tcBorders/>
          </w:tcPr>
          <w:p>
            <w:pPr>
              <w:pStyle w:val="964"/>
              <w:pBdr/>
              <w:spacing/>
              <w:ind/>
              <w:rPr/>
            </w:pPr>
            <w:r>
              <w:t xml:space="preserve">Reduced value drift</w:t>
            </w:r>
            <w:r/>
          </w:p>
        </w:tc>
        <w:tc>
          <w:tcPr>
            <w:tcBorders/>
          </w:tcPr>
          <w:p>
            <w:pPr>
              <w:pStyle w:val="964"/>
              <w:pBdr/>
              <w:spacing/>
              <w:ind/>
              <w:rPr/>
            </w:pPr>
            <w:r>
              <w:t xml:space="preserve">Repeated review can expose when convenience, growth, or revenue displaces stated commitments.</w:t>
            </w:r>
            <w:r/>
          </w:p>
        </w:tc>
        <w:tc>
          <w:tcPr>
            <w:tcBorders/>
          </w:tcPr>
          <w:p>
            <w:pPr>
              <w:pStyle w:val="964"/>
              <w:pBdr/>
              <w:spacing/>
              <w:ind/>
              <w:rPr/>
            </w:pPr>
            <w:r>
              <w:t xml:space="preserve">Long-term alignment requires operational practice, not only a framework.</w:t>
            </w:r>
            <w:r/>
          </w:p>
        </w:tc>
      </w:tr>
    </w:tbl>
    <w:p>
      <w:pPr>
        <w:pStyle w:val="962"/>
        <w:pBdr/>
        <w:spacing/>
        <w:ind/>
        <w:rPr/>
      </w:pPr>
      <w:r>
        <w:t xml:space="preserve">The relevant claim is therefore modest: I-VSD can support disciplined ethical decision-making inside a provider team. It should not be used here to claim broad mental-health, productivity, or organizational-culture outcomes.</w:t>
      </w:r>
      <w:r/>
    </w:p>
    <w:p>
      <w:pPr>
        <w:pBdr/>
        <w:spacing/>
        <w:ind/>
        <w:rPr/>
      </w:pPr>
      <w:r>
        <mc:AlternateContent>
          <mc:Choice Requires="wpg">
            <w:drawing>
              <wp:inline xmlns:wp="http://schemas.openxmlformats.org/drawingml/2006/wordprocessingDrawing" distT="0" distB="0" distL="0" distR="0">
                <wp:extent cx="0" cy="19050"/>
                <wp:effectExtent l="0" t="0" r="0" b="0"/>
                <wp:docPr id="11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5" o:spid="_x0000_s115" o:spt="1" type="#_x0000_t1" style="width:0.00pt;height:1.50pt;mso-wrap-distance-left:0.00pt;mso-wrap-distance-top:0.00pt;mso-wrap-distance-right:0.00pt;mso-wrap-distance-bottom:0.00pt;visibility:visible;" fillcolor="#FFFFFF" strokecolor="#000000"/>
            </w:pict>
          </mc:Fallback>
        </mc:AlternateContent>
      </w:r>
      <w:bookmarkEnd w:id="136"/>
      <w:r/>
    </w:p>
    <w:p>
      <w:pPr>
        <w:pStyle w:val="977"/>
        <w:pBdr/>
        <w:spacing/>
        <w:ind/>
        <w:rPr/>
      </w:pPr>
      <w:r/>
      <w:bookmarkStart w:id="137" w:name="the-challenge-of-intention-maintenance"/>
      <w:r>
        <w:t xml:space="preserve">5.4.17 The Challenge of Intention Maintenance</w:t>
      </w:r>
      <w:r/>
    </w:p>
    <w:p>
      <w:pPr>
        <w:pStyle w:val="963"/>
        <w:pBdr/>
        <w:spacing/>
        <w:ind/>
        <w:rPr/>
      </w:pPr>
      <w:r>
        <w:t xml:space="preserve">Among the most difficult aspects of value-driven development is maintaining intention over time. Intentions can c</w:t>
      </w:r>
      <w:r>
        <w:t xml:space="preserve">hange. Organizations that began with genuine commitment to user welfare have drifted into exploitation. The challenge is not merely making ethical choices initially but sustaining that commitment across years, leadership changes, and competitive pressures.</w:t>
      </w:r>
      <w:r/>
    </w:p>
    <w:p>
      <w:pPr>
        <w:pStyle w:val="962"/>
        <w:pBdr/>
        <w:spacing/>
        <w:ind/>
        <w:rPr/>
      </w:pPr>
      <w:r>
        <w:t xml:space="preserve">The Prophet Muhammad (PBUH) frequently made the supplication:</w:t>
      </w:r>
      <w:r>
        <w:t xml:space="preserve"> </w:t>
      </w:r>
      <w:r>
        <w:t xml:space="preserve">“Ya muqallib al-qulub, thabbit qalbi ’ala dinik”</w:t>
      </w:r>
      <w:r>
        <w:t xml:space="preserve"> </w:t>
      </w:r>
      <w:r>
        <w:t xml:space="preserve">(O Turner of hearts, keep my heart firm upon Your religion). This supplication acknowledges a profound reality: hearts change, and maintaining steadfastness requires continuous divine assistance.</w:t>
      </w:r>
      <w:r/>
    </w:p>
    <w:p>
      <w:pPr>
        <w:pStyle w:val="962"/>
        <w:pBdr/>
        <w:spacing/>
        <w:ind/>
        <w:rPr/>
      </w:pPr>
      <w:r>
        <w:t xml:space="preserve">The practical implications are significant. Marketing oneself as ethical creates elevated expectations. Users who trust an ethical commitment are m</w:t>
      </w:r>
      <w:r>
        <w:t xml:space="preserve">ore damaged by betrayal than users who never trusted. A single mistake can undermine years of reputation-building. Firefox’s removal of privacy promises, followed by AI integration and data collection, shows how quickly trust built over years can collapse.</w:t>
      </w:r>
      <w:r/>
    </w:p>
    <w:p>
      <w:pPr>
        <w:pStyle w:val="962"/>
        <w:pBdr/>
        <w:spacing/>
        <w:ind/>
        <w:rPr/>
      </w:pPr>
      <w:r>
        <w:t xml:space="preserve">Value-driven positioning offers no margin for error. The framework provides guidance but cannot guarantee adherence. Organizations adopting I-VSD must understand that</w:t>
      </w:r>
      <w:r>
        <w:t xml:space="preserve"> the commitment requires ongoing vigilance, not merely initial decision. This is perhaps the framework’s deepest challenge: not knowing whether one will maintain ethical commitment is itself a form of uncertainty that honest practitioners must acknowledge.</w:t>
      </w:r>
      <w:r/>
    </w:p>
    <w:p>
      <w:pPr>
        <w:pBdr/>
        <w:spacing/>
        <w:ind/>
        <w:rPr/>
      </w:pPr>
      <w:r>
        <mc:AlternateContent>
          <mc:Choice Requires="wpg">
            <w:drawing>
              <wp:inline xmlns:wp="http://schemas.openxmlformats.org/drawingml/2006/wordprocessingDrawing" distT="0" distB="0" distL="0" distR="0">
                <wp:extent cx="0" cy="19050"/>
                <wp:effectExtent l="0" t="0" r="0" b="0"/>
                <wp:docPr id="11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6" o:spid="_x0000_s116" o:spt="1" type="#_x0000_t1" style="width:0.00pt;height:1.50pt;mso-wrap-distance-left:0.00pt;mso-wrap-distance-top:0.00pt;mso-wrap-distance-right:0.00pt;mso-wrap-distance-bottom:0.00pt;visibility:visible;" fillcolor="#FFFFFF" strokecolor="#000000"/>
            </w:pict>
          </mc:Fallback>
        </mc:AlternateContent>
      </w:r>
      <w:bookmarkEnd w:id="137"/>
      <w:r/>
    </w:p>
    <w:p>
      <w:pPr>
        <w:pStyle w:val="977"/>
        <w:pBdr/>
        <w:spacing/>
        <w:ind/>
        <w:rPr/>
      </w:pPr>
      <w:r/>
      <w:bookmarkStart w:id="138" w:name="X61d9f2323042adc6c1b86f6b10493cf06908f54"/>
      <w:r>
        <w:t xml:space="preserve">5.4.18 The Long Game: Patience, Trust, and Divine Wisdom</w:t>
      </w:r>
      <w:r/>
    </w:p>
    <w:p>
      <w:pPr>
        <w:pStyle w:val="963"/>
        <w:pBdr/>
        <w:spacing/>
        <w:ind/>
        <w:rPr/>
      </w:pPr>
      <w:r>
        <w:t xml:space="preserve">Value-driven development often appear</w:t>
      </w:r>
      <w:r>
        <w:t xml:space="preserve">s disadvantaged in the short term. Ethical competitors may grow slower than those exploiting users. Monthly metrics may favor expedience over principle. The ethical line on the growth chart may have a lower intercept even if its slope eventually dominates.</w:t>
      </w:r>
      <w:r/>
    </w:p>
    <w:p>
      <w:pPr>
        <w:pStyle w:val="962"/>
        <w:pBdr/>
        <w:spacing/>
        <w:ind/>
        <w:rPr/>
      </w:pPr>
      <w:r>
        <w:t xml:space="preserve">This temporal dimension requires what Islamic tradition calls sabr—patience rooted in trust rather than resigned endurance. The Quran observes:</w:t>
      </w:r>
      <w:r>
        <w:t xml:space="preserve"> </w:t>
      </w:r>
      <w:r>
        <w:t xml:space="preserve">“Perhaps you hate a thing and it is good for you; and perhaps you love a thing and it is bad for you. And Allah knows while you know not”</w:t>
      </w:r>
      <w:r>
        <w:t xml:space="preserve"> </w:t>
      </w:r>
      <w:r>
        <w:t xml:space="preserve">(2:216). The Chinese farmer parable illustrates this wisdom: events that appear fortunate or unfortunate often reverse their apparent valence as consequences unfold.</w:t>
      </w:r>
      <w:r/>
    </w:p>
    <w:p>
      <w:pPr>
        <w:pStyle w:val="962"/>
        <w:pBdr/>
        <w:spacing/>
        <w:ind/>
        <w:rPr/>
      </w:pPr>
      <w:r>
        <w:t xml:space="preserve">For I-VSD practi</w:t>
      </w:r>
      <w:r>
        <w:t xml:space="preserve">tioners, this means accepting that immediate results may not validate ethical choices. The vindication may come later, or may not be visible in worldly terms at all. This requires a fundamentally different orientation than typical business metrics provide.</w:t>
      </w:r>
      <w:r/>
    </w:p>
    <w:p>
      <w:pPr>
        <w:pStyle w:val="962"/>
        <w:pBdr/>
        <w:spacing/>
        <w:ind/>
        <w:rPr/>
      </w:pPr>
      <w:r>
        <w:t xml:space="preserve">Three observations support patience. First, compound effects favor sustainable practices over extractive ones the ethical slope may be steeper even if the intercept is lower. Second, trus</w:t>
      </w:r>
      <w:r>
        <w:t xml:space="preserve">t once established creates durable competitive advantage that exploitative competitors cannot replicate. Third, and most fundamentally, divine accounting differs from quarterly reporting. Allah operates with means, against means, or without means entirely.</w:t>
      </w:r>
      <w:r/>
    </w:p>
    <w:p>
      <w:pPr>
        <w:pBdr/>
        <w:spacing/>
        <w:ind/>
        <w:rPr/>
      </w:pPr>
      <w:r>
        <mc:AlternateContent>
          <mc:Choice Requires="wpg">
            <w:drawing>
              <wp:inline xmlns:wp="http://schemas.openxmlformats.org/drawingml/2006/wordprocessingDrawing" distT="0" distB="0" distL="0" distR="0">
                <wp:extent cx="0" cy="19050"/>
                <wp:effectExtent l="0" t="0" r="0" b="0"/>
                <wp:docPr id="11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7" o:spid="_x0000_s117" o:spt="1" type="#_x0000_t1" style="width:0.00pt;height:1.50pt;mso-wrap-distance-left:0.00pt;mso-wrap-distance-top:0.00pt;mso-wrap-distance-right:0.00pt;mso-wrap-distance-bottom:0.00pt;visibility:visible;" fillcolor="#FFFFFF" strokecolor="#000000"/>
            </w:pict>
          </mc:Fallback>
        </mc:AlternateContent>
      </w:r>
      <w:bookmarkEnd w:id="138"/>
      <w:r/>
    </w:p>
    <w:p>
      <w:pPr>
        <w:pStyle w:val="977"/>
        <w:pBdr/>
        <w:spacing/>
        <w:ind/>
        <w:rPr/>
      </w:pPr>
      <w:r/>
      <w:bookmarkStart w:id="139" w:name="X19da4da6ad9de39e7187a841a5481d0a15717d9"/>
      <w:r>
        <w:t xml:space="preserve">5.4.19 Ethical Integration and Professional Constraints</w:t>
      </w:r>
      <w:r/>
    </w:p>
    <w:p>
      <w:pPr>
        <w:pStyle w:val="963"/>
        <w:pBdr/>
        <w:spacing/>
        <w:ind/>
        <w:rPr/>
      </w:pPr>
      <w:r>
        <w:t xml:space="preserve">I-VSD assumes that software decisions should not be separated from moral responsibility. A provider cannot treat manipulative design, unsafe defaults, or unnecessary surveillance as morally neutral merely because they occur inside a professional setting.</w:t>
      </w:r>
      <w:r/>
    </w:p>
    <w:p>
      <w:pPr>
        <w:pStyle w:val="962"/>
        <w:pBdr/>
        <w:spacing/>
        <w:ind/>
        <w:rPr/>
      </w:pPr>
      <w:r>
        <w:t xml:space="preserve">The framework’s contribution is practical rather than psy</w:t>
      </w:r>
      <w:r>
        <w:t xml:space="preserve">chological. It gives teams and decision-makers a shared language for identifying value conflicts, documenting tradeoffs, and escalating ethical concerns before they become embedded in architecture, interface design, pricing, moderation, or data governance.</w:t>
      </w:r>
      <w:r/>
    </w:p>
    <w:p>
      <w:pPr>
        <w:pStyle w:val="962"/>
        <w:pBdr/>
        <w:spacing/>
        <w:ind/>
        <w:rPr/>
      </w:pPr>
      <w:r>
        <w:t xml:space="preserve">This does not mean that every practitioner controls every decision.</w:t>
      </w:r>
      <w:r>
        <w:t xml:space="preserve"> It means that provider-mediated software should include governance paths where ethical concerns can be raised, reviewed, and documented. The thesis should not claim broad outcomes for personal wellbeing or organizational culture without separate evidence.</w:t>
      </w:r>
      <w:r/>
    </w:p>
    <w:p>
      <w:pPr>
        <w:pBdr/>
        <w:spacing/>
        <w:ind/>
        <w:rPr/>
      </w:pPr>
      <w:r>
        <mc:AlternateContent>
          <mc:Choice Requires="wpg">
            <w:drawing>
              <wp:inline xmlns:wp="http://schemas.openxmlformats.org/drawingml/2006/wordprocessingDrawing" distT="0" distB="0" distL="0" distR="0">
                <wp:extent cx="0" cy="19050"/>
                <wp:effectExtent l="0" t="0" r="0" b="0"/>
                <wp:docPr id="11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8" o:spid="_x0000_s118" o:spt="1" type="#_x0000_t1" style="width:0.00pt;height:1.50pt;mso-wrap-distance-left:0.00pt;mso-wrap-distance-top:0.00pt;mso-wrap-distance-right:0.00pt;mso-wrap-distance-bottom:0.00pt;visibility:visible;" fillcolor="#FFFFFF" strokecolor="#000000"/>
            </w:pict>
          </mc:Fallback>
        </mc:AlternateContent>
      </w:r>
      <w:bookmarkEnd w:id="139"/>
      <w:r/>
    </w:p>
    <w:p>
      <w:pPr>
        <w:pStyle w:val="977"/>
        <w:pBdr/>
        <w:spacing/>
        <w:ind/>
        <w:rPr/>
      </w:pPr>
      <w:r/>
      <w:bookmarkStart w:id="140" w:name="X86692410e4e7fbbfe1f5fe1368ff9fc568572e5"/>
      <w:r>
        <w:t xml:space="preserve">5.4.20 The Role of Moral Agency and the Action-Value Gap</w:t>
      </w:r>
      <w:r/>
    </w:p>
    <w:p>
      <w:pPr>
        <w:pStyle w:val="963"/>
        <w:pBdr/>
        <w:spacing/>
        <w:ind/>
        <w:rPr/>
      </w:pPr>
      <w:r>
        <w:t xml:space="preserve">While the theoretical a</w:t>
      </w:r>
      <w:r>
        <w:t xml:space="preserve">pplication of this framework offers a structured approach to ethical software development, its practical implementation relies heavily on the agency of the practitioner. It is necessary to distinguish between two distinct types of impediments to adoption: </w:t>
      </w:r>
      <w:r>
        <w:rPr>
          <w:b/>
          <w:bCs/>
        </w:rPr>
        <w:t xml:space="preserve">structural constraints</w:t>
      </w:r>
      <w:r>
        <w:t xml:space="preserve"> and </w:t>
      </w:r>
      <w:r>
        <w:rPr>
          <w:b/>
          <w:bCs/>
        </w:rPr>
        <w:t xml:space="preserve">volitional rationalizations</w:t>
      </w:r>
      <w:r>
        <w:t xml:space="preserve">.</w:t>
      </w:r>
      <w:r/>
    </w:p>
    <w:p>
      <w:pPr>
        <w:pStyle w:val="962"/>
        <w:pBdr/>
        <w:spacing/>
        <w:ind/>
        <w:rPr/>
      </w:pPr>
      <w:r>
        <w:t xml:space="preserve">It is acknowledged that legitimate structural constraints exist. Diver</w:t>
      </w:r>
      <w:r>
        <w:t xml:space="preserve">gent ethical philosophies, lack of organizational authority, or rigid employment hierarchies may genuinely limit a practitioner’s ability to influence architectural decisions. In such cases, non-adoption is a consequence of circumstance rather than intent.</w:t>
      </w:r>
      <w:r/>
    </w:p>
    <w:p>
      <w:pPr>
        <w:pStyle w:val="962"/>
        <w:pBdr/>
        <w:spacing/>
        <w:ind/>
        <w:rPr/>
      </w:pPr>
      <w:r>
        <w:t xml:space="preserve">However, a critic</w:t>
      </w:r>
      <w:r>
        <w:t xml:space="preserve">al distinction must be drawn when constraints are internal rather than external. When the refusal to implement ethical safeguards is predicated on competitive pressure, fear of decelerated growth, or organizational inertia, these cease to be constraints an</w:t>
      </w:r>
      <w:r>
        <w:t xml:space="preserve">d are properly categorized as choices. The persistence of a gap between espoused values (acknowledging that exploitation and manipulation are harmful) and professional action (continuing to build such systems) represents a profound failure of moral agency.</w:t>
      </w:r>
      <w:r/>
    </w:p>
    <w:p>
      <w:pPr>
        <w:pStyle w:val="962"/>
        <w:pBdr/>
        <w:spacing/>
        <w:ind/>
        <w:rPr/>
      </w:pPr>
      <w:r>
        <w:t xml:space="preserve">This phenomenon aligns with the psychological concept of </w:t>
      </w:r>
      <w:r>
        <w:rPr>
          <w:b/>
          <w:bCs/>
        </w:rPr>
        <w:t xml:space="preserve">existential cowardice</w:t>
      </w:r>
      <w:r>
        <w:t xml:space="preserve">, defined as the dissonance between one’s potential or values and one’s actualized behavior. As noted in psychological literature, this state arises when individuals fail to act out their</w:t>
      </w:r>
      <w:r>
        <w:t xml:space="preserve"> </w:t>
      </w:r>
      <w:r>
        <w:t xml:space="preserve">“hopes and dreams”</w:t>
      </w:r>
      <w:r>
        <w:t xml:space="preserve"> </w:t>
      </w:r>
      <w:r>
        <w:t xml:space="preserve">due to fear, resulting in a discrepancy between the ethical self and the professional self. While it is common to identify such lapses in external actors, the framework demands introspection.</w:t>
      </w:r>
      <w:r/>
    </w:p>
    <w:p>
      <w:pPr>
        <w:pStyle w:val="962"/>
        <w:pBdr/>
        <w:spacing/>
        <w:ind/>
        <w:rPr/>
      </w:pPr>
      <w:r>
        <w:t xml:space="preserve">Ultimately, an ethical framework can provide the necessary methodology for valid s</w:t>
      </w:r>
      <w:r>
        <w:t xml:space="preserve">oftware construction, but it cannot supply the requisite moral courage to implement it. Where structural power exists, the failure to exercise it in accordance with one’s principles constitutes not merely a strategic calculation, but an ethical abdication.</w:t>
      </w:r>
      <w:r/>
    </w:p>
    <w:p>
      <w:pPr>
        <w:pBdr/>
        <w:spacing/>
        <w:ind/>
        <w:rPr/>
      </w:pPr>
      <w:r>
        <mc:AlternateContent>
          <mc:Choice Requires="wpg">
            <w:drawing>
              <wp:inline xmlns:wp="http://schemas.openxmlformats.org/drawingml/2006/wordprocessingDrawing" distT="0" distB="0" distL="0" distR="0">
                <wp:extent cx="0" cy="19050"/>
                <wp:effectExtent l="0" t="0" r="0" b="0"/>
                <wp:docPr id="12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9" o:spid="_x0000_s119" o:spt="1" type="#_x0000_t1" style="width:0.00pt;height:1.50pt;mso-wrap-distance-left:0.00pt;mso-wrap-distance-top:0.00pt;mso-wrap-distance-right:0.00pt;mso-wrap-distance-bottom:0.00pt;visibility:visible;" fillcolor="#FFFFFF" strokecolor="#000000"/>
            </w:pict>
          </mc:Fallback>
        </mc:AlternateContent>
      </w:r>
      <w:bookmarkEnd w:id="140"/>
      <w:r/>
    </w:p>
    <w:p>
      <w:pPr>
        <w:pStyle w:val="977"/>
        <w:pBdr/>
        <w:spacing/>
        <w:ind/>
        <w:rPr/>
      </w:pPr>
      <w:r/>
      <w:bookmarkStart w:id="141" w:name="protecting-ones-soul-in-business"/>
      <w:r>
        <w:t xml:space="preserve">5.4.21 Protecting One’s Soul in Business</w:t>
      </w:r>
      <w:r/>
    </w:p>
    <w:p>
      <w:pPr>
        <w:pStyle w:val="963"/>
        <w:pBdr/>
        <w:spacing/>
        <w:ind/>
        <w:rPr/>
      </w:pPr>
      <w:r>
        <w:t xml:space="preserve">A final benefit of the I-VSD framework is protection against what might be called soul erosion—the gradual compromise of values in pursuit of business success. The observation that</w:t>
      </w:r>
      <w:r>
        <w:t xml:space="preserve"> </w:t>
      </w:r>
      <w:r>
        <w:t xml:space="preserve">“you only optimize for what you track”</w:t>
      </w:r>
      <w:r>
        <w:t xml:space="preserve"> </w:t>
      </w:r>
      <w:r>
        <w:t xml:space="preserve">suggests that without explicit ethical tracking, optimization will default to financial metrics.</w:t>
      </w:r>
      <w:r/>
    </w:p>
    <w:p>
      <w:pPr>
        <w:pStyle w:val="962"/>
        <w:pBdr/>
        <w:spacing/>
        <w:ind/>
        <w:rPr/>
      </w:pPr>
      <w:r>
        <w:t xml:space="preserve">The phrase</w:t>
      </w:r>
      <w:r>
        <w:t xml:space="preserve"> </w:t>
      </w:r>
      <w:r>
        <w:t xml:space="preserve">“selling your soul to your business”</w:t>
      </w:r>
      <w:r>
        <w:t xml:space="preserve"> </w:t>
      </w:r>
      <w:r>
        <w:t xml:space="preserve">captures this danger. When professional practice requires continuous ethical compromise, something essential is lost. The work may succeed by conventional metrics while hollowing out the practitioner’s integrity.</w:t>
      </w:r>
      <w:r/>
    </w:p>
    <w:p>
      <w:pPr>
        <w:pStyle w:val="962"/>
        <w:pBdr/>
        <w:spacing/>
        <w:ind/>
        <w:rPr/>
      </w:pPr>
      <w:r>
        <w:t xml:space="preserve">The I-VSD framework provides p</w:t>
      </w:r>
      <w:r>
        <w:t xml:space="preserve">rotection through explicit value tracking. When ethical compliance is measured alongside financial performance, optimization cannot ignore it. The framework enables practitioners to build businesses without sacrificing the values that make life meaningful.</w:t>
      </w:r>
      <w:r/>
    </w:p>
    <w:p>
      <w:pPr>
        <w:pStyle w:val="962"/>
        <w:pBdr/>
        <w:spacing/>
        <w:ind/>
        <w:rPr/>
      </w:pPr>
      <w:r>
        <w:t xml:space="preserve">This is perhaps the framework’s deepest value proposition: not merely producing ethical software, but preserving the souls of those who build it.</w:t>
      </w:r>
      <w:r/>
    </w:p>
    <w:p>
      <w:pPr>
        <w:pBdr/>
        <w:spacing/>
        <w:ind/>
        <w:rPr/>
      </w:pPr>
      <w:r>
        <mc:AlternateContent>
          <mc:Choice Requires="wpg">
            <w:drawing>
              <wp:inline xmlns:wp="http://schemas.openxmlformats.org/drawingml/2006/wordprocessingDrawing" distT="0" distB="0" distL="0" distR="0">
                <wp:extent cx="0" cy="19050"/>
                <wp:effectExtent l="0" t="0" r="0" b="0"/>
                <wp:docPr id="12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0" o:spid="_x0000_s120" o:spt="1" type="#_x0000_t1" style="width:0.00pt;height:1.50pt;mso-wrap-distance-left:0.00pt;mso-wrap-distance-top:0.00pt;mso-wrap-distance-right:0.00pt;mso-wrap-distance-bottom:0.00pt;visibility:visible;" fillcolor="#FFFFFF" strokecolor="#000000"/>
            </w:pict>
          </mc:Fallback>
        </mc:AlternateContent>
      </w:r>
      <w:bookmarkEnd w:id="141"/>
      <w:r/>
    </w:p>
    <w:p>
      <w:pPr>
        <w:pStyle w:val="977"/>
        <w:pBdr/>
        <w:spacing/>
        <w:ind/>
        <w:rPr/>
      </w:pPr>
      <w:r/>
      <w:bookmarkStart w:id="142" w:name="framework-value-despite-limitations"/>
      <w:r>
        <w:t xml:space="preserve">5.4.22 Framework Value Despite Limitations</w:t>
      </w:r>
      <w:r/>
    </w:p>
    <w:p>
      <w:pPr>
        <w:pStyle w:val="963"/>
        <w:pBdr/>
        <w:spacing/>
        <w:ind/>
        <w:rPr/>
      </w:pPr>
      <w:r>
        <w:t xml:space="preserve">Despite the limitations discussed abo</w:t>
      </w:r>
      <w:r>
        <w:t xml:space="preserve">ve, I-VSD has clear thesis-level value. It offers a structured way to translate selected Islamic ethical principles into provider-facing design questions, trace those questions across six software domains, and document the evidence level behind a decision.</w:t>
      </w:r>
      <w:r/>
    </w:p>
    <w:p>
      <w:pPr>
        <w:pStyle w:val="962"/>
        <w:pBdr/>
        <w:spacing/>
        <w:ind/>
        <w:rPr/>
      </w:pPr>
      <w:r>
        <w:t xml:space="preserve">The ISLAMU Event case adds value as a worked application: it shows how the framework can organize real design choices around curation, privacy, payments, moderation, accessibi</w:t>
      </w:r>
      <w:r>
        <w:t xml:space="preserve">lity, federation, and stewardship. That is not the same as proving long-term outcomes. The framework’s practical worth will become stronger if later work applies it independently, compares it with other approaches, and evaluates deployed systems over time.</w:t>
      </w:r>
      <w:r/>
    </w:p>
    <w:p>
      <w:pPr>
        <w:pBdr/>
        <w:spacing/>
        <w:ind/>
        <w:rPr/>
      </w:pPr>
      <w:r>
        <mc:AlternateContent>
          <mc:Choice Requires="wpg">
            <w:drawing>
              <wp:inline xmlns:wp="http://schemas.openxmlformats.org/drawingml/2006/wordprocessingDrawing" distT="0" distB="0" distL="0" distR="0">
                <wp:extent cx="0" cy="19050"/>
                <wp:effectExtent l="0" t="0" r="0" b="0"/>
                <wp:docPr id="12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1" o:spid="_x0000_s121" o:spt="1" type="#_x0000_t1" style="width:0.00pt;height:1.50pt;mso-wrap-distance-left:0.00pt;mso-wrap-distance-top:0.00pt;mso-wrap-distance-right:0.00pt;mso-wrap-distance-bottom:0.00pt;visibility:visible;" fillcolor="#FFFFFF" strokecolor="#000000"/>
            </w:pict>
          </mc:Fallback>
        </mc:AlternateContent>
      </w:r>
      <w:bookmarkEnd w:id="142"/>
      <w:r/>
    </w:p>
    <w:p>
      <w:pPr>
        <w:pStyle w:val="977"/>
        <w:pBdr/>
        <w:spacing/>
        <w:ind/>
        <w:rPr/>
      </w:pPr>
      <w:r/>
      <w:bookmarkStart w:id="143" w:name="X060cb499795f6c50378995c32b6263f111a09a0"/>
      <w:r>
        <w:t xml:space="preserve">5.4.23 User Interest Versus User Satisfaction: The Ethics of Defaults</w:t>
      </w:r>
      <w:r/>
    </w:p>
    <w:p>
      <w:pPr>
        <w:pStyle w:val="963"/>
        <w:pBdr/>
        <w:spacing/>
        <w:ind/>
        <w:rPr/>
      </w:pPr>
      <w:r>
        <w:t xml:space="preserve">A fundamental tension pervades software design: the distinction between what users want and what genuinely serves their interests. User experience optimization typically targ</w:t>
      </w:r>
      <w:r>
        <w:t xml:space="preserve">ets satisfaction—making users feel good about the software, reducing friction, maximizing comfort. Yet user satisfaction frequently diverges from user welfare, and the I-VSD framework requires prioritizing the latter even when it conflicts with the former.</w:t>
      </w:r>
      <w:r/>
    </w:p>
    <w:p>
      <w:pPr>
        <w:pStyle w:val="962"/>
        <w:pBdr/>
        <w:spacing/>
        <w:ind/>
        <w:rPr/>
      </w:pPr>
      <w:r>
        <w:t xml:space="preserve">Security provides the clearest illustration. Consider the handling of sensitive information such as passwords, credit card numbers</w:t>
      </w:r>
      <w:r>
        <w:t xml:space="preserve">, and personal identifiers. Maximum security would hide all sensitive data by default, requiring explicit user action to reveal it—and when revealed, displaying fixed-length masking (e.g., three dots regardless of password length) rather than length-reveal</w:t>
      </w:r>
      <w:r>
        <w:t xml:space="preserve">ing placeholders. This approach protects against numerous threat vectors: screen recording capture, over-the-shoulder observation, cameras in shared spaces, screen-sharing accidents, and even high-resolution CCTV capable of reading screens from a distance.</w:t>
      </w:r>
      <w:r/>
    </w:p>
    <w:p>
      <w:pPr>
        <w:pStyle w:val="962"/>
        <w:pBdr/>
        <w:spacing/>
        <w:ind/>
        <w:rPr/>
      </w:pPr>
      <w:r>
        <w:t xml:space="preserve">Yet users often prefer the convenience of visible information. They find the friction of repeatedly revealing</w:t>
      </w:r>
      <w:r>
        <w:t xml:space="preserve"> hidden data annoying. User satisfaction would suggest displaying sensitive information by default and requiring action only to hide it. Money-driven optimization, focused on user engagement and retention, naturally gravitates toward the satisfying option.</w:t>
      </w:r>
      <w:r/>
    </w:p>
    <w:p>
      <w:pPr>
        <w:pStyle w:val="962"/>
        <w:pBdr/>
        <w:spacing/>
        <w:ind/>
        <w:rPr/>
      </w:pPr>
      <w:r>
        <w:t xml:space="preserve">The I-VSD framew</w:t>
      </w:r>
      <w:r>
        <w:t xml:space="preserve">ork rejects this logic. The user does not always know what serves their genuine interest. Behavioral psychology research on defaults, including Johnson and Goldstein’s organ-donation default study, shows that many people accept default choices rather than </w:t>
      </w:r>
      <w:r>
        <w:t xml:space="preserve">actively changing them. When platforms set harmful defaults (opted-in data sharing, visible sensitive information, pre-selected marketing consent), they exploit this psychological pattern to extract value from user inattention rather than informed consent.</w:t>
      </w:r>
      <w:r/>
    </w:p>
    <w:p>
      <w:pPr>
        <w:pStyle w:val="962"/>
        <w:pBdr/>
        <w:spacing/>
        <w:ind/>
        <w:rPr/>
      </w:pPr>
      <w:r>
        <w:t xml:space="preserve">Islamic ethics reinforces this position. The concept of nasih</w:t>
      </w:r>
      <w:r>
        <w:t xml:space="preserve">ah (sincere counsel) requires advising people toward what benefits them, not merely what pleases them. The prohibition against deception extends to defaults that exploit inattention—setting options that benefit the company in ways users would not choose if</w:t>
      </w:r>
      <w:r>
        <w:t xml:space="preserve"> actively deciding constitutes a form of manipulation. The principle of protecting the vulnerable applies: users cannot be expected to possess security expertise, and default settings should protect them even when they lack knowledge to protect themselves.</w:t>
      </w:r>
      <w:r/>
    </w:p>
    <w:p>
      <w:pPr>
        <w:pStyle w:val="962"/>
        <w:pBdr/>
        <w:spacing/>
        <w:ind/>
        <w:rPr/>
      </w:pPr>
      <w:r>
        <w:t xml:space="preserve">This principle ex</w:t>
      </w:r>
      <w:r>
        <w:t xml:space="preserve">tends beyond security to all design decisions involving user welfare. Cookie consent should default to minimal collection, not maximum tracking. Marketing communications should require opt-in, not opt-out. Privacy settings should default to restrictive, no</w:t>
      </w:r>
      <w:r>
        <w:t xml:space="preserve">t permissive. Subscription renewals should require confirmation, not silent auto-continuation. In each case, I-VSD-compliant design prioritizes the user’s genuine interest—even when the user might prefer a more convenient option that ultimately harms them.</w:t>
      </w:r>
      <w:r/>
    </w:p>
    <w:p>
      <w:pPr>
        <w:pStyle w:val="962"/>
        <w:pBdr/>
        <w:spacing/>
        <w:ind/>
        <w:rPr/>
      </w:pPr>
      <w:r>
        <w:t xml:space="preserve">The practical impli</w:t>
      </w:r>
      <w:r>
        <w:t xml:space="preserve">cation is significant: I-VSD-compliant software may receive lower user satisfaction scores than competitors who optimize for pleasure over protection. This represents a deliberate trade-off. The framework holds that building software which genuinely serves</w:t>
      </w:r>
      <w:r>
        <w:t xml:space="preserve"> users—even when they would prefer more convenient options that harm them—constitutes the ethical obligation. Designing for user interest rather than user satisfaction may cost market share, but it preserves both user welfare and developer moral integrity.</w:t>
      </w:r>
      <w:r/>
    </w:p>
    <w:p>
      <w:pPr>
        <w:pStyle w:val="962"/>
        <w:pBdr/>
        <w:spacing/>
        <w:ind/>
        <w:rPr/>
      </w:pPr>
      <w:r>
        <w:t xml:space="preserve">The author-observed Gandi domain-registration example from th</w:t>
      </w:r>
      <w:r>
        <w:t xml:space="preserve">e recovered notes illustrates the ambiguity of defaults in practice. A provider may be broadly value-aligned, privacy-conscious, compliant, and trusted, yet still use a preselected add-on or trial that renews later. The point is not that one author-observe</w:t>
      </w:r>
      <w:r>
        <w:t xml:space="preserve">d questionable default makes the entire organization immoral, nor is this a legal finding about Gandi. It shows that I-VSD compliance is not a binary label. Even comparatively ethical providers can adopt defaults that serve revenue more than user interest.</w:t>
      </w:r>
      <w:r/>
    </w:p>
    <w:p>
      <w:pPr>
        <w:pStyle w:val="962"/>
        <w:pBdr/>
        <w:spacing/>
        <w:ind/>
        <w:rPr/>
      </w:pPr>
      <w:r>
        <w:t xml:space="preserve">This is why defaults deserve repeated review. A preselected add-on, a hidden renewal, a broad permission prompt, or an opt-out analytics setting may be defended as convenient or industry-standard. I-VSD asks a differ</w:t>
      </w:r>
      <w:r>
        <w:t xml:space="preserve">ent question: would a reasonably attentive user understand what they are accepting, why it is selected, what it will cost later, and how to refuse it without friction? If not, the default should be redesigned even when the company is otherwise trustworthy.</w:t>
      </w:r>
      <w:r/>
    </w:p>
    <w:p>
      <w:pPr>
        <w:pBdr/>
        <w:spacing/>
        <w:ind/>
        <w:rPr/>
      </w:pPr>
      <w:r>
        <mc:AlternateContent>
          <mc:Choice Requires="wpg">
            <w:drawing>
              <wp:inline xmlns:wp="http://schemas.openxmlformats.org/drawingml/2006/wordprocessingDrawing" distT="0" distB="0" distL="0" distR="0">
                <wp:extent cx="0" cy="19050"/>
                <wp:effectExtent l="0" t="0" r="0" b="0"/>
                <wp:docPr id="12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2" o:spid="_x0000_s122" o:spt="1" type="#_x0000_t1" style="width:0.00pt;height:1.50pt;mso-wrap-distance-left:0.00pt;mso-wrap-distance-top:0.00pt;mso-wrap-distance-right:0.00pt;mso-wrap-distance-bottom:0.00pt;visibility:visible;" fillcolor="#FFFFFF" strokecolor="#000000"/>
            </w:pict>
          </mc:Fallback>
        </mc:AlternateContent>
      </w:r>
      <w:bookmarkEnd w:id="143"/>
      <w:bookmarkEnd w:id="144"/>
      <w:r/>
    </w:p>
    <w:p>
      <w:pPr>
        <w:pStyle w:val="976"/>
        <w:pBdr/>
        <w:spacing/>
        <w:ind/>
        <w:rPr/>
      </w:pPr>
      <w:r/>
      <w:bookmarkStart w:id="152" w:name="anticipated-objections-and-responses"/>
      <w:r>
        <w:t xml:space="preserve">5.5 Anticipated Objections and Responses</w:t>
      </w:r>
      <w:r/>
    </w:p>
    <w:p>
      <w:pPr>
        <w:pStyle w:val="963"/>
        <w:pBdr/>
        <w:spacing/>
        <w:ind/>
        <w:rPr/>
      </w:pPr>
      <w:r>
        <w:t xml:space="preserve">Any novel framework must engage seriously with potential objections. This section addresses anticipated criticisms of the I-VSD framework and provides reasoned responses.</w:t>
      </w:r>
      <w:r/>
    </w:p>
    <w:p>
      <w:pPr>
        <w:pBdr/>
        <w:spacing/>
        <w:ind/>
        <w:rPr/>
      </w:pPr>
      <w:r>
        <mc:AlternateContent>
          <mc:Choice Requires="wpg">
            <w:drawing>
              <wp:inline xmlns:wp="http://schemas.openxmlformats.org/drawingml/2006/wordprocessingDrawing" distT="0" distB="0" distL="0" distR="0">
                <wp:extent cx="0" cy="19050"/>
                <wp:effectExtent l="0" t="0" r="0" b="0"/>
                <wp:docPr id="12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3" o:spid="_x0000_s123"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45" w:name="Xbeb173d02ef1154eb6718736722fdbd08b3f86c"/>
      <w:r>
        <w:t xml:space="preserve">5.5.1 The Imposition Objection: Religious Framework Forcing Values on Users</w:t>
      </w:r>
      <w:r/>
    </w:p>
    <w:p>
      <w:pPr>
        <w:pStyle w:val="963"/>
        <w:pBdr/>
        <w:spacing/>
        <w:ind/>
        <w:rPr/>
      </w:pPr>
      <w:r>
        <w:rPr>
          <w:b/>
          <w:bCs/>
        </w:rPr>
        <w:t xml:space="preserve">Objection:</w:t>
      </w:r>
      <w:r>
        <w:t xml:space="preserve"> A religiously-grounded framework may impose values on users who do not share those religious commitments. Non-Muslim users of software developed under I-VSD guidance would be subject to Islamic principles they never agreed to accept.</w:t>
      </w:r>
      <w:r/>
    </w:p>
    <w:p>
      <w:pPr>
        <w:pStyle w:val="962"/>
        <w:pBdr/>
        <w:spacing/>
        <w:ind/>
        <w:rPr/>
      </w:pPr>
      <w:r>
        <w:rPr>
          <w:b/>
          <w:bCs/>
        </w:rPr>
        <w:t xml:space="preserve">Response:</w:t>
      </w:r>
      <w:r>
        <w:t xml:space="preserve"> This objection misunderstands the framework’s scope and the nature of the values it promotes. </w:t>
      </w:r>
      <w:r>
        <w:t xml:space="preserve">I-VSD guides organizations that explicitly adopt Islamic principles, not all software development universally. Users choose to engage with services built according to these principles, just as they choose any software with its particular design philosophy.</w:t>
      </w:r>
      <w:r/>
    </w:p>
    <w:p>
      <w:pPr>
        <w:pStyle w:val="962"/>
        <w:pBdr/>
        <w:spacing/>
        <w:ind/>
        <w:rPr/>
      </w:pPr>
      <w:r>
        <w:t xml:space="preserve">Moreover, most I-VSD principles address practices that users of any background would prefer to avoid: deception, privacy violations, manipulation, exploitation. The Islamic groundi</w:t>
      </w:r>
      <w:r>
        <w:t xml:space="preserve">ng provides foundation and motivation for the framework developers; the resulting practices serve users regardless of their personal religious commitments. A user need not be Muslim to prefer honest marketing, transparent pricing, and secure data handling.</w:t>
      </w:r>
      <w:r/>
    </w:p>
    <w:p>
      <w:pPr>
        <w:pStyle w:val="962"/>
        <w:pBdr/>
        <w:spacing/>
        <w:ind/>
        <w:rPr/>
      </w:pPr>
      <w:r>
        <w:t xml:space="preserve">The framework does not mandate Islamic religious practice through software. It mandates ethical business conduct that happens to align with Islamic principles. Users benefit from this conduct without requiring conversion or religious agreement.</w:t>
      </w:r>
      <w:r/>
    </w:p>
    <w:p>
      <w:pPr>
        <w:pBdr/>
        <w:spacing/>
        <w:ind/>
        <w:rPr/>
      </w:pPr>
      <w:r>
        <mc:AlternateContent>
          <mc:Choice Requires="wpg">
            <w:drawing>
              <wp:inline xmlns:wp="http://schemas.openxmlformats.org/drawingml/2006/wordprocessingDrawing" distT="0" distB="0" distL="0" distR="0">
                <wp:extent cx="0" cy="19050"/>
                <wp:effectExtent l="0" t="0" r="0" b="0"/>
                <wp:docPr id="12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4" o:spid="_x0000_s124" o:spt="1" type="#_x0000_t1" style="width:0.00pt;height:1.50pt;mso-wrap-distance-left:0.00pt;mso-wrap-distance-top:0.00pt;mso-wrap-distance-right:0.00pt;mso-wrap-distance-bottom:0.00pt;visibility:visible;" fillcolor="#FFFFFF" strokecolor="#000000"/>
            </w:pict>
          </mc:Fallback>
        </mc:AlternateContent>
      </w:r>
      <w:bookmarkEnd w:id="145"/>
      <w:r/>
    </w:p>
    <w:p>
      <w:pPr>
        <w:pStyle w:val="977"/>
        <w:pBdr/>
        <w:spacing/>
        <w:ind/>
        <w:rPr/>
      </w:pPr>
      <w:r/>
      <w:bookmarkStart w:id="146" w:name="Xfae4df8e9f87864e970e53ce4175d0f932a0ee8"/>
      <w:r>
        <w:t xml:space="preserve">5.5.2 The Jurisprudential Disagreement Objection: Which Interpretation to Follow</w:t>
      </w:r>
      <w:r/>
    </w:p>
    <w:p>
      <w:pPr>
        <w:pStyle w:val="963"/>
        <w:pBdr/>
        <w:spacing/>
        <w:ind/>
        <w:rPr/>
      </w:pPr>
      <w:r>
        <w:rPr>
          <w:b/>
          <w:bCs/>
        </w:rPr>
        <w:t xml:space="preserve">Objection:</w:t>
      </w:r>
      <w:r>
        <w:t xml:space="preserve"> Muslims themselves disagree on specific jurisprudential questions. Islamic scholars hold different positions on many issues. How can a framework claim to represent</w:t>
      </w:r>
      <w:r>
        <w:t xml:space="preserve"> </w:t>
      </w:r>
      <w:r>
        <w:t xml:space="preserve">“Islamic”</w:t>
      </w:r>
      <w:r>
        <w:t xml:space="preserve"> </w:t>
      </w:r>
      <w:r>
        <w:t xml:space="preserve">ethics when Muslims cannot agree on what Islam requires?</w:t>
      </w:r>
      <w:r/>
    </w:p>
    <w:p>
      <w:pPr>
        <w:pStyle w:val="962"/>
        <w:pBdr/>
        <w:spacing/>
        <w:ind/>
        <w:rPr/>
      </w:pPr>
      <w:r>
        <w:rPr>
          <w:b/>
          <w:bCs/>
        </w:rPr>
        <w:t xml:space="preserve">Response:</w:t>
      </w:r>
      <w:r>
        <w:t xml:space="preserve"> This objection correctly identifies genuine diversity within Islamic scholarship. However, it overstates the extent of disagreement and misunderstands how the framework navigates this diversity.</w:t>
      </w:r>
      <w:r/>
    </w:p>
    <w:p>
      <w:pPr>
        <w:pStyle w:val="962"/>
        <w:pBdr/>
        <w:spacing/>
        <w:ind/>
        <w:rPr/>
      </w:pPr>
      <w:r>
        <w:t xml:space="preserve">I-VSD focuses on principles enjoying broad scholarly consensus. The prohibitions against deception, the requirements of trustwo</w:t>
      </w:r>
      <w:r>
        <w:t xml:space="preserve">rthiness and fair dealing, the obligation to fulfill promises—these are not contested within any recognized school of Islamic jurisprudence. Where legitimate scholarly disagreement exists, the framework acknowledges it rather than claiming false certainty.</w:t>
      </w:r>
      <w:r/>
    </w:p>
    <w:p>
      <w:pPr>
        <w:pStyle w:val="962"/>
        <w:pBdr/>
        <w:spacing/>
        <w:ind/>
        <w:rPr/>
      </w:pPr>
      <w:r>
        <w:t xml:space="preserve">For contested issues, I-VSD provides the framework for analysis while acknowledging that different organizations may reach diffe</w:t>
      </w:r>
      <w:r>
        <w:t xml:space="preserve">rent conclusions based on their chosen scholarly authorities. An organization following one madhab (school of jurisprudence) may make different specific decisions than one following another, while both remain within the bounds of legitimate Islamic ethics.</w:t>
      </w:r>
      <w:r/>
    </w:p>
    <w:p>
      <w:pPr>
        <w:pStyle w:val="962"/>
        <w:pBdr/>
        <w:spacing/>
        <w:ind/>
        <w:rPr/>
      </w:pPr>
      <w:r>
        <w:t xml:space="preserve">The existence of internal debate does not invalidate a framework; it requires the framework to be honest about certainty levels. I-VSD makes this distinction explicit.</w:t>
      </w:r>
      <w:r/>
    </w:p>
    <w:p>
      <w:pPr>
        <w:pBdr/>
        <w:spacing/>
        <w:ind/>
        <w:rPr/>
      </w:pPr>
      <w:r>
        <mc:AlternateContent>
          <mc:Choice Requires="wpg">
            <w:drawing>
              <wp:inline xmlns:wp="http://schemas.openxmlformats.org/drawingml/2006/wordprocessingDrawing" distT="0" distB="0" distL="0" distR="0">
                <wp:extent cx="0" cy="19050"/>
                <wp:effectExtent l="0" t="0" r="0" b="0"/>
                <wp:docPr id="12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5" o:spid="_x0000_s125" o:spt="1" type="#_x0000_t1" style="width:0.00pt;height:1.50pt;mso-wrap-distance-left:0.00pt;mso-wrap-distance-top:0.00pt;mso-wrap-distance-right:0.00pt;mso-wrap-distance-bottom:0.00pt;visibility:visible;" fillcolor="#FFFFFF" strokecolor="#000000"/>
            </w:pict>
          </mc:Fallback>
        </mc:AlternateContent>
      </w:r>
      <w:bookmarkEnd w:id="146"/>
      <w:r/>
    </w:p>
    <w:p>
      <w:pPr>
        <w:pStyle w:val="977"/>
        <w:pBdr/>
        <w:spacing/>
        <w:ind/>
        <w:rPr/>
      </w:pPr>
      <w:r/>
      <w:bookmarkStart w:id="147" w:name="X2a0e362fc05914950d8897d443c3403d5435195"/>
      <w:r>
        <w:t xml:space="preserve">5.5.3 The Competitive Viability Objection: Ethical Constraints Are Fatal</w:t>
      </w:r>
      <w:r/>
    </w:p>
    <w:p>
      <w:pPr>
        <w:pStyle w:val="963"/>
        <w:pBdr/>
        <w:spacing/>
        <w:ind/>
        <w:rPr/>
      </w:pPr>
      <w:r>
        <w:rPr>
          <w:b/>
          <w:bCs/>
        </w:rPr>
        <w:t xml:space="preserve">Objection:</w:t>
      </w:r>
      <w:r>
        <w:t xml:space="preserve"> Operating eth</w:t>
      </w:r>
      <w:r>
        <w:t xml:space="preserve">ically in an industry that rewards exploitation creates competitive disadvantage that may become fatal, not merely challenging. Companies following I-VSD will be outcompeted by those willing to use dark patterns, data monetization, and manipulative design.</w:t>
      </w:r>
      <w:r/>
    </w:p>
    <w:p>
      <w:pPr>
        <w:pStyle w:val="962"/>
        <w:pBdr/>
        <w:spacing/>
        <w:ind/>
        <w:rPr/>
      </w:pPr>
      <w:r>
        <w:rPr>
          <w:b/>
          <w:bCs/>
        </w:rPr>
        <w:t xml:space="preserve">Response:</w:t>
      </w:r>
      <w:r>
        <w:t xml:space="preserve"> This objection raises legitimate concerns that warrant serious engagement rather than dismissal.</w:t>
      </w:r>
      <w:r/>
    </w:p>
    <w:p>
      <w:pPr>
        <w:pStyle w:val="962"/>
        <w:pBdr/>
        <w:spacing/>
        <w:ind/>
        <w:rPr/>
      </w:pPr>
      <w:r>
        <w:t xml:space="preserve">First, the objection may be empirically overstated. The Pinterest case study documented in this thesis suggests</w:t>
      </w:r>
      <w:r>
        <w:t xml:space="preserve"> that rejecting engagement-maximizing dark patterns does not preclude business success. Long-term trust may outweigh short-term extraction. Companies that exploit users create opportunities for ethical competitors to capture users seeking better treatment.</w:t>
      </w:r>
      <w:r/>
    </w:p>
    <w:p>
      <w:pPr>
        <w:pStyle w:val="962"/>
        <w:pBdr/>
        <w:spacing/>
        <w:ind/>
        <w:rPr/>
      </w:pPr>
      <w:r>
        <w:t xml:space="preserve">Second, even if the objection were entirely correct, it would not invalidate the framework. I-VSD does not guarantee worldly success. It provides principled guidance for those who prioritize ethical compli</w:t>
      </w:r>
      <w:r>
        <w:t xml:space="preserve">ance over business survival. The framework should not be presented as a guarantee of market success. Its narrower claim is that selected Islamic principles can structure morally accountable software decisions even when the market outcome remains uncertain.</w:t>
      </w:r>
      <w:r/>
    </w:p>
    <w:p>
      <w:pPr>
        <w:pStyle w:val="962"/>
        <w:pBdr/>
        <w:spacing/>
        <w:ind/>
        <w:rPr/>
      </w:pPr>
      <w:r>
        <w:t xml:space="preserve">The Islamic success metrics discussed in Section 5.3 are relevant here. Success is defined by obedience to divine command, not market dominance</w:t>
      </w:r>
      <w:r>
        <w:t xml:space="preserve">. If ethical practice limits growth, this remains a tradeoff that the provider must acknowledge rather than conceal. This keeps the argument analytical: Islamic accountability may require rejecting profitable practices when they conflict with moral duties.</w:t>
      </w:r>
      <w:r/>
    </w:p>
    <w:p>
      <w:pPr>
        <w:pStyle w:val="962"/>
        <w:pBdr/>
        <w:spacing/>
        <w:ind/>
        <w:rPr/>
      </w:pPr>
      <w:r>
        <w:t xml:space="preserve">Third, regulatory trends suggest increasing scrutiny of manipulative practices. GDPR, the Digital Services Act, and similar regulations constrain the most exploitative practices. The</w:t>
      </w:r>
      <w:r>
        <w:t xml:space="preserve"> </w:t>
      </w:r>
      <w:r>
        <w:t xml:space="preserve">“ethical disadvantage”</w:t>
      </w:r>
      <w:r>
        <w:t xml:space="preserve"> </w:t>
      </w:r>
      <w:r>
        <w:t xml:space="preserve">may diminish as societies recognize and restrict manipulation.</w:t>
      </w:r>
      <w:r/>
    </w:p>
    <w:p>
      <w:pPr>
        <w:pBdr/>
        <w:spacing/>
        <w:ind/>
        <w:rPr/>
      </w:pPr>
      <w:r>
        <mc:AlternateContent>
          <mc:Choice Requires="wpg">
            <w:drawing>
              <wp:inline xmlns:wp="http://schemas.openxmlformats.org/drawingml/2006/wordprocessingDrawing" distT="0" distB="0" distL="0" distR="0">
                <wp:extent cx="0" cy="19050"/>
                <wp:effectExtent l="0" t="0" r="0" b="0"/>
                <wp:docPr id="12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6" o:spid="_x0000_s126" o:spt="1" type="#_x0000_t1" style="width:0.00pt;height:1.50pt;mso-wrap-distance-left:0.00pt;mso-wrap-distance-top:0.00pt;mso-wrap-distance-right:0.00pt;mso-wrap-distance-bottom:0.00pt;visibility:visible;" fillcolor="#FFFFFF" strokecolor="#000000"/>
            </w:pict>
          </mc:Fallback>
        </mc:AlternateContent>
      </w:r>
      <w:bookmarkEnd w:id="147"/>
      <w:r/>
    </w:p>
    <w:p>
      <w:pPr>
        <w:pStyle w:val="977"/>
        <w:pBdr/>
        <w:spacing/>
        <w:ind/>
        <w:rPr/>
      </w:pPr>
      <w:r/>
      <w:bookmarkStart w:id="148" w:name="Xe5568bd323bf5497dbc5fcee8b70f6351071929"/>
      <w:r>
        <w:t xml:space="preserve">5.5.4 The Abstraction Objection: Framework Too Theoretical for Practitioners</w:t>
      </w:r>
      <w:r/>
    </w:p>
    <w:p>
      <w:pPr>
        <w:pStyle w:val="963"/>
        <w:pBdr/>
        <w:spacing/>
        <w:ind/>
        <w:rPr/>
      </w:pPr>
      <w:r>
        <w:rPr>
          <w:b/>
          <w:bCs/>
        </w:rPr>
        <w:t xml:space="preserve">Objection:</w:t>
      </w:r>
      <w:r>
        <w:t xml:space="preserve"> The framework may be too abstract for non-expert practitioners. Software developers without deep Islamic scholarship background cannot reliably apply these principles. The gap between abstract principle and concrete implementation remains too wide.</w:t>
      </w:r>
      <w:r/>
    </w:p>
    <w:p>
      <w:pPr>
        <w:pStyle w:val="962"/>
        <w:pBdr/>
        <w:spacing/>
        <w:ind/>
        <w:rPr/>
      </w:pPr>
      <w:r>
        <w:rPr>
          <w:b/>
          <w:bCs/>
        </w:rPr>
        <w:t xml:space="preserve">Response:</w:t>
      </w:r>
      <w:r>
        <w:t xml:space="preserve"> This objection identifies a genuine challenge that the heuristic system specifically addresses.</w:t>
      </w:r>
      <w:r/>
    </w:p>
    <w:p>
      <w:pPr>
        <w:pStyle w:val="962"/>
        <w:pBdr/>
        <w:spacing/>
        <w:ind/>
        <w:rPr/>
      </w:pPr>
      <w:r>
        <w:t xml:space="preserve">Abstract principles are translated into specific, actionable heuristics throughout Chapter 3 and the appendices. A developer need not understand the full jurisprudential derivation of privacy requirements to implement the heuristic</w:t>
      </w:r>
      <w:r>
        <w:t xml:space="preserve"> </w:t>
      </w:r>
      <w:r>
        <w:t xml:space="preserve">“collect only data necessary for stated functionality.”</w:t>
      </w:r>
      <w:r>
        <w:t xml:space="preserve"> </w:t>
      </w:r>
      <w:r>
        <w:t xml:space="preserve">The heuristics provide concrete guidance derived from principles but applicable without requiring principle-level reasoning for each decision.</w:t>
      </w:r>
      <w:r/>
    </w:p>
    <w:p>
      <w:pPr>
        <w:pStyle w:val="962"/>
        <w:pBdr/>
        <w:spacing/>
        <w:ind/>
        <w:rPr/>
      </w:pPr>
      <w:r>
        <w:t xml:space="preserve">However, the objection correctly identifies that more work is needed. Tooling, checklists</w:t>
      </w:r>
      <w:r>
        <w:t xml:space="preserve">, training materials, and community resources would make I-VSD more accessible. This represents a direction for future development rather than a fatal flaw in the framework itself. Every framework begins more abstract than its eventual application becomes.</w:t>
      </w:r>
      <w:r/>
    </w:p>
    <w:p>
      <w:pPr>
        <w:pStyle w:val="962"/>
        <w:pBdr/>
        <w:spacing/>
        <w:ind/>
        <w:rPr/>
      </w:pPr>
      <w:r>
        <w:t xml:space="preserve">Organizations </w:t>
      </w:r>
      <w:r>
        <w:t xml:space="preserve">adopting I-VSD should invest in training and, where possible, engage practitioners with relevant expertise. The framework does not claim that any developer can apply it without preparation; it claims that prepared practitioners can apply it systematically.</w:t>
      </w:r>
      <w:r/>
    </w:p>
    <w:p>
      <w:pPr>
        <w:pBdr/>
        <w:spacing/>
        <w:ind/>
        <w:rPr/>
      </w:pPr>
      <w:r>
        <mc:AlternateContent>
          <mc:Choice Requires="wpg">
            <w:drawing>
              <wp:inline xmlns:wp="http://schemas.openxmlformats.org/drawingml/2006/wordprocessingDrawing" distT="0" distB="0" distL="0" distR="0">
                <wp:extent cx="0" cy="19050"/>
                <wp:effectExtent l="0" t="0" r="0" b="0"/>
                <wp:docPr id="12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7" o:spid="_x0000_s127" o:spt="1" type="#_x0000_t1" style="width:0.00pt;height:1.50pt;mso-wrap-distance-left:0.00pt;mso-wrap-distance-top:0.00pt;mso-wrap-distance-right:0.00pt;mso-wrap-distance-bottom:0.00pt;visibility:visible;" fillcolor="#FFFFFF" strokecolor="#000000"/>
            </w:pict>
          </mc:Fallback>
        </mc:AlternateContent>
      </w:r>
      <w:bookmarkEnd w:id="148"/>
      <w:r/>
    </w:p>
    <w:p>
      <w:pPr>
        <w:pStyle w:val="977"/>
        <w:pBdr/>
        <w:spacing/>
        <w:ind/>
        <w:rPr/>
      </w:pPr>
      <w:r/>
      <w:bookmarkStart w:id="149" w:name="X8476ee07af6afd5188c2c30774b2b03dac8bcaf"/>
      <w:r>
        <w:t xml:space="preserve">5.5.5 The Secular Alternative Objection: Religious Grounding Unnecessary</w:t>
      </w:r>
      <w:r/>
    </w:p>
    <w:p>
      <w:pPr>
        <w:pStyle w:val="963"/>
        <w:pBdr/>
        <w:spacing/>
        <w:ind/>
        <w:rPr/>
      </w:pPr>
      <w:r>
        <w:rPr>
          <w:b/>
          <w:bCs/>
        </w:rPr>
        <w:t xml:space="preserve">Objection:</w:t>
      </w:r>
      <w:r>
        <w:t xml:space="preserve"> Secular ethics frameworks may be equally useful without religious grounding. ACM codes, IEEE ethics, and VSD itself provide guidance without requiring religious commitment. Why add religious complexity when secular frameworks already exist?</w:t>
      </w:r>
      <w:r/>
    </w:p>
    <w:p>
      <w:pPr>
        <w:pStyle w:val="962"/>
        <w:pBdr/>
        <w:spacing/>
        <w:ind/>
        <w:rPr/>
      </w:pPr>
      <w:r>
        <w:rPr>
          <w:b/>
          <w:bCs/>
        </w:rPr>
        <w:t xml:space="preserve">Response:</w:t>
      </w:r>
      <w:r>
        <w:t xml:space="preserve"> Secular frameworks provide valuable guidance and I-VSD does not claim they are worthless. For practitioners without religious commitments, secular frameworks may indeed be sufficient.</w:t>
      </w:r>
      <w:r/>
    </w:p>
    <w:p>
      <w:pPr>
        <w:pStyle w:val="962"/>
        <w:pBdr/>
        <w:spacing/>
        <w:ind/>
        <w:rPr/>
      </w:pPr>
      <w:r>
        <w:t xml:space="preserve">For Muslim practitioners, however, secular frameworks lack crucial elements. They do not c</w:t>
      </w:r>
      <w:r>
        <w:t xml:space="preserve">onnect professional practice to spiritual significance. They cannot resolve the cognitive dissonance that arises when faith-based ethics and professional practice conflict. They do not provide the motivational foundation that religious commitment supplies.</w:t>
      </w:r>
      <w:r/>
    </w:p>
    <w:p>
      <w:pPr>
        <w:pStyle w:val="962"/>
        <w:pBdr/>
        <w:spacing/>
        <w:ind/>
        <w:rPr/>
      </w:pPr>
      <w:r>
        <w:t xml:space="preserve">The question</w:t>
      </w:r>
      <w:r>
        <w:t xml:space="preserve"> </w:t>
      </w:r>
      <w:r>
        <w:t xml:space="preserve">“why should I be ethical when exploitation is profitable?”</w:t>
      </w:r>
      <w:r>
        <w:t xml:space="preserve"> </w:t>
      </w:r>
      <w:r>
        <w:t xml:space="preserve">has a clear Islamic answer: because Allah commands it, because the Prophet exemplified it, because eternal consequences outweigh temporal gains. Secular frameworks may struggle to provide equivalently compelling answers.</w:t>
      </w:r>
      <w:r/>
    </w:p>
    <w:p>
      <w:pPr>
        <w:pStyle w:val="962"/>
        <w:pBdr/>
        <w:spacing/>
        <w:ind/>
        <w:rPr/>
      </w:pPr>
      <w:r>
        <w:t xml:space="preserve">Furthermore, Islamic foundations provide principled basis for decisions that secular frameworks leave to stakeholder negotiation. When stakeholders</w:t>
      </w:r>
      <w:r>
        <w:t xml:space="preserve"> prefer manipulation (because it increases engagement metrics), secular frameworks that ground values in stakeholder preference provide weak resistance. Islamic foundations establish that some values are non-negotiable regardless of stakeholder preference.</w:t>
      </w:r>
      <w:r/>
    </w:p>
    <w:p>
      <w:pPr>
        <w:pStyle w:val="962"/>
        <w:pBdr/>
        <w:spacing/>
        <w:ind/>
        <w:rPr/>
      </w:pPr>
      <w:r>
        <w:t xml:space="preserve">I-VSD is not proposed as replacement for secular frameworks but as complement for practitioners whose deepest commitments are religious.</w:t>
      </w:r>
      <w:r/>
    </w:p>
    <w:p>
      <w:pPr>
        <w:pBdr/>
        <w:spacing/>
        <w:ind/>
        <w:rPr/>
      </w:pPr>
      <w:r>
        <mc:AlternateContent>
          <mc:Choice Requires="wpg">
            <w:drawing>
              <wp:inline xmlns:wp="http://schemas.openxmlformats.org/drawingml/2006/wordprocessingDrawing" distT="0" distB="0" distL="0" distR="0">
                <wp:extent cx="0" cy="19050"/>
                <wp:effectExtent l="0" t="0" r="0" b="0"/>
                <wp:docPr id="12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8" o:spid="_x0000_s128" o:spt="1" type="#_x0000_t1" style="width:0.00pt;height:1.50pt;mso-wrap-distance-left:0.00pt;mso-wrap-distance-top:0.00pt;mso-wrap-distance-right:0.00pt;mso-wrap-distance-bottom:0.00pt;visibility:visible;" fillcolor="#FFFFFF" strokecolor="#000000"/>
            </w:pict>
          </mc:Fallback>
        </mc:AlternateContent>
      </w:r>
      <w:bookmarkEnd w:id="149"/>
      <w:r/>
    </w:p>
    <w:p>
      <w:pPr>
        <w:pStyle w:val="977"/>
        <w:pBdr/>
        <w:spacing/>
        <w:ind/>
        <w:rPr/>
      </w:pPr>
      <w:r/>
      <w:bookmarkStart w:id="150" w:name="X99993d229ba58a35b663f5ba71897bfd6c126cf"/>
      <w:r>
        <w:t xml:space="preserve">5.5.6 The Single Case Limitation: Limited Evidence</w:t>
      </w:r>
      <w:r/>
    </w:p>
    <w:p>
      <w:pPr>
        <w:pStyle w:val="963"/>
        <w:pBdr/>
        <w:spacing/>
        <w:ind/>
        <w:rPr/>
      </w:pPr>
      <w:r>
        <w:rPr>
          <w:b/>
          <w:bCs/>
        </w:rPr>
        <w:t xml:space="preserve">Objection:</w:t>
      </w:r>
      <w:r>
        <w:t xml:space="preserve"> A single self-applied case study gives weak evidence. A stronger study would require independent application across multiple organizations, domains, and implementation contexts.</w:t>
      </w:r>
      <w:r/>
    </w:p>
    <w:p>
      <w:pPr>
        <w:pStyle w:val="962"/>
        <w:pBdr/>
        <w:spacing/>
        <w:ind/>
        <w:rPr/>
      </w:pPr>
      <w:r>
        <w:rPr>
          <w:b/>
          <w:bCs/>
        </w:rPr>
        <w:t xml:space="preserve">Response:</w:t>
      </w:r>
      <w:r>
        <w:t xml:space="preserve"> This objection is substantially correct. The ISLAMU Event case provides one worked application and</w:t>
      </w:r>
      <w:r>
        <w:t xml:space="preserve"> implementation-traceability evidence, not broad empirical support for the framework. The self-referential nature of the case is a real limitation because Amir is both the thesis author and the founder/solo developer applying the framework to ISLAMU Event.</w:t>
      </w:r>
      <w:r/>
    </w:p>
    <w:p>
      <w:pPr>
        <w:pStyle w:val="962"/>
        <w:pBdr/>
        <w:spacing/>
        <w:ind/>
        <w:rPr/>
      </w:pPr>
      <w:r>
        <w:t xml:space="preserve">This limitation reflects the scope constraints of a bachelor thesis rather than a fatal flaw in the framework. The positionality should be disclosed rather than hidden: founder involvement can make design reasoning and motivation visible, but it</w:t>
      </w:r>
      <w:r>
        <w:t xml:space="preserve"> also creates risks of self-justification, founder optimism, and marketing bias. Stronger future evidence would require independent practitioner use, multiple case studies, stakeholder evaluation, comparative analysis, audits, and longitudinal observation.</w:t>
      </w:r>
      <w:r/>
    </w:p>
    <w:p>
      <w:pPr>
        <w:pStyle w:val="962"/>
        <w:pBdr/>
        <w:spacing/>
        <w:ind/>
        <w:rPr/>
      </w:pPr>
      <w:r>
        <w:t xml:space="preserve">The responsible conclusion is that the case illustra</w:t>
      </w:r>
      <w:r>
        <w:t xml:space="preserve">tes how I-VSD can structure design reasoning in one provider-mediated software solution. It does not show that the framework works equally well in every organization, that its guidance is always optimal, or that users will experience the intended benefits.</w:t>
      </w:r>
      <w:r/>
    </w:p>
    <w:p>
      <w:pPr>
        <w:pBdr/>
        <w:spacing/>
        <w:ind/>
        <w:rPr/>
      </w:pPr>
      <w:r>
        <mc:AlternateContent>
          <mc:Choice Requires="wpg">
            <w:drawing>
              <wp:inline xmlns:wp="http://schemas.openxmlformats.org/drawingml/2006/wordprocessingDrawing" distT="0" distB="0" distL="0" distR="0">
                <wp:extent cx="0" cy="19050"/>
                <wp:effectExtent l="0" t="0" r="0" b="0"/>
                <wp:docPr id="13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9" o:spid="_x0000_s129" o:spt="1" type="#_x0000_t1" style="width:0.00pt;height:1.50pt;mso-wrap-distance-left:0.00pt;mso-wrap-distance-top:0.00pt;mso-wrap-distance-right:0.00pt;mso-wrap-distance-bottom:0.00pt;visibility:visible;" fillcolor="#FFFFFF" strokecolor="#000000"/>
            </w:pict>
          </mc:Fallback>
        </mc:AlternateContent>
      </w:r>
      <w:bookmarkEnd w:id="150"/>
      <w:r/>
    </w:p>
    <w:p>
      <w:pPr>
        <w:pStyle w:val="977"/>
        <w:pBdr/>
        <w:spacing/>
        <w:ind/>
        <w:rPr/>
      </w:pPr>
      <w:r/>
      <w:bookmarkStart w:id="151" w:name="X9ec99279c5ccc8d53fb6b064bd95e2aecbb893e"/>
      <w:r>
        <w:t xml:space="preserve">5.5.7 The Technology Neutrality Objection: Software Is Value-Free</w:t>
      </w:r>
      <w:r/>
    </w:p>
    <w:p>
      <w:pPr>
        <w:pStyle w:val="963"/>
        <w:pBdr/>
        <w:spacing/>
        <w:ind/>
        <w:rPr/>
      </w:pPr>
      <w:r>
        <w:rPr>
          <w:b/>
          <w:bCs/>
        </w:rPr>
        <w:t xml:space="preserve">Objection:</w:t>
      </w:r>
      <w:r>
        <w:t xml:space="preserve"> Technology is neutral—it is merely a tool. Values should not be embedded in software development. A truly professional approach is secular and value-free, serving all users without imposing any particular worldview.</w:t>
      </w:r>
      <w:r/>
    </w:p>
    <w:p>
      <w:pPr>
        <w:pStyle w:val="962"/>
        <w:pBdr/>
        <w:spacing/>
        <w:ind/>
        <w:rPr/>
      </w:pPr>
      <w:r>
        <w:rPr>
          <w:b/>
          <w:bCs/>
        </w:rPr>
        <w:t xml:space="preserve">Response:</w:t>
      </w:r>
      <w:r>
        <w:t xml:space="preserve"> This objection rests on a demonstrably false premise. Technology is never neutral; it always embodies the values of its creators.</w:t>
      </w:r>
      <w:r/>
    </w:p>
    <w:p>
      <w:pPr>
        <w:pStyle w:val="962"/>
        <w:pBdr/>
        <w:spacing/>
        <w:ind/>
        <w:rPr/>
      </w:pPr>
      <w:r>
        <w:rPr>
          <w:b/>
          <w:bCs/>
        </w:rPr>
        <w:t xml:space="preserve">The Myth of Neutrality:</w:t>
      </w:r>
      <w:r/>
    </w:p>
    <w:p>
      <w:pPr>
        <w:pStyle w:val="962"/>
        <w:pBdr/>
        <w:spacing/>
        <w:ind/>
        <w:rPr/>
      </w:pPr>
      <w:r>
        <w:t xml:space="preserve">The claim</w:t>
      </w:r>
      <w:r>
        <w:t xml:space="preserve"> </w:t>
      </w:r>
      <w:r>
        <w:t xml:space="preserve">“I’m not religious, I’m neutral”</w:t>
      </w:r>
      <w:r>
        <w:t xml:space="preserve"> </w:t>
      </w:r>
      <w:r>
        <w:t xml:space="preserve">or</w:t>
      </w:r>
      <w:r>
        <w:t xml:space="preserve"> </w:t>
      </w:r>
      <w:r>
        <w:t xml:space="preserve">“technology is value-free”</w:t>
      </w:r>
      <w:r>
        <w:t xml:space="preserve"> </w:t>
      </w:r>
      <w:r>
        <w:t xml:space="preserve">is itself a value position. Those who make this claim have typically adopted a particular worldview—often materialistic, often rooted in post-Enlightenment Western philosophical assumptions—and mistake it for universal neutrality.</w:t>
      </w:r>
      <w:r/>
    </w:p>
    <w:p>
      <w:pPr>
        <w:pStyle w:val="962"/>
        <w:pBdr/>
        <w:spacing/>
        <w:ind/>
        <w:rPr/>
      </w:pPr>
      <w:r>
        <w:t xml:space="preserve">Consider the dominant values embedded in contemporary software development:</w:t>
      </w:r>
      <w:r/>
    </w:p>
    <w:tbl>
      <w:tblPr>
        <w:tblStyle w:val="996"/>
        <w:tblW w:w="5000" w:type="pct"/>
        <w:tblBorders/>
        <w:tblLayout w:type="fixed"/>
        <w:tblLook w:val="0020" w:firstRow="1" w:lastRow="0" w:firstColumn="0" w:lastColumn="0" w:noHBand="0" w:noVBand="0"/>
      </w:tblPr>
      <w:tblGrid>
        <w:gridCol w:w="3960"/>
        <w:gridCol w:w="3960"/>
      </w:tblGrid>
      <w:tr>
        <w:trPr>
          <w:tblHeader/>
        </w:trPr>
        <w:tc>
          <w:tcPr>
            <w:tcBorders/>
          </w:tcPr>
          <w:p>
            <w:pPr>
              <w:pStyle w:val="964"/>
              <w:pBdr/>
              <w:spacing/>
              <w:ind/>
              <w:rPr/>
            </w:pPr>
            <w:r>
              <w:t xml:space="preserve">Hidden Value Assumption</w:t>
            </w:r>
            <w:r/>
          </w:p>
        </w:tc>
        <w:tc>
          <w:tcPr>
            <w:tcBorders/>
          </w:tcPr>
          <w:p>
            <w:pPr>
              <w:pStyle w:val="964"/>
              <w:pBdr/>
              <w:spacing/>
              <w:ind/>
              <w:rPr/>
            </w:pPr>
            <w:r>
              <w:t xml:space="preserve">Manifestation in Software</w:t>
            </w:r>
            <w:r/>
          </w:p>
        </w:tc>
      </w:tr>
      <w:tr>
        <w:trPr/>
        <w:tc>
          <w:tcPr>
            <w:tcBorders/>
          </w:tcPr>
          <w:p>
            <w:pPr>
              <w:pStyle w:val="964"/>
              <w:pBdr/>
              <w:spacing/>
              <w:ind/>
              <w:rPr/>
            </w:pPr>
            <w:r>
              <w:t xml:space="preserve">Growth is inherently good</w:t>
            </w:r>
            <w:r/>
          </w:p>
        </w:tc>
        <w:tc>
          <w:tcPr>
            <w:tcBorders/>
          </w:tcPr>
          <w:p>
            <w:pPr>
              <w:pStyle w:val="964"/>
              <w:pBdr/>
              <w:spacing/>
              <w:ind/>
              <w:rPr/>
            </w:pPr>
            <w:r>
              <w:t xml:space="preserve">Engagement maximization, virality metrics</w:t>
            </w:r>
            <w:r/>
          </w:p>
        </w:tc>
      </w:tr>
      <w:tr>
        <w:trPr/>
        <w:tc>
          <w:tcPr>
            <w:tcBorders/>
          </w:tcPr>
          <w:p>
            <w:pPr>
              <w:pStyle w:val="964"/>
              <w:pBdr/>
              <w:spacing/>
              <w:ind/>
              <w:rPr/>
            </w:pPr>
            <w:r>
              <w:t xml:space="preserve">Users are resources to exploit</w:t>
            </w:r>
            <w:r/>
          </w:p>
        </w:tc>
        <w:tc>
          <w:tcPr>
            <w:tcBorders/>
          </w:tcPr>
          <w:p>
            <w:pPr>
              <w:pStyle w:val="964"/>
              <w:pBdr/>
              <w:spacing/>
              <w:ind/>
              <w:rPr/>
            </w:pPr>
            <w:r>
              <w:t xml:space="preserve">Ad-based models, data harvesting</w:t>
            </w:r>
            <w:r/>
          </w:p>
        </w:tc>
      </w:tr>
      <w:tr>
        <w:trPr/>
        <w:tc>
          <w:tcPr>
            <w:tcBorders/>
          </w:tcPr>
          <w:p>
            <w:pPr>
              <w:pStyle w:val="964"/>
              <w:pBdr/>
              <w:spacing/>
              <w:ind/>
              <w:rPr/>
            </w:pPr>
            <w:r>
              <w:t xml:space="preserve">Competition is natural and desirable</w:t>
            </w:r>
            <w:r/>
          </w:p>
        </w:tc>
        <w:tc>
          <w:tcPr>
            <w:tcBorders/>
          </w:tcPr>
          <w:p>
            <w:pPr>
              <w:pStyle w:val="964"/>
              <w:pBdr/>
              <w:spacing/>
              <w:ind/>
              <w:rPr/>
            </w:pPr>
            <w:r>
              <w:t xml:space="preserve">“Move fast and break things”</w:t>
            </w:r>
            <w:r>
              <w:t xml:space="preserve"> </w:t>
            </w:r>
            <w:r>
              <w:t xml:space="preserve">culture</w:t>
            </w:r>
            <w:r/>
          </w:p>
        </w:tc>
      </w:tr>
      <w:tr>
        <w:trPr/>
        <w:tc>
          <w:tcPr>
            <w:tcBorders/>
          </w:tcPr>
          <w:p>
            <w:pPr>
              <w:pStyle w:val="964"/>
              <w:pBdr/>
              <w:spacing/>
              <w:ind/>
              <w:rPr/>
            </w:pPr>
            <w:r>
              <w:t xml:space="preserve">Profit justifies means</w:t>
            </w:r>
            <w:r/>
          </w:p>
        </w:tc>
        <w:tc>
          <w:tcPr>
            <w:tcBorders/>
          </w:tcPr>
          <w:p>
            <w:pPr>
              <w:pStyle w:val="964"/>
              <w:pBdr/>
              <w:spacing/>
              <w:ind/>
              <w:rPr/>
            </w:pPr>
            <w:r>
              <w:t xml:space="preserve">Dark patterns, manipulation</w:t>
            </w:r>
            <w:r/>
          </w:p>
        </w:tc>
      </w:tr>
      <w:tr>
        <w:trPr/>
        <w:tc>
          <w:tcPr>
            <w:tcBorders/>
          </w:tcPr>
          <w:p>
            <w:pPr>
              <w:pStyle w:val="964"/>
              <w:pBdr/>
              <w:spacing/>
              <w:ind/>
              <w:rPr/>
            </w:pPr>
            <w:r>
              <w:t xml:space="preserve">Individual success over collective welfare</w:t>
            </w:r>
            <w:r/>
          </w:p>
        </w:tc>
        <w:tc>
          <w:tcPr>
            <w:tcBorders/>
          </w:tcPr>
          <w:p>
            <w:pPr>
              <w:pStyle w:val="964"/>
              <w:pBdr/>
              <w:spacing/>
              <w:ind/>
              <w:rPr/>
            </w:pPr>
            <w:r>
              <w:t xml:space="preserve">Winner-take-all platform dynamics</w:t>
            </w:r>
            <w:r/>
          </w:p>
        </w:tc>
      </w:tr>
    </w:tbl>
    <w:p>
      <w:pPr>
        <w:pStyle w:val="962"/>
        <w:pBdr/>
        <w:spacing/>
        <w:ind/>
        <w:rPr/>
      </w:pPr>
      <w:r>
        <w:t xml:space="preserve">These values are not neutral—they reflect specific philosophical assumptions about human nature, economics, and ethics. The software industry’s dominant paradigm descends intellectually from Social Darwinism’s</w:t>
      </w:r>
      <w:r>
        <w:t xml:space="preserve"> </w:t>
      </w:r>
      <w:r>
        <w:t xml:space="preserve">“survival of the fittest”</w:t>
      </w:r>
      <w:r>
        <w:t xml:space="preserve"> </w:t>
      </w:r>
      <w:r>
        <w:t xml:space="preserve">applied to business, utilitarian ethics that justify harm for aggregate benefit, and materialistic worldviews that deny spiritual dimensions of human welfare.</w:t>
      </w:r>
      <w:r/>
    </w:p>
    <w:p>
      <w:pPr>
        <w:pStyle w:val="962"/>
        <w:pBdr/>
        <w:spacing/>
        <w:ind/>
        <w:rPr/>
      </w:pPr>
      <w:r>
        <w:rPr>
          <w:b/>
          <w:bCs/>
        </w:rPr>
        <w:t xml:space="preserve">The Historical Context:</w:t>
      </w:r>
      <w:r/>
    </w:p>
    <w:p>
      <w:pPr>
        <w:pStyle w:val="962"/>
        <w:pBdr/>
        <w:spacing/>
        <w:ind/>
        <w:rPr/>
      </w:pPr>
      <w:r>
        <w:t xml:space="preserve">The id</w:t>
      </w:r>
      <w:r>
        <w:t xml:space="preserve">ea that knowledge should be disconnected from morality has a specific intellectual history. Historically, moral instruction was inseparable from education. The modern separation emerged from particular philosophical movements, not from objective necessity.</w:t>
      </w:r>
      <w:r/>
    </w:p>
    <w:p>
      <w:pPr>
        <w:pStyle w:val="962"/>
        <w:pBdr/>
        <w:spacing/>
        <w:ind/>
        <w:rPr/>
      </w:pPr>
      <w:r>
        <w:t xml:space="preserve">When someone claims</w:t>
      </w:r>
      <w:r>
        <w:t xml:space="preserve"> </w:t>
      </w:r>
      <w:r>
        <w:t xml:space="preserve">“I don’t bring religion into my work,”</w:t>
      </w:r>
      <w:r>
        <w:t xml:space="preserve"> </w:t>
      </w:r>
      <w:r>
        <w:t xml:space="preserve">they typica</w:t>
      </w:r>
      <w:r>
        <w:t xml:space="preserve">lly bring an alternative value system instead—one that may be less explicit and therefore less accountable. The I-VSD framework makes its value foundations explicit, which is more intellectually honest than implicit value embedding disguised as neutrality.</w:t>
      </w:r>
      <w:r/>
    </w:p>
    <w:p>
      <w:pPr>
        <w:pStyle w:val="962"/>
        <w:pBdr/>
        <w:spacing/>
        <w:ind/>
        <w:rPr/>
      </w:pPr>
      <w:r>
        <w:rPr>
          <w:b/>
          <w:bCs/>
        </w:rPr>
        <w:t xml:space="preserve">The Unavoidable Choice:</w:t>
      </w:r>
      <w:r/>
    </w:p>
    <w:p>
      <w:pPr>
        <w:pStyle w:val="962"/>
        <w:pBdr/>
        <w:spacing/>
        <w:ind/>
        <w:rPr/>
      </w:pPr>
      <w:r>
        <w:t xml:space="preserve">Software developers face value-laden decisions con</w:t>
      </w:r>
      <w:r>
        <w:t xml:space="preserve">stantly: What data to collect? How to handle user attention? What defaults to set? How to structure incentives? Each choice embodies values. The question is not whether to embed values, but which values to embed—and whether to be explicit about the choice.</w:t>
      </w:r>
      <w:r/>
    </w:p>
    <w:p>
      <w:pPr>
        <w:pStyle w:val="962"/>
        <w:pBdr/>
        <w:spacing/>
        <w:ind/>
        <w:rPr/>
      </w:pPr>
      <w:r>
        <w:t xml:space="preserve">I-VSD advocates for explicit value embedding based on Islamic principles. This </w:t>
      </w:r>
      <w:r>
        <w:t xml:space="preserve">is more transparent than claiming neutrality while implicitly embedding materialistic, exploitative values. The framework provides practitioners with a conscious alternative to the unconscious adoption of industry norms that have produced documented harms.</w:t>
      </w:r>
      <w:r/>
    </w:p>
    <w:p>
      <w:pPr>
        <w:pBdr/>
        <w:spacing/>
        <w:ind/>
        <w:rPr/>
      </w:pPr>
      <w:r>
        <mc:AlternateContent>
          <mc:Choice Requires="wpg">
            <w:drawing>
              <wp:inline xmlns:wp="http://schemas.openxmlformats.org/drawingml/2006/wordprocessingDrawing" distT="0" distB="0" distL="0" distR="0">
                <wp:extent cx="0" cy="19050"/>
                <wp:effectExtent l="0" t="0" r="0" b="0"/>
                <wp:docPr id="13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0" o:spid="_x0000_s130" o:spt="1" type="#_x0000_t1" style="width:0.00pt;height:1.50pt;mso-wrap-distance-left:0.00pt;mso-wrap-distance-top:0.00pt;mso-wrap-distance-right:0.00pt;mso-wrap-distance-bottom:0.00pt;visibility:visible;" fillcolor="#FFFFFF" strokecolor="#000000"/>
            </w:pict>
          </mc:Fallback>
        </mc:AlternateContent>
      </w:r>
      <w:bookmarkEnd w:id="151"/>
      <w:bookmarkEnd w:id="152"/>
      <w:bookmarkEnd w:id="153"/>
      <w:r/>
    </w:p>
    <w:p>
      <w:pPr>
        <w:pStyle w:val="975"/>
        <w:pBdr/>
        <w:spacing/>
        <w:ind/>
        <w:rPr/>
      </w:pPr>
      <w:r/>
      <w:bookmarkStart w:id="167" w:name="conclusion"/>
      <w:r>
        <w:t xml:space="preserve">6. Conclusion</w:t>
      </w:r>
      <w:r/>
    </w:p>
    <w:p>
      <w:pPr>
        <w:pStyle w:val="963"/>
        <w:pBdr/>
        <w:spacing/>
        <w:ind/>
        <w:rPr/>
      </w:pPr>
      <w:r>
        <w:t xml:space="preserve">This chapter synthesizes the thesis findings, answers the main research question, and provides recommendations for future work.</w:t>
      </w:r>
      <w:r/>
    </w:p>
    <w:p>
      <w:pPr>
        <w:pBdr/>
        <w:spacing/>
        <w:ind/>
        <w:rPr/>
      </w:pPr>
      <w:r>
        <mc:AlternateContent>
          <mc:Choice Requires="wpg">
            <w:drawing>
              <wp:inline xmlns:wp="http://schemas.openxmlformats.org/drawingml/2006/wordprocessingDrawing" distT="0" distB="0" distL="0" distR="0">
                <wp:extent cx="0" cy="19050"/>
                <wp:effectExtent l="0" t="0" r="0" b="0"/>
                <wp:docPr id="13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1" o:spid="_x0000_s131"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159" w:name="answering-the-main-research-question"/>
      <w:r>
        <w:t xml:space="preserve">6.1 Answering the Main Research Question</w:t>
      </w:r>
      <w:r/>
    </w:p>
    <w:p>
      <w:pPr>
        <w:pStyle w:val="963"/>
        <w:pBdr/>
        <w:spacing/>
        <w:ind/>
        <w:rPr/>
      </w:pPr>
      <w:r>
        <w:t xml:space="preserve">The revised main research question asks:</w:t>
      </w:r>
      <w:r/>
    </w:p>
    <w:p>
      <w:pPr>
        <w:pStyle w:val="962"/>
        <w:pBdr/>
        <w:spacing/>
        <w:ind/>
        <w:rPr/>
      </w:pPr>
      <w:r>
        <w:rPr>
          <w:b/>
          <w:bCs/>
        </w:rPr>
        <w:t xml:space="preserve">“How can selected Islamic ethical principles be translated into a reusable Value-Sensitive Design framework for provider-mediated software solutions, and how can this framework structure ethical design decisions in the case of ISLAMU Event?”</w:t>
      </w:r>
      <w:r/>
    </w:p>
    <w:p>
      <w:pPr>
        <w:pStyle w:val="962"/>
        <w:pBdr/>
        <w:spacing/>
        <w:ind/>
        <w:rPr/>
      </w:pPr>
      <w:r>
        <w:t xml:space="preserve">This thesis answers by proposing I-VSD as a constr</w:t>
      </w:r>
      <w:r>
        <w:t xml:space="preserve">uctive framework: selected Sunni Islamic ethical principles are translated into design heuristics, mapped across strategic, design, technical, operational, governance, and evaluation domains, and then applied to ISLAMU Event as one illustrative case. The c</w:t>
      </w:r>
      <w:r>
        <w:t xml:space="preserve">ase is self-applied by Amir as founder of ISLAMU and solo developer of ISLAMU Event, so it is best understood as transparent implementation-traceability evidence and a worked application, not a claim of complete empirical support or independent validation.</w:t>
      </w:r>
      <w:r/>
    </w:p>
    <w:p>
      <w:pPr>
        <w:pBdr/>
        <w:spacing/>
        <w:ind/>
        <w:rPr/>
      </w:pPr>
      <w:r>
        <mc:AlternateContent>
          <mc:Choice Requires="wpg">
            <w:drawing>
              <wp:inline xmlns:wp="http://schemas.openxmlformats.org/drawingml/2006/wordprocessingDrawing" distT="0" distB="0" distL="0" distR="0">
                <wp:extent cx="0" cy="19050"/>
                <wp:effectExtent l="0" t="0" r="0" b="0"/>
                <wp:docPr id="13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2" o:spid="_x0000_s132"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54" w:name="X325ec37ab74b7f98758d46c0ac2b1b9113acf2f"/>
      <w:r>
        <w:t xml:space="preserve">6.1.1 Synthesizes Islamic Ethics with Value-Sensitive Design</w:t>
      </w:r>
      <w:r/>
    </w:p>
    <w:p>
      <w:pPr>
        <w:pStyle w:val="963"/>
        <w:pBdr/>
        <w:spacing/>
        <w:ind/>
        <w:rPr/>
      </w:pPr>
      <w:r>
        <w:t xml:space="preserve">The I-VSD framework combines:</w:t>
      </w:r>
      <w:r/>
    </w:p>
    <w:p>
      <w:pPr>
        <w:pStyle w:val="964"/>
        <w:numPr>
          <w:ilvl w:val="0"/>
          <w:numId w:val="216"/>
        </w:numPr>
        <w:pBdr/>
        <w:spacing/>
        <w:ind/>
        <w:rPr/>
      </w:pPr>
      <w:r>
        <w:rPr>
          <w:b/>
          <w:bCs/>
        </w:rPr>
        <w:t xml:space="preserve">Classical Islamic principles</w:t>
      </w:r>
      <w:r>
        <w:t xml:space="preserve"> (Amanah, Adab, justice, transparency, prohibition of deception) from Quran, Sunnah, and scholarly tradition</w:t>
      </w:r>
      <w:r/>
    </w:p>
    <w:p>
      <w:pPr>
        <w:pStyle w:val="964"/>
        <w:numPr>
          <w:ilvl w:val="0"/>
          <w:numId w:val="216"/>
        </w:numPr>
        <w:pBdr/>
        <w:spacing/>
        <w:ind/>
        <w:rPr/>
      </w:pPr>
      <w:r>
        <w:rPr>
          <w:b/>
          <w:bCs/>
        </w:rPr>
        <w:t xml:space="preserve">Value-Sensitive Design methodology</w:t>
      </w:r>
      <w:r>
        <w:t xml:space="preserve"> from Human-Computer Interaction research</w:t>
      </w:r>
      <w:r/>
    </w:p>
    <w:p>
      <w:pPr>
        <w:pStyle w:val="964"/>
        <w:numPr>
          <w:ilvl w:val="0"/>
          <w:numId w:val="216"/>
        </w:numPr>
        <w:pBdr/>
        <w:spacing/>
        <w:ind/>
        <w:rPr/>
      </w:pPr>
      <w:r>
        <w:rPr>
          <w:b/>
          <w:bCs/>
        </w:rPr>
        <w:t xml:space="preserve">Industry best practices</w:t>
      </w:r>
      <w:r>
        <w:t xml:space="preserve"> while explicitly avoiding documented anti-patterns</w:t>
      </w:r>
      <w:r/>
    </w:p>
    <w:p>
      <w:pPr>
        <w:pStyle w:val="963"/>
        <w:pBdr/>
        <w:spacing/>
        <w:ind/>
        <w:rPr/>
      </w:pPr>
      <w:r>
        <w:t xml:space="preserve">This synthesis creates a framework that is:</w:t>
      </w:r>
      <w:r/>
    </w:p>
    <w:p>
      <w:pPr>
        <w:pStyle w:val="964"/>
        <w:numPr>
          <w:ilvl w:val="0"/>
          <w:numId w:val="217"/>
        </w:numPr>
        <w:pBdr/>
        <w:spacing/>
        <w:ind/>
        <w:rPr/>
      </w:pPr>
      <w:r>
        <w:rPr>
          <w:b/>
          <w:bCs/>
        </w:rPr>
        <w:t xml:space="preserve">Theoretically grounded</w:t>
      </w:r>
      <w:r>
        <w:t xml:space="preserve"> in both Islamic scholarship and HCI research</w:t>
      </w:r>
      <w:r/>
    </w:p>
    <w:p>
      <w:pPr>
        <w:pStyle w:val="964"/>
        <w:numPr>
          <w:ilvl w:val="0"/>
          <w:numId w:val="217"/>
        </w:numPr>
        <w:pBdr/>
        <w:spacing/>
        <w:ind/>
        <w:rPr/>
      </w:pPr>
      <w:r>
        <w:rPr>
          <w:b/>
          <w:bCs/>
        </w:rPr>
        <w:t xml:space="preserve">Practically actionable</w:t>
      </w:r>
      <w:r>
        <w:t xml:space="preserve"> through concrete design heuristics</w:t>
      </w:r>
      <w:r/>
    </w:p>
    <w:p>
      <w:pPr>
        <w:pStyle w:val="964"/>
        <w:numPr>
          <w:ilvl w:val="0"/>
          <w:numId w:val="217"/>
        </w:numPr>
        <w:pBdr/>
        <w:spacing/>
        <w:ind/>
        <w:rPr/>
      </w:pPr>
      <w:r>
        <w:rPr>
          <w:b/>
          <w:bCs/>
        </w:rPr>
        <w:t xml:space="preserve">Comprehensive</w:t>
      </w:r>
      <w:r>
        <w:t xml:space="preserve"> across the entire software development lifecycle</w:t>
      </w:r>
      <w:r/>
    </w:p>
    <w:p>
      <w:pPr>
        <w:pBdr/>
        <w:spacing/>
        <w:ind/>
        <w:rPr/>
      </w:pPr>
      <w:r>
        <mc:AlternateContent>
          <mc:Choice Requires="wpg">
            <w:drawing>
              <wp:inline xmlns:wp="http://schemas.openxmlformats.org/drawingml/2006/wordprocessingDrawing" distT="0" distB="0" distL="0" distR="0">
                <wp:extent cx="0" cy="19050"/>
                <wp:effectExtent l="0" t="0" r="0" b="0"/>
                <wp:docPr id="13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3" o:spid="_x0000_s133" o:spt="1" type="#_x0000_t1" style="width:0.00pt;height:1.50pt;mso-wrap-distance-left:0.00pt;mso-wrap-distance-top:0.00pt;mso-wrap-distance-right:0.00pt;mso-wrap-distance-bottom:0.00pt;visibility:visible;" fillcolor="#FFFFFF" strokecolor="#000000"/>
            </w:pict>
          </mc:Fallback>
        </mc:AlternateContent>
      </w:r>
      <w:bookmarkEnd w:id="154"/>
      <w:r/>
    </w:p>
    <w:p>
      <w:pPr>
        <w:pStyle w:val="977"/>
        <w:pBdr/>
        <w:spacing/>
        <w:ind/>
        <w:rPr/>
      </w:pPr>
      <w:r/>
      <w:bookmarkStart w:id="155" w:name="provides-concrete-actionable-guidance"/>
      <w:r>
        <w:t xml:space="preserve">6.1.2 Provides Concrete, Actionable Guidance</w:t>
      </w:r>
      <w:r/>
    </w:p>
    <w:p>
      <w:pPr>
        <w:pStyle w:val="963"/>
        <w:pBdr/>
        <w:spacing/>
        <w:ind/>
        <w:rPr/>
      </w:pPr>
      <w:r>
        <w:t xml:space="preserve">The framework translates abstract principles into specific guidance across domains:</w:t>
      </w:r>
      <w:r/>
    </w:p>
    <w:p>
      <w:pPr>
        <w:pStyle w:val="962"/>
        <w:pBdr/>
        <w:spacing/>
        <w:ind/>
        <w:rPr/>
      </w:pPr>
      <w:r>
        <w:rPr>
          <w:b/>
          <w:bCs/>
        </w:rPr>
        <w:t xml:space="preserve">Strategic Domain:</w:t>
      </w:r>
      <w:r/>
    </w:p>
    <w:p>
      <w:pPr>
        <w:pStyle w:val="964"/>
        <w:numPr>
          <w:ilvl w:val="0"/>
          <w:numId w:val="218"/>
        </w:numPr>
        <w:pBdr/>
        <w:spacing/>
        <w:ind/>
        <w:rPr/>
      </w:pPr>
      <w:r>
        <w:t xml:space="preserve">Organizational structure (non-profit for community service)</w:t>
      </w:r>
      <w:r/>
    </w:p>
    <w:p>
      <w:pPr>
        <w:pStyle w:val="964"/>
        <w:numPr>
          <w:ilvl w:val="0"/>
          <w:numId w:val="218"/>
        </w:numPr>
        <w:pBdr/>
        <w:spacing/>
        <w:ind/>
        <w:rPr/>
      </w:pPr>
      <w:r>
        <w:t xml:space="preserve">Funding sources (avoiding riba-based capital)</w:t>
      </w:r>
      <w:r/>
    </w:p>
    <w:p>
      <w:pPr>
        <w:pStyle w:val="964"/>
        <w:numPr>
          <w:ilvl w:val="0"/>
          <w:numId w:val="218"/>
        </w:numPr>
        <w:pBdr/>
        <w:spacing/>
        <w:ind/>
        <w:rPr/>
      </w:pPr>
      <w:r>
        <w:t xml:space="preserve">Partnership ethics (vetting for values alignment)</w:t>
      </w:r>
      <w:r/>
    </w:p>
    <w:p>
      <w:pPr>
        <w:pStyle w:val="963"/>
        <w:pBdr/>
        <w:spacing/>
        <w:ind/>
        <w:rPr/>
      </w:pPr>
      <w:r>
        <w:rPr>
          <w:b/>
          <w:bCs/>
        </w:rPr>
        <w:t xml:space="preserve">Technical Domain:</w:t>
      </w:r>
      <w:r/>
    </w:p>
    <w:p>
      <w:pPr>
        <w:pStyle w:val="964"/>
        <w:numPr>
          <w:ilvl w:val="0"/>
          <w:numId w:val="219"/>
        </w:numPr>
        <w:pBdr/>
        <w:spacing/>
        <w:ind/>
        <w:rPr/>
      </w:pPr>
      <w:r>
        <w:t xml:space="preserve">Architecture (open source, self-hostable, no vendor lock-in)</w:t>
      </w:r>
      <w:r/>
    </w:p>
    <w:p>
      <w:pPr>
        <w:pStyle w:val="964"/>
        <w:numPr>
          <w:ilvl w:val="0"/>
          <w:numId w:val="219"/>
        </w:numPr>
        <w:pBdr/>
        <w:spacing/>
        <w:ind/>
        <w:rPr/>
      </w:pPr>
      <w:r>
        <w:t xml:space="preserve">Data governance (minimize collection, maximize user control)</w:t>
      </w:r>
      <w:r/>
    </w:p>
    <w:p>
      <w:pPr>
        <w:pStyle w:val="964"/>
        <w:numPr>
          <w:ilvl w:val="0"/>
          <w:numId w:val="219"/>
        </w:numPr>
        <w:pBdr/>
        <w:spacing/>
        <w:ind/>
        <w:rPr/>
      </w:pPr>
      <w:r>
        <w:t xml:space="preserve">Security (encryption, proper password hashing, prompt vulnerability patching)</w:t>
      </w:r>
      <w:r/>
    </w:p>
    <w:p>
      <w:pPr>
        <w:pStyle w:val="963"/>
        <w:pBdr/>
        <w:spacing/>
        <w:ind/>
        <w:rPr/>
      </w:pPr>
      <w:r>
        <w:rPr>
          <w:b/>
          <w:bCs/>
        </w:rPr>
        <w:t xml:space="preserve">Design Domain:</w:t>
      </w:r>
      <w:r/>
    </w:p>
    <w:p>
      <w:pPr>
        <w:pStyle w:val="964"/>
        <w:numPr>
          <w:ilvl w:val="0"/>
          <w:numId w:val="220"/>
        </w:numPr>
        <w:pBdr/>
        <w:spacing/>
        <w:ind/>
        <w:rPr/>
      </w:pPr>
      <w:r>
        <w:t xml:space="preserve">UI/UX (eliminate dark patterns, transparent pricing, meaningful free tiers)</w:t>
      </w:r>
      <w:r/>
    </w:p>
    <w:p>
      <w:pPr>
        <w:pStyle w:val="964"/>
        <w:numPr>
          <w:ilvl w:val="0"/>
          <w:numId w:val="220"/>
        </w:numPr>
        <w:pBdr/>
        <w:spacing/>
        <w:ind/>
        <w:rPr/>
      </w:pPr>
      <w:r>
        <w:t xml:space="preserve">Content moderation (consistent, values-based standards)</w:t>
      </w:r>
      <w:r/>
    </w:p>
    <w:p>
      <w:pPr>
        <w:pStyle w:val="964"/>
        <w:numPr>
          <w:ilvl w:val="0"/>
          <w:numId w:val="220"/>
        </w:numPr>
        <w:pBdr/>
        <w:spacing/>
        <w:ind/>
        <w:rPr/>
      </w:pPr>
      <w:r>
        <w:t xml:space="preserve">Accessibility (WCAG compliance, multi-language support)</w:t>
      </w:r>
      <w:r/>
    </w:p>
    <w:p>
      <w:pPr>
        <w:pStyle w:val="963"/>
        <w:pBdr/>
        <w:spacing/>
        <w:ind/>
        <w:rPr/>
      </w:pPr>
      <w:r>
        <w:rPr>
          <w:b/>
          <w:bCs/>
        </w:rPr>
        <w:t xml:space="preserve">Operational Domain:</w:t>
      </w:r>
      <w:r/>
    </w:p>
    <w:p>
      <w:pPr>
        <w:pStyle w:val="964"/>
        <w:numPr>
          <w:ilvl w:val="0"/>
          <w:numId w:val="221"/>
        </w:numPr>
        <w:pBdr/>
        <w:spacing/>
        <w:ind/>
        <w:rPr/>
      </w:pPr>
      <w:r>
        <w:t xml:space="preserve">Marketing (truthful claims, respectful communication)</w:t>
      </w:r>
      <w:r/>
    </w:p>
    <w:p>
      <w:pPr>
        <w:pStyle w:val="964"/>
        <w:numPr>
          <w:ilvl w:val="0"/>
          <w:numId w:val="221"/>
        </w:numPr>
        <w:pBdr/>
        <w:spacing/>
        <w:ind/>
        <w:rPr/>
      </w:pPr>
      <w:r>
        <w:t xml:space="preserve">Support (responsive, helpful)</w:t>
      </w:r>
      <w:r/>
    </w:p>
    <w:p>
      <w:pPr>
        <w:pStyle w:val="964"/>
        <w:numPr>
          <w:ilvl w:val="0"/>
          <w:numId w:val="221"/>
        </w:numPr>
        <w:pBdr/>
        <w:spacing/>
        <w:ind/>
        <w:rPr/>
      </w:pPr>
      <w:r>
        <w:t xml:space="preserve">Maintenance (long-term commitment, honor promises)</w:t>
      </w:r>
      <w:r/>
    </w:p>
    <w:p>
      <w:pPr>
        <w:pBdr/>
        <w:spacing/>
        <w:ind/>
        <w:rPr/>
      </w:pPr>
      <w:r>
        <mc:AlternateContent>
          <mc:Choice Requires="wpg">
            <w:drawing>
              <wp:inline xmlns:wp="http://schemas.openxmlformats.org/drawingml/2006/wordprocessingDrawing" distT="0" distB="0" distL="0" distR="0">
                <wp:extent cx="0" cy="19050"/>
                <wp:effectExtent l="0" t="0" r="0" b="0"/>
                <wp:docPr id="13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4" o:spid="_x0000_s134" o:spt="1" type="#_x0000_t1" style="width:0.00pt;height:1.50pt;mso-wrap-distance-left:0.00pt;mso-wrap-distance-top:0.00pt;mso-wrap-distance-right:0.00pt;mso-wrap-distance-bottom:0.00pt;visibility:visible;" fillcolor="#FFFFFF" strokecolor="#000000"/>
            </w:pict>
          </mc:Fallback>
        </mc:AlternateContent>
      </w:r>
      <w:bookmarkEnd w:id="155"/>
      <w:r/>
    </w:p>
    <w:p>
      <w:pPr>
        <w:pStyle w:val="977"/>
        <w:pBdr/>
        <w:spacing/>
        <w:ind/>
        <w:rPr/>
      </w:pPr>
      <w:r/>
      <w:bookmarkStart w:id="156" w:name="illustrates-practical-applicability"/>
      <w:r>
        <w:t xml:space="preserve">6.1.3 Illustrates Practical Applicability</w:t>
      </w:r>
      <w:r/>
    </w:p>
    <w:p>
      <w:pPr>
        <w:pStyle w:val="963"/>
        <w:pBdr/>
        <w:spacing/>
        <w:ind/>
        <w:rPr/>
      </w:pPr>
      <w:r>
        <w:t xml:space="preserve">The</w:t>
      </w:r>
      <w:r>
        <w:t xml:space="preserve"> ISLAMU Event case illustrates that I-VSD can be used to structure design reasoning in one real provider-mediated software context. It should be read as a self-applied worked application and implementation-traceability case, not as broad empirical support.</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Case area</w:t>
            </w:r>
            <w:r/>
          </w:p>
        </w:tc>
        <w:tc>
          <w:tcPr>
            <w:tcBorders/>
          </w:tcPr>
          <w:p>
            <w:pPr>
              <w:pStyle w:val="964"/>
              <w:pBdr/>
              <w:spacing/>
              <w:ind/>
              <w:rPr/>
            </w:pPr>
            <w:r>
              <w:t xml:space="preserve">I-VSD role</w:t>
            </w:r>
            <w:r/>
          </w:p>
        </w:tc>
        <w:tc>
          <w:tcPr>
            <w:tcBorders/>
          </w:tcPr>
          <w:p>
            <w:pPr>
              <w:pStyle w:val="964"/>
              <w:pBdr/>
              <w:spacing/>
              <w:ind/>
              <w:rPr/>
            </w:pPr>
            <w:r>
              <w:t xml:space="preserve">Claim strength</w:t>
            </w:r>
            <w:r/>
          </w:p>
        </w:tc>
        <w:tc>
          <w:tcPr>
            <w:tcBorders/>
          </w:tcPr>
          <w:p>
            <w:pPr>
              <w:pStyle w:val="964"/>
              <w:pBdr/>
              <w:spacing/>
              <w:ind/>
              <w:rPr/>
            </w:pPr>
            <w:r>
              <w:t xml:space="preserve">Future evidence needed</w:t>
            </w:r>
            <w:r/>
          </w:p>
        </w:tc>
      </w:tr>
      <w:tr>
        <w:trPr/>
        <w:tc>
          <w:tcPr>
            <w:tcBorders/>
          </w:tcPr>
          <w:p>
            <w:pPr>
              <w:pStyle w:val="964"/>
              <w:pBdr/>
              <w:spacing/>
              <w:ind/>
              <w:rPr/>
            </w:pPr>
            <w:r>
              <w:t xml:space="preserve">Curation and community scope</w:t>
            </w:r>
            <w:r/>
          </w:p>
        </w:tc>
        <w:tc>
          <w:tcPr>
            <w:tcBorders/>
          </w:tcPr>
          <w:p>
            <w:pPr>
              <w:pStyle w:val="964"/>
              <w:pBdr/>
              <w:spacing/>
              <w:ind/>
              <w:rPr/>
            </w:pPr>
            <w:r>
              <w:t xml:space="preserve">Connects Event’s boundary decisions to Amanah, Sidq, Adl, and La Darar.</w:t>
            </w:r>
            <w:r/>
          </w:p>
        </w:tc>
        <w:tc>
          <w:tcPr>
            <w:tcBorders/>
          </w:tcPr>
          <w:p>
            <w:pPr>
              <w:pStyle w:val="964"/>
              <w:pBdr/>
              <w:spacing/>
              <w:ind/>
              <w:rPr/>
            </w:pPr>
            <w:r>
              <w:t xml:space="preserve">Illustrative/design claim</w:t>
            </w:r>
            <w:r/>
          </w:p>
        </w:tc>
        <w:tc>
          <w:tcPr>
            <w:tcBorders/>
          </w:tcPr>
          <w:p>
            <w:pPr>
              <w:pStyle w:val="964"/>
              <w:pBdr/>
              <w:spacing/>
              <w:ind/>
              <w:rPr/>
            </w:pPr>
            <w:r>
              <w:t xml:space="preserve">User, organizer, and community feedback.</w:t>
            </w:r>
            <w:r/>
          </w:p>
        </w:tc>
      </w:tr>
      <w:tr>
        <w:trPr/>
        <w:tc>
          <w:tcPr>
            <w:tcBorders/>
          </w:tcPr>
          <w:p>
            <w:pPr>
              <w:pStyle w:val="964"/>
              <w:pBdr/>
              <w:spacing/>
              <w:ind/>
              <w:rPr/>
            </w:pPr>
            <w:r>
              <w:t xml:space="preserve">Payments and pricing</w:t>
            </w:r>
            <w:r/>
          </w:p>
        </w:tc>
        <w:tc>
          <w:tcPr>
            <w:tcBorders/>
          </w:tcPr>
          <w:p>
            <w:pPr>
              <w:pStyle w:val="964"/>
              <w:pBdr/>
              <w:spacing/>
              <w:ind/>
              <w:rPr/>
            </w:pPr>
            <w:r>
              <w:t xml:space="preserve">Frames ticketing, fees, and financial transparency through Gharar, Ghish, Riba concerns, and Wafa.</w:t>
            </w:r>
            <w:r/>
          </w:p>
        </w:tc>
        <w:tc>
          <w:tcPr>
            <w:tcBorders/>
          </w:tcPr>
          <w:p>
            <w:pPr>
              <w:pStyle w:val="964"/>
              <w:pBdr/>
              <w:spacing/>
              <w:ind/>
              <w:rPr/>
            </w:pPr>
            <w:r>
              <w:t xml:space="preserve">Design claim</w:t>
            </w:r>
            <w:r/>
          </w:p>
        </w:tc>
        <w:tc>
          <w:tcPr>
            <w:tcBorders/>
          </w:tcPr>
          <w:p>
            <w:pPr>
              <w:pStyle w:val="964"/>
              <w:pBdr/>
              <w:spacing/>
              <w:ind/>
              <w:rPr/>
            </w:pPr>
            <w:r>
              <w:t xml:space="preserve">Payment audits, complaint review, and long-term operational data.</w:t>
            </w:r>
            <w:r/>
          </w:p>
        </w:tc>
      </w:tr>
      <w:tr>
        <w:trPr/>
        <w:tc>
          <w:tcPr>
            <w:tcBorders/>
          </w:tcPr>
          <w:p>
            <w:pPr>
              <w:pStyle w:val="964"/>
              <w:pBdr/>
              <w:spacing/>
              <w:ind/>
              <w:rPr/>
            </w:pPr>
            <w:r>
              <w:t xml:space="preserve">Privacy and identity</w:t>
            </w:r>
            <w:r/>
          </w:p>
        </w:tc>
        <w:tc>
          <w:tcPr>
            <w:tcBorders/>
          </w:tcPr>
          <w:p>
            <w:pPr>
              <w:pStyle w:val="964"/>
              <w:pBdr/>
              <w:spacing/>
              <w:ind/>
              <w:rPr/>
            </w:pPr>
            <w:r>
              <w:t xml:space="preserve">Connects data minimization, access control, and portability to Amanah, Haya, and avoiding Tajassus.</w:t>
            </w:r>
            <w:r/>
          </w:p>
        </w:tc>
        <w:tc>
          <w:tcPr>
            <w:tcBorders/>
          </w:tcPr>
          <w:p>
            <w:pPr>
              <w:pStyle w:val="964"/>
              <w:pBdr/>
              <w:spacing/>
              <w:ind/>
              <w:rPr/>
            </w:pPr>
            <w:r>
              <w:t xml:space="preserve">Design claim</w:t>
            </w:r>
            <w:r/>
          </w:p>
        </w:tc>
        <w:tc>
          <w:tcPr>
            <w:tcBorders/>
          </w:tcPr>
          <w:p>
            <w:pPr>
              <w:pStyle w:val="964"/>
              <w:pBdr/>
              <w:spacing/>
              <w:ind/>
              <w:rPr/>
            </w:pPr>
            <w:r>
              <w:t xml:space="preserve">Privacy review, threat modeling, and incident history.</w:t>
            </w:r>
            <w:r/>
          </w:p>
        </w:tc>
      </w:tr>
      <w:tr>
        <w:trPr/>
        <w:tc>
          <w:tcPr>
            <w:tcBorders/>
          </w:tcPr>
          <w:p>
            <w:pPr>
              <w:pStyle w:val="964"/>
              <w:pBdr/>
              <w:spacing/>
              <w:ind/>
              <w:rPr/>
            </w:pPr>
            <w:r>
              <w:t xml:space="preserve">Federation and openness</w:t>
            </w:r>
            <w:r/>
          </w:p>
        </w:tc>
        <w:tc>
          <w:tcPr>
            <w:tcBorders/>
          </w:tcPr>
          <w:p>
            <w:pPr>
              <w:pStyle w:val="964"/>
              <w:pBdr/>
              <w:spacing/>
              <w:ind/>
              <w:rPr/>
            </w:pPr>
            <w:r>
              <w:t xml:space="preserve">Links portability and self-hosting to stewardship and reduced dependency.</w:t>
            </w:r>
            <w:r/>
          </w:p>
        </w:tc>
        <w:tc>
          <w:tcPr>
            <w:tcBorders/>
          </w:tcPr>
          <w:p>
            <w:pPr>
              <w:pStyle w:val="964"/>
              <w:pBdr/>
              <w:spacing/>
              <w:ind/>
              <w:rPr/>
            </w:pPr>
            <w:r>
              <w:t xml:space="preserve">Design claim</w:t>
            </w:r>
            <w:r/>
          </w:p>
        </w:tc>
        <w:tc>
          <w:tcPr>
            <w:tcBorders/>
          </w:tcPr>
          <w:p>
            <w:pPr>
              <w:pStyle w:val="964"/>
              <w:pBdr/>
              <w:spacing/>
              <w:ind/>
              <w:rPr/>
            </w:pPr>
            <w:r>
              <w:t xml:space="preserve">Deployment experience across instances.</w:t>
            </w:r>
            <w:r/>
          </w:p>
        </w:tc>
      </w:tr>
      <w:tr>
        <w:trPr/>
        <w:tc>
          <w:tcPr>
            <w:tcBorders/>
          </w:tcPr>
          <w:p>
            <w:pPr>
              <w:pStyle w:val="964"/>
              <w:pBdr/>
              <w:spacing/>
              <w:ind/>
              <w:rPr/>
            </w:pPr>
            <w:r>
              <w:t xml:space="preserve">Moderation and verification</w:t>
            </w:r>
            <w:r/>
          </w:p>
        </w:tc>
        <w:tc>
          <w:tcPr>
            <w:tcBorders/>
          </w:tcPr>
          <w:p>
            <w:pPr>
              <w:pStyle w:val="964"/>
              <w:pBdr/>
              <w:spacing/>
              <w:ind/>
              <w:rPr/>
            </w:pPr>
            <w:r>
              <w:t xml:space="preserve">Gives a structure for governance controls, reporting, verification labels, evidence standards, and accountability choices.</w:t>
            </w:r>
            <w:r/>
          </w:p>
        </w:tc>
        <w:tc>
          <w:tcPr>
            <w:tcBorders/>
          </w:tcPr>
          <w:p>
            <w:pPr>
              <w:pStyle w:val="964"/>
              <w:pBdr/>
              <w:spacing/>
              <w:ind/>
              <w:rPr/>
            </w:pPr>
            <w:r>
              <w:t xml:space="preserve">Design/implementation-traceability claim</w:t>
            </w:r>
            <w:r/>
          </w:p>
        </w:tc>
        <w:tc>
          <w:tcPr>
            <w:tcBorders/>
          </w:tcPr>
          <w:p>
            <w:pPr>
              <w:pStyle w:val="964"/>
              <w:pBdr/>
              <w:spacing/>
              <w:ind/>
              <w:rPr/>
            </w:pPr>
            <w:r>
              <w:t xml:space="preserve">Moderator review, abuse metrics, and stakeholder evaluation.</w:t>
            </w:r>
            <w:r/>
          </w:p>
        </w:tc>
      </w:tr>
    </w:tbl>
    <w:p>
      <w:pPr>
        <w:pStyle w:val="962"/>
        <w:pBdr/>
        <w:spacing/>
        <w:ind/>
        <w:rPr/>
      </w:pPr>
      <w:r>
        <w:t xml:space="preserve">The case therefore supports a limited but import</w:t>
      </w:r>
      <w:r>
        <w:t xml:space="preserve">ant conclusion: I-VSD is usable as a design-reasoning framework and can organize current implementation evidence. Stronger claims about user trust, sustainability, security, accessibility, moderation outcomes, or community benefit require later evaluation.</w:t>
      </w:r>
      <w:r/>
    </w:p>
    <w:p>
      <w:pPr>
        <w:pBdr/>
        <w:spacing/>
        <w:ind/>
        <w:rPr/>
      </w:pPr>
      <w:r>
        <mc:AlternateContent>
          <mc:Choice Requires="wpg">
            <w:drawing>
              <wp:inline xmlns:wp="http://schemas.openxmlformats.org/drawingml/2006/wordprocessingDrawing" distT="0" distB="0" distL="0" distR="0">
                <wp:extent cx="0" cy="19050"/>
                <wp:effectExtent l="0" t="0" r="0" b="0"/>
                <wp:docPr id="13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5" o:spid="_x0000_s135" o:spt="1" type="#_x0000_t1" style="width:0.00pt;height:1.50pt;mso-wrap-distance-left:0.00pt;mso-wrap-distance-top:0.00pt;mso-wrap-distance-right:0.00pt;mso-wrap-distance-bottom:0.00pt;visibility:visible;" fillcolor="#FFFFFF" strokecolor="#000000"/>
            </w:pict>
          </mc:Fallback>
        </mc:AlternateContent>
      </w:r>
      <w:bookmarkEnd w:id="156"/>
      <w:r/>
    </w:p>
    <w:p>
      <w:pPr>
        <w:pStyle w:val="977"/>
        <w:pBdr/>
        <w:spacing/>
        <w:ind/>
        <w:rPr/>
      </w:pPr>
      <w:r/>
      <w:bookmarkStart w:id="157" w:name="addresses-critical-gaps"/>
      <w:r>
        <w:t xml:space="preserve">6.1.4 Addresses Critical Gaps</w:t>
      </w:r>
      <w:r/>
    </w:p>
    <w:p>
      <w:pPr>
        <w:pStyle w:val="963"/>
        <w:pBdr/>
        <w:spacing/>
        <w:ind/>
        <w:rPr/>
      </w:pPr>
      <w:r>
        <w:t xml:space="preserve">I-VSD addresses gaps in existing frameworks by:</w:t>
      </w:r>
      <w:r/>
    </w:p>
    <w:p>
      <w:pPr>
        <w:pStyle w:val="964"/>
        <w:numPr>
          <w:ilvl w:val="0"/>
          <w:numId w:val="222"/>
        </w:numPr>
        <w:pBdr/>
        <w:spacing/>
        <w:ind/>
        <w:rPr/>
      </w:pPr>
      <w:r>
        <w:rPr>
          <w:b/>
          <w:bCs/>
        </w:rPr>
        <w:t xml:space="preserve">Centering religious values</w:t>
      </w:r>
      <w:r>
        <w:t xml:space="preserve"> rather than treating them as personal preferences</w:t>
      </w:r>
      <w:r/>
    </w:p>
    <w:p>
      <w:pPr>
        <w:pStyle w:val="964"/>
        <w:numPr>
          <w:ilvl w:val="0"/>
          <w:numId w:val="222"/>
        </w:numPr>
        <w:pBdr/>
        <w:spacing/>
        <w:ind/>
        <w:rPr/>
      </w:pPr>
      <w:r>
        <w:rPr>
          <w:b/>
          <w:bCs/>
        </w:rPr>
        <w:t xml:space="preserve">Providing moral absolutes</w:t>
      </w:r>
      <w:r>
        <w:t xml:space="preserve"> from revelation rather than requiring stakeholder negotiation</w:t>
      </w:r>
      <w:r/>
    </w:p>
    <w:p>
      <w:pPr>
        <w:pStyle w:val="964"/>
        <w:numPr>
          <w:ilvl w:val="0"/>
          <w:numId w:val="222"/>
        </w:numPr>
        <w:pBdr/>
        <w:spacing/>
        <w:ind/>
        <w:rPr/>
      </w:pPr>
      <w:r>
        <w:rPr>
          <w:b/>
          <w:bCs/>
        </w:rPr>
        <w:t xml:space="preserve">Addressing business model ethics</w:t>
      </w:r>
      <w:r>
        <w:t xml:space="preserve"> (funding, organization, revenue)</w:t>
      </w:r>
      <w:r/>
    </w:p>
    <w:p>
      <w:pPr>
        <w:pStyle w:val="964"/>
        <w:numPr>
          <w:ilvl w:val="0"/>
          <w:numId w:val="222"/>
        </w:numPr>
        <w:pBdr/>
        <w:spacing/>
        <w:ind/>
        <w:rPr/>
      </w:pPr>
      <w:r>
        <w:rPr>
          <w:b/>
          <w:bCs/>
        </w:rPr>
        <w:t xml:space="preserve">Offering community-specific guidance</w:t>
      </w:r>
      <w:r>
        <w:t xml:space="preserve"> for Muslim software developers and organizations</w:t>
      </w:r>
      <w:r/>
    </w:p>
    <w:p>
      <w:pPr>
        <w:pBdr/>
        <w:spacing/>
        <w:ind/>
        <w:rPr/>
      </w:pPr>
      <w:r>
        <mc:AlternateContent>
          <mc:Choice Requires="wpg">
            <w:drawing>
              <wp:inline xmlns:wp="http://schemas.openxmlformats.org/drawingml/2006/wordprocessingDrawing" distT="0" distB="0" distL="0" distR="0">
                <wp:extent cx="0" cy="19050"/>
                <wp:effectExtent l="0" t="0" r="0" b="0"/>
                <wp:docPr id="13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6" o:spid="_x0000_s136" o:spt="1" type="#_x0000_t1" style="width:0.00pt;height:1.50pt;mso-wrap-distance-left:0.00pt;mso-wrap-distance-top:0.00pt;mso-wrap-distance-right:0.00pt;mso-wrap-distance-bottom:0.00pt;visibility:visible;" fillcolor="#FFFFFF" strokecolor="#000000"/>
            </w:pict>
          </mc:Fallback>
        </mc:AlternateContent>
      </w:r>
      <w:bookmarkEnd w:id="157"/>
      <w:r/>
    </w:p>
    <w:p>
      <w:pPr>
        <w:pStyle w:val="977"/>
        <w:pBdr/>
        <w:spacing/>
        <w:ind/>
        <w:rPr/>
      </w:pPr>
      <w:r/>
      <w:bookmarkStart w:id="158" w:name="X305f78b555c3c4f725d271e3efeb94ef2a7f792"/>
      <w:r>
        <w:t xml:space="preserve">6.1.5 Frames Long-Term Value as Future Evaluation</w:t>
      </w:r>
      <w:r/>
    </w:p>
    <w:p>
      <w:pPr>
        <w:pStyle w:val="963"/>
        <w:pBdr/>
        <w:spacing/>
        <w:ind/>
        <w:rPr/>
      </w:pPr>
      <w:r>
        <w:t xml:space="preserve">I-VSD frames long-term value in broader terms tha</w:t>
      </w:r>
      <w:r>
        <w:t xml:space="preserve">n growth, engagement, or revenue alone. For provider-mediated software solutions, long-term value includes honest communication, user rights, data stewardship, accessibility, maintainability, source integrity, portability, accountability, and reduced harm.</w:t>
      </w:r>
      <w:r/>
    </w:p>
    <w:p>
      <w:pPr>
        <w:pStyle w:val="962"/>
        <w:pBdr/>
        <w:spacing/>
        <w:ind/>
        <w:rPr/>
      </w:pPr>
      <w:r>
        <w:t xml:space="preserve">These are design goals and evaluation criteria. They should not be written as compl</w:t>
      </w:r>
      <w:r>
        <w:t xml:space="preserve">eted outcomes unless supported by evidence. A provider may design for trust, sustainability, and harm reduction, but whether those aims are realized must be assessed through deployment, stakeholder feedback, audits, incident review, and longitudinal study.</w:t>
      </w:r>
      <w:r/>
    </w:p>
    <w:p>
      <w:pPr>
        <w:pStyle w:val="962"/>
        <w:pBdr/>
        <w:spacing/>
        <w:ind/>
        <w:rPr/>
      </w:pPr>
      <w:r>
        <w:rPr>
          <w:b/>
          <w:bCs/>
        </w:rPr>
        <w:t xml:space="preserve">Answer to the research question:</w:t>
      </w:r>
      <w:r/>
    </w:p>
    <w:p>
      <w:pPr>
        <w:pStyle w:val="962"/>
        <w:pBdr/>
        <w:spacing/>
        <w:ind/>
        <w:rPr/>
      </w:pPr>
      <w:r>
        <w:t xml:space="preserve">An Islamic Value-Sensitive Design framework can be developed for provider-mediated software solutions by:</w:t>
      </w:r>
      <w:r/>
    </w:p>
    <w:p>
      <w:pPr>
        <w:pStyle w:val="964"/>
        <w:numPr>
          <w:ilvl w:val="0"/>
          <w:numId w:val="223"/>
        </w:numPr>
        <w:pBdr/>
        <w:spacing/>
        <w:ind/>
        <w:rPr/>
      </w:pPr>
      <w:r>
        <w:t xml:space="preserve">Selecting relevant Islamic ethical principles.</w:t>
      </w:r>
      <w:r/>
    </w:p>
    <w:p>
      <w:pPr>
        <w:pStyle w:val="964"/>
        <w:numPr>
          <w:ilvl w:val="0"/>
          <w:numId w:val="223"/>
        </w:numPr>
        <w:pBdr/>
        <w:spacing/>
        <w:ind/>
        <w:rPr/>
      </w:pPr>
      <w:r>
        <w:t xml:space="preserve">Translating those principles into design responsibilities.</w:t>
      </w:r>
      <w:r/>
    </w:p>
    <w:p>
      <w:pPr>
        <w:pStyle w:val="964"/>
        <w:numPr>
          <w:ilvl w:val="0"/>
          <w:numId w:val="223"/>
        </w:numPr>
        <w:pBdr/>
        <w:spacing/>
        <w:ind/>
        <w:rPr/>
      </w:pPr>
      <w:r>
        <w:t xml:space="preserve">Mapping them across strategic, design, technical, operational, governance, and evaluation domains.</w:t>
      </w:r>
      <w:r/>
    </w:p>
    <w:p>
      <w:pPr>
        <w:pStyle w:val="964"/>
        <w:numPr>
          <w:ilvl w:val="0"/>
          <w:numId w:val="223"/>
        </w:numPr>
        <w:pBdr/>
        <w:spacing/>
        <w:ind/>
        <w:rPr/>
      </w:pPr>
      <w:r>
        <w:t xml:space="preserve">Applying them to a worked case such as ISLAMU Event.</w:t>
      </w:r>
      <w:r/>
    </w:p>
    <w:p>
      <w:pPr>
        <w:pStyle w:val="964"/>
        <w:numPr>
          <w:ilvl w:val="0"/>
          <w:numId w:val="223"/>
        </w:numPr>
        <w:pBdr/>
        <w:spacing/>
        <w:ind/>
        <w:rPr/>
      </w:pPr>
      <w:r>
        <w:t xml:space="preserve">Stating the limits of current evidence and defining future evaluation needs.</w:t>
      </w:r>
      <w:r/>
    </w:p>
    <w:p>
      <w:pPr>
        <w:pStyle w:val="963"/>
        <w:pBdr/>
        <w:spacing/>
        <w:ind/>
        <w:rPr/>
      </w:pPr>
      <w:r>
        <w:t xml:space="preserve">The thesis therefore contributes a reusable framework and an illustrative application. It does not claim final outcome evidence for all software contexts.</w:t>
      </w:r>
      <w:r/>
    </w:p>
    <w:p>
      <w:pPr>
        <w:pBdr/>
        <w:spacing/>
        <w:ind/>
        <w:rPr/>
      </w:pPr>
      <w:r>
        <mc:AlternateContent>
          <mc:Choice Requires="wpg">
            <w:drawing>
              <wp:inline xmlns:wp="http://schemas.openxmlformats.org/drawingml/2006/wordprocessingDrawing" distT="0" distB="0" distL="0" distR="0">
                <wp:extent cx="0" cy="19050"/>
                <wp:effectExtent l="0" t="0" r="0" b="0"/>
                <wp:docPr id="13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7" o:spid="_x0000_s137" o:spt="1" type="#_x0000_t1" style="width:0.00pt;height:1.50pt;mso-wrap-distance-left:0.00pt;mso-wrap-distance-top:0.00pt;mso-wrap-distance-right:0.00pt;mso-wrap-distance-bottom:0.00pt;visibility:visible;" fillcolor="#FFFFFF" strokecolor="#000000"/>
            </w:pict>
          </mc:Fallback>
        </mc:AlternateContent>
      </w:r>
      <w:bookmarkEnd w:id="158"/>
      <w:bookmarkEnd w:id="159"/>
      <w:r/>
    </w:p>
    <w:p>
      <w:pPr>
        <w:pStyle w:val="976"/>
        <w:pBdr/>
        <w:spacing/>
        <w:ind/>
        <w:rPr/>
      </w:pPr>
      <w:r/>
      <w:bookmarkStart w:id="166" w:name="recommendations-and-future-work"/>
      <w:r>
        <w:t xml:space="preserve">6.2 Recommendations and Future Work</w:t>
      </w:r>
      <w:r/>
    </w:p>
    <w:p>
      <w:pPr>
        <w:pBdr/>
        <w:spacing/>
        <w:ind/>
        <w:rPr/>
      </w:pPr>
      <w:r>
        <mc:AlternateContent>
          <mc:Choice Requires="wpg">
            <w:drawing>
              <wp:inline xmlns:wp="http://schemas.openxmlformats.org/drawingml/2006/wordprocessingDrawing" distT="0" distB="0" distL="0" distR="0">
                <wp:extent cx="0" cy="19050"/>
                <wp:effectExtent l="0" t="0" r="0" b="0"/>
                <wp:docPr id="13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8" o:spid="_x0000_s138"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160" w:name="for-practitioners"/>
      <w:r>
        <w:t xml:space="preserve">6.2.1 For Practitioners</w:t>
      </w:r>
      <w:r/>
    </w:p>
    <w:p>
      <w:pPr>
        <w:pStyle w:val="963"/>
        <w:pBdr/>
        <w:spacing/>
        <w:ind/>
        <w:rPr/>
      </w:pPr>
      <w:r>
        <w:rPr>
          <w:b/>
          <w:bCs/>
        </w:rPr>
        <w:t xml:space="preserve">Recommendation 1: Use I-VSD as a design-review framework</w:t>
      </w:r>
      <w:r/>
    </w:p>
    <w:p>
      <w:pPr>
        <w:pStyle w:val="962"/>
        <w:pBdr/>
        <w:spacing/>
        <w:ind/>
        <w:rPr/>
      </w:pPr>
      <w:r>
        <w:t xml:space="preserve">Muslim software developers and provider teams can use I-VSD to:</w:t>
      </w:r>
      <w:r/>
    </w:p>
    <w:p>
      <w:pPr>
        <w:pStyle w:val="964"/>
        <w:numPr>
          <w:ilvl w:val="0"/>
          <w:numId w:val="224"/>
        </w:numPr>
        <w:pBdr/>
        <w:spacing/>
        <w:ind/>
        <w:rPr/>
      </w:pPr>
      <w:r>
        <w:t xml:space="preserve">Make ethical assumptions explicit before implementation.</w:t>
      </w:r>
      <w:r/>
    </w:p>
    <w:p>
      <w:pPr>
        <w:pStyle w:val="964"/>
        <w:numPr>
          <w:ilvl w:val="0"/>
          <w:numId w:val="224"/>
        </w:numPr>
        <w:pBdr/>
        <w:spacing/>
        <w:ind/>
        <w:rPr/>
      </w:pPr>
      <w:r>
        <w:t xml:space="preserve">Review features, policies, dependencies, pricing, data use, and moderation against selected Islamic principles.</w:t>
      </w:r>
      <w:r/>
    </w:p>
    <w:p>
      <w:pPr>
        <w:pStyle w:val="964"/>
        <w:numPr>
          <w:ilvl w:val="0"/>
          <w:numId w:val="224"/>
        </w:numPr>
        <w:pBdr/>
        <w:spacing/>
        <w:ind/>
        <w:rPr/>
      </w:pPr>
      <w:r>
        <w:t xml:space="preserve">Record tradeoffs, evidence level, and open risks.</w:t>
      </w:r>
      <w:r/>
    </w:p>
    <w:p>
      <w:pPr>
        <w:pStyle w:val="963"/>
        <w:pBdr/>
        <w:spacing/>
        <w:ind/>
        <w:rPr/>
      </w:pPr>
      <w:r>
        <w:rPr>
          <w:b/>
          <w:bCs/>
        </w:rPr>
        <w:t xml:space="preserve">Recommendation 2: Build review habits, not slogans</w:t>
      </w:r>
      <w:r/>
    </w:p>
    <w:p>
      <w:pPr>
        <w:pStyle w:val="962"/>
        <w:pBdr/>
        <w:spacing/>
        <w:ind/>
        <w:rPr/>
      </w:pPr>
      <w:r>
        <w:t xml:space="preserve">I-VSD should become part of recurring product practice: design review, security review, privacy review, launch review, incident review, and post-deployment evaluation. A project is not morally protected by branding itself as ethical.</w:t>
      </w:r>
      <w:r/>
    </w:p>
    <w:p>
      <w:pPr>
        <w:pStyle w:val="962"/>
        <w:pBdr/>
        <w:spacing/>
        <w:ind/>
        <w:rPr/>
      </w:pPr>
      <w:r>
        <w:rPr>
          <w:b/>
          <w:bCs/>
        </w:rPr>
        <w:t xml:space="preserve">Recommendation 3: Seek scholarly consultation for hard cases</w:t>
      </w:r>
      <w:r/>
    </w:p>
    <w:p>
      <w:pPr>
        <w:pStyle w:val="962"/>
        <w:pBdr/>
        <w:spacing/>
        <w:ind/>
        <w:rPr/>
      </w:pPr>
      <w:r>
        <w:t xml:space="preserve">For questions involving finance, religious knowledge, privacy, public harm, AI outputs, or disputed obligations, practitioners should consult qualified Islamic scholars and document the resulting guidance for future review.</w:t>
      </w:r>
      <w:r/>
    </w:p>
    <w:p>
      <w:pPr>
        <w:pStyle w:val="962"/>
        <w:pBdr/>
        <w:spacing/>
        <w:ind/>
        <w:rPr/>
      </w:pPr>
      <w:r>
        <w:rPr>
          <w:b/>
          <w:bCs/>
        </w:rPr>
        <w:t xml:space="preserve">Recommendation 4: Measure and report carefully</w:t>
      </w:r>
      <w:r/>
    </w:p>
    <w:p>
      <w:pPr>
        <w:pStyle w:val="962"/>
        <w:pBdr/>
        <w:spacing/>
        <w:ind/>
        <w:rPr/>
      </w:pPr>
      <w:r>
        <w:t xml:space="preserve">Practitioners should develop metrics for:</w:t>
      </w:r>
      <w:r/>
    </w:p>
    <w:p>
      <w:pPr>
        <w:pStyle w:val="964"/>
        <w:numPr>
          <w:ilvl w:val="0"/>
          <w:numId w:val="225"/>
        </w:numPr>
        <w:pBdr/>
        <w:spacing/>
        <w:ind/>
        <w:rPr/>
      </w:pPr>
      <w:r>
        <w:t xml:space="preserve">Principle-review completion and unresolved ethical risks.</w:t>
      </w:r>
      <w:r/>
    </w:p>
    <w:p>
      <w:pPr>
        <w:pStyle w:val="964"/>
        <w:numPr>
          <w:ilvl w:val="0"/>
          <w:numId w:val="225"/>
        </w:numPr>
        <w:pBdr/>
        <w:spacing/>
        <w:ind/>
        <w:rPr/>
      </w:pPr>
      <w:r>
        <w:t xml:space="preserve">User complaints, appeals, support burden, and incident response.</w:t>
      </w:r>
      <w:r/>
    </w:p>
    <w:p>
      <w:pPr>
        <w:pStyle w:val="964"/>
        <w:numPr>
          <w:ilvl w:val="0"/>
          <w:numId w:val="225"/>
        </w:numPr>
        <w:pBdr/>
        <w:spacing/>
        <w:ind/>
        <w:rPr/>
      </w:pPr>
      <w:r>
        <w:t xml:space="preserve">Accessibility, portability, privacy, security, and moderation outcomes.</w:t>
      </w:r>
      <w:r/>
    </w:p>
    <w:p>
      <w:pPr>
        <w:pStyle w:val="964"/>
        <w:numPr>
          <w:ilvl w:val="0"/>
          <w:numId w:val="225"/>
        </w:numPr>
        <w:pBdr/>
        <w:spacing/>
        <w:ind/>
        <w:rPr/>
      </w:pPr>
      <w:r>
        <w:t xml:space="preserve">User trust and satisfaction as measured evidence, not assumed benefit.</w:t>
      </w:r>
      <w:r/>
    </w:p>
    <w:p>
      <w:pPr>
        <w:pStyle w:val="964"/>
        <w:numPr>
          <w:ilvl w:val="0"/>
          <w:numId w:val="225"/>
        </w:numPr>
        <w:pBdr/>
        <w:spacing/>
        <w:ind/>
        <w:rPr/>
      </w:pPr>
      <w:r>
        <w:t xml:space="preserve">Long-term sustainability as operational evidence, not moral branding.</w:t>
      </w:r>
      <w:r/>
    </w:p>
    <w:p>
      <w:pPr>
        <w:pStyle w:val="963"/>
        <w:pBdr/>
        <w:spacing/>
        <w:ind/>
        <w:rPr/>
      </w:pPr>
      <w:r>
        <w:rPr>
          <w:b/>
          <w:bCs/>
        </w:rPr>
        <w:t xml:space="preserve">Recommendation 5: Practice empathetic understanding</w:t>
      </w:r>
      <w:r/>
    </w:p>
    <w:p>
      <w:pPr>
        <w:pStyle w:val="962"/>
        <w:pBdr/>
        <w:spacing/>
        <w:ind/>
        <w:rPr/>
      </w:pPr>
      <w:r>
        <w:t xml:space="preserve">Before approving a feature, pricing pattern, permission request, or moderation policy, decision-makers should ask how the choice appears from t</w:t>
      </w:r>
      <w:r>
        <w:t xml:space="preserve">he position of the user, customer, vulnerable stakeholder, or non-technical person affected by it. Within I-VSD, empathy functions as a practical check that connects abstract values such as mercy, justice, and trustworthiness to concrete product decisions.</w:t>
      </w:r>
      <w:r/>
    </w:p>
    <w:p>
      <w:pPr>
        <w:pBdr/>
        <w:spacing/>
        <w:ind/>
        <w:rPr/>
      </w:pPr>
      <w:r>
        <mc:AlternateContent>
          <mc:Choice Requires="wpg">
            <w:drawing>
              <wp:inline xmlns:wp="http://schemas.openxmlformats.org/drawingml/2006/wordprocessingDrawing" distT="0" distB="0" distL="0" distR="0">
                <wp:extent cx="0" cy="19050"/>
                <wp:effectExtent l="0" t="0" r="0" b="0"/>
                <wp:docPr id="14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9" o:spid="_x0000_s139" o:spt="1" type="#_x0000_t1" style="width:0.00pt;height:1.50pt;mso-wrap-distance-left:0.00pt;mso-wrap-distance-top:0.00pt;mso-wrap-distance-right:0.00pt;mso-wrap-distance-bottom:0.00pt;visibility:visible;" fillcolor="#FFFFFF" strokecolor="#000000"/>
            </w:pict>
          </mc:Fallback>
        </mc:AlternateContent>
      </w:r>
      <w:bookmarkEnd w:id="160"/>
      <w:r/>
    </w:p>
    <w:p>
      <w:pPr>
        <w:pStyle w:val="977"/>
        <w:pBdr/>
        <w:spacing/>
        <w:ind/>
        <w:rPr/>
      </w:pPr>
      <w:r/>
      <w:bookmarkStart w:id="161" w:name="for-researchers"/>
      <w:r>
        <w:t xml:space="preserve">6.2.2 For Researchers</w:t>
      </w:r>
      <w:r/>
    </w:p>
    <w:p>
      <w:pPr>
        <w:pStyle w:val="963"/>
        <w:pBdr/>
        <w:spacing/>
        <w:ind/>
        <w:rPr/>
      </w:pPr>
      <w:r>
        <w:rPr>
          <w:b/>
          <w:bCs/>
        </w:rPr>
        <w:t xml:space="preserve">Research Direction 1: Framework Formalization</w:t>
      </w:r>
      <w:r/>
    </w:p>
    <w:p>
      <w:pPr>
        <w:pStyle w:val="962"/>
        <w:pBdr/>
        <w:spacing/>
        <w:ind/>
        <w:rPr/>
      </w:pPr>
      <w:r>
        <w:t xml:space="preserve">Develop more rigorous forms of I-VSD:</w:t>
      </w:r>
      <w:r/>
    </w:p>
    <w:p>
      <w:pPr>
        <w:pStyle w:val="964"/>
        <w:numPr>
          <w:ilvl w:val="0"/>
          <w:numId w:val="226"/>
        </w:numPr>
        <w:pBdr/>
        <w:spacing/>
        <w:ind/>
        <w:rPr/>
      </w:pPr>
      <w:r>
        <w:t xml:space="preserve">Decision rubrics.</w:t>
      </w:r>
      <w:r/>
    </w:p>
    <w:p>
      <w:pPr>
        <w:pStyle w:val="964"/>
        <w:numPr>
          <w:ilvl w:val="0"/>
          <w:numId w:val="226"/>
        </w:numPr>
        <w:pBdr/>
        <w:spacing/>
        <w:ind/>
        <w:rPr/>
      </w:pPr>
      <w:r>
        <w:t xml:space="preserve">Evaluation checklists.</w:t>
      </w:r>
      <w:r/>
    </w:p>
    <w:p>
      <w:pPr>
        <w:pStyle w:val="964"/>
        <w:numPr>
          <w:ilvl w:val="0"/>
          <w:numId w:val="226"/>
        </w:numPr>
        <w:pBdr/>
        <w:spacing/>
        <w:ind/>
        <w:rPr/>
      </w:pPr>
      <w:r>
        <w:t xml:space="preserve">Traceability templates.</w:t>
      </w:r>
      <w:r/>
    </w:p>
    <w:p>
      <w:pPr>
        <w:pStyle w:val="964"/>
        <w:numPr>
          <w:ilvl w:val="0"/>
          <w:numId w:val="226"/>
        </w:numPr>
        <w:pBdr/>
        <w:spacing/>
        <w:ind/>
        <w:rPr/>
      </w:pPr>
      <w:r>
        <w:t xml:space="preserve">Tool-supported review workflows.</w:t>
      </w:r>
      <w:r/>
    </w:p>
    <w:p>
      <w:pPr>
        <w:pStyle w:val="964"/>
        <w:numPr>
          <w:ilvl w:val="0"/>
          <w:numId w:val="226"/>
        </w:numPr>
        <w:pBdr/>
        <w:spacing/>
        <w:ind/>
        <w:rPr/>
      </w:pPr>
      <w:r>
        <w:t xml:space="preserve">Integration with design, architecture, security, privacy, and AI review processes.</w:t>
      </w:r>
      <w:r/>
    </w:p>
    <w:p>
      <w:pPr>
        <w:pStyle w:val="963"/>
        <w:pBdr/>
        <w:spacing/>
        <w:ind/>
        <w:rPr/>
      </w:pPr>
      <w:r>
        <w:rPr>
          <w:b/>
          <w:bCs/>
        </w:rPr>
        <w:t xml:space="preserve">Research Direction 2: Comparative Studies</w:t>
      </w:r>
      <w:r/>
    </w:p>
    <w:p>
      <w:pPr>
        <w:pStyle w:val="962"/>
        <w:pBdr/>
        <w:spacing/>
        <w:ind/>
        <w:rPr/>
      </w:pPr>
      <w:r>
        <w:t xml:space="preserve">Compare I-VSD with standard VSD, professional ethics codes, religious </w:t>
      </w:r>
      <w:r>
        <w:t xml:space="preserve">ethics frameworks, and secular responsible-technology methods. Such studies should compare reasoning quality, practitioner usability, stakeholder experience, and decision outcomes rather than assuming superiority from the framework’s moral grounding alone.</w:t>
      </w:r>
      <w:r/>
    </w:p>
    <w:p>
      <w:pPr>
        <w:pStyle w:val="962"/>
        <w:pBdr/>
        <w:spacing/>
        <w:ind/>
        <w:rPr/>
      </w:pPr>
      <w:r>
        <w:rPr>
          <w:b/>
          <w:bCs/>
        </w:rPr>
        <w:t xml:space="preserve">Research Direction 3: Longitudinal Studies</w:t>
      </w:r>
      <w:r/>
    </w:p>
    <w:p>
      <w:pPr>
        <w:pStyle w:val="962"/>
        <w:pBdr/>
        <w:spacing/>
        <w:ind/>
        <w:rPr/>
      </w:pPr>
      <w:r>
        <w:t xml:space="preserve">Track I-VSD applications over time:</w:t>
      </w:r>
      <w:r/>
    </w:p>
    <w:p>
      <w:pPr>
        <w:pStyle w:val="964"/>
        <w:numPr>
          <w:ilvl w:val="0"/>
          <w:numId w:val="227"/>
        </w:numPr>
        <w:pBdr/>
        <w:spacing/>
        <w:ind/>
        <w:rPr/>
      </w:pPr>
      <w:r>
        <w:t xml:space="preserve">Sustainability outcomes.</w:t>
      </w:r>
      <w:r/>
    </w:p>
    <w:p>
      <w:pPr>
        <w:pStyle w:val="964"/>
        <w:numPr>
          <w:ilvl w:val="0"/>
          <w:numId w:val="227"/>
        </w:numPr>
        <w:pBdr/>
        <w:spacing/>
        <w:ind/>
        <w:rPr/>
      </w:pPr>
      <w:r>
        <w:t xml:space="preserve">Evolution of ethical challenges.</w:t>
      </w:r>
      <w:r/>
    </w:p>
    <w:p>
      <w:pPr>
        <w:pStyle w:val="964"/>
        <w:numPr>
          <w:ilvl w:val="0"/>
          <w:numId w:val="227"/>
        </w:numPr>
        <w:pBdr/>
        <w:spacing/>
        <w:ind/>
        <w:rPr/>
      </w:pPr>
      <w:r>
        <w:t xml:space="preserve">Framework adaptation to new technologies.</w:t>
      </w:r>
      <w:r/>
    </w:p>
    <w:p>
      <w:pPr>
        <w:pStyle w:val="964"/>
        <w:numPr>
          <w:ilvl w:val="0"/>
          <w:numId w:val="227"/>
        </w:numPr>
        <w:pBdr/>
        <w:spacing/>
        <w:ind/>
        <w:rPr/>
      </w:pPr>
      <w:r>
        <w:t xml:space="preserve">User satisfaction and trust metrics.</w:t>
      </w:r>
      <w:r/>
    </w:p>
    <w:p>
      <w:pPr>
        <w:pStyle w:val="964"/>
        <w:numPr>
          <w:ilvl w:val="0"/>
          <w:numId w:val="227"/>
        </w:numPr>
        <w:pBdr/>
        <w:spacing/>
        <w:ind/>
        <w:rPr/>
      </w:pPr>
      <w:r>
        <w:t xml:space="preserve">Incident response, appeal handling, accessibility, portability, and moderation outcomes.</w:t>
      </w:r>
      <w:r/>
    </w:p>
    <w:p>
      <w:pPr>
        <w:pStyle w:val="963"/>
        <w:pBdr/>
        <w:spacing/>
        <w:ind/>
        <w:rPr/>
      </w:pPr>
      <w:r>
        <w:rPr>
          <w:b/>
          <w:bCs/>
        </w:rPr>
        <w:t xml:space="preserve">Research Direction 4: Domain-Specific Applications</w:t>
      </w:r>
      <w:r/>
    </w:p>
    <w:p>
      <w:pPr>
        <w:pStyle w:val="962"/>
        <w:pBdr/>
        <w:spacing/>
        <w:ind/>
        <w:rPr/>
      </w:pPr>
      <w:r>
        <w:t xml:space="preserve">A</w:t>
      </w:r>
      <w:r>
        <w:t xml:space="preserve">pply I-VSD to additional provider-mediated software contexts, such as healthcare software, financial technology, educational technology, social platforms, religious knowledge systems, identity systems, AI tools, plugins, APIs, and federated infrastructure.</w:t>
      </w:r>
      <w:r/>
    </w:p>
    <w:p>
      <w:pPr>
        <w:pStyle w:val="962"/>
        <w:pBdr/>
        <w:spacing/>
        <w:ind/>
        <w:rPr/>
      </w:pPr>
      <w:r>
        <w:rPr>
          <w:b/>
          <w:bCs/>
        </w:rPr>
        <w:t xml:space="preserve">Research Direction 5: Legal, Regulatory, and Scholarly Analysis</w:t>
      </w:r>
      <w:r/>
    </w:p>
    <w:p>
      <w:pPr>
        <w:pStyle w:val="962"/>
        <w:pBdr/>
        <w:spacing/>
        <w:ind/>
        <w:rPr/>
      </w:pPr>
      <w:r>
        <w:t xml:space="preserve">Future research should examine how I-VSD intersects with data protection law, consumer protection, intellectual property, accessibility law, AI regulation, Islamic finance, Islamic knowledge transmission, and scholarly technology ethics.</w:t>
      </w:r>
      <w:r/>
    </w:p>
    <w:p>
      <w:pPr>
        <w:pBdr/>
        <w:spacing/>
        <w:ind/>
        <w:rPr/>
      </w:pPr>
      <w:r>
        <mc:AlternateContent>
          <mc:Choice Requires="wpg">
            <w:drawing>
              <wp:inline xmlns:wp="http://schemas.openxmlformats.org/drawingml/2006/wordprocessingDrawing" distT="0" distB="0" distL="0" distR="0">
                <wp:extent cx="0" cy="19050"/>
                <wp:effectExtent l="0" t="0" r="0" b="0"/>
                <wp:docPr id="14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0" o:spid="_x0000_s140" o:spt="1" type="#_x0000_t1" style="width:0.00pt;height:1.50pt;mso-wrap-distance-left:0.00pt;mso-wrap-distance-top:0.00pt;mso-wrap-distance-right:0.00pt;mso-wrap-distance-bottom:0.00pt;visibility:visible;" fillcolor="#FFFFFF" strokecolor="#000000"/>
            </w:pict>
          </mc:Fallback>
        </mc:AlternateContent>
      </w:r>
      <w:bookmarkEnd w:id="161"/>
      <w:r/>
    </w:p>
    <w:p>
      <w:pPr>
        <w:pStyle w:val="977"/>
        <w:pBdr/>
        <w:spacing/>
        <w:ind/>
        <w:rPr/>
      </w:pPr>
      <w:r/>
      <w:bookmarkStart w:id="162" w:name="for-islamic-scholars"/>
      <w:r>
        <w:t xml:space="preserve">6.2.3 For Islamic Scholars</w:t>
      </w:r>
      <w:r/>
    </w:p>
    <w:p>
      <w:pPr>
        <w:pStyle w:val="963"/>
        <w:pBdr/>
        <w:spacing/>
        <w:ind/>
        <w:rPr/>
      </w:pPr>
      <w:r>
        <w:rPr>
          <w:b/>
          <w:bCs/>
        </w:rPr>
        <w:t xml:space="preserve">Scholarly Work Needed 1: Contemporary Fatwas</w:t>
      </w:r>
      <w:r>
        <w:br/>
      </w:r>
      <w:r>
        <w:t xml:space="preserve">Develop scholarly guidance on:</w:t>
      </w:r>
      <w:r/>
    </w:p>
    <w:p>
      <w:pPr>
        <w:pStyle w:val="964"/>
        <w:numPr>
          <w:ilvl w:val="0"/>
          <w:numId w:val="228"/>
        </w:numPr>
        <w:pBdr/>
        <w:spacing/>
        <w:ind/>
        <w:rPr/>
      </w:pPr>
      <w:r>
        <w:t xml:space="preserve">Emerging technologies (AI, blockchain, IoT, etc.)</w:t>
      </w:r>
      <w:r/>
    </w:p>
    <w:p>
      <w:pPr>
        <w:pStyle w:val="964"/>
        <w:numPr>
          <w:ilvl w:val="0"/>
          <w:numId w:val="228"/>
        </w:numPr>
        <w:pBdr/>
        <w:spacing/>
        <w:ind/>
        <w:rPr/>
      </w:pPr>
      <w:r>
        <w:t xml:space="preserve">Data privacy from Islamic perspective</w:t>
      </w:r>
      <w:r/>
    </w:p>
    <w:p>
      <w:pPr>
        <w:pStyle w:val="964"/>
        <w:numPr>
          <w:ilvl w:val="0"/>
          <w:numId w:val="228"/>
        </w:numPr>
        <w:pBdr/>
        <w:spacing/>
        <w:ind/>
        <w:rPr/>
      </w:pPr>
      <w:r>
        <w:t xml:space="preserve">Digital rights and ownership</w:t>
      </w:r>
      <w:r/>
    </w:p>
    <w:p>
      <w:pPr>
        <w:pStyle w:val="964"/>
        <w:numPr>
          <w:ilvl w:val="0"/>
          <w:numId w:val="228"/>
        </w:numPr>
        <w:pBdr/>
        <w:spacing/>
        <w:ind/>
        <w:rPr/>
      </w:pPr>
      <w:r>
        <w:t xml:space="preserve">Software-specific business models</w:t>
      </w:r>
      <w:r/>
    </w:p>
    <w:p>
      <w:pPr>
        <w:pStyle w:val="963"/>
        <w:pBdr/>
        <w:spacing/>
        <w:ind/>
        <w:rPr/>
      </w:pPr>
      <w:r>
        <w:rPr>
          <w:b/>
          <w:bCs/>
        </w:rPr>
        <w:t xml:space="preserve">Scholarly Work Needed 2: Usul al-Fiqh for Technology</w:t>
      </w:r>
      <w:r>
        <w:br/>
      </w:r>
      <w:r>
        <w:t xml:space="preserve">Apply Islamic legal principles to technology:</w:t>
      </w:r>
      <w:r/>
    </w:p>
    <w:p>
      <w:pPr>
        <w:pStyle w:val="964"/>
        <w:numPr>
          <w:ilvl w:val="0"/>
          <w:numId w:val="229"/>
        </w:numPr>
        <w:pBdr/>
        <w:spacing/>
        <w:ind/>
        <w:rPr/>
      </w:pPr>
      <w:r>
        <w:t xml:space="preserve">Qiyas (analogical reasoning) for new tech</w:t>
      </w:r>
      <w:r/>
    </w:p>
    <w:p>
      <w:pPr>
        <w:pStyle w:val="964"/>
        <w:numPr>
          <w:ilvl w:val="0"/>
          <w:numId w:val="229"/>
        </w:numPr>
        <w:pBdr/>
        <w:spacing/>
        <w:ind/>
        <w:rPr/>
      </w:pPr>
      <w:r>
        <w:t xml:space="preserve">Maslahah (public interest) in digital age</w:t>
      </w:r>
      <w:r/>
    </w:p>
    <w:p>
      <w:pPr>
        <w:pStyle w:val="964"/>
        <w:numPr>
          <w:ilvl w:val="0"/>
          <w:numId w:val="229"/>
        </w:numPr>
        <w:pBdr/>
        <w:spacing/>
        <w:ind/>
        <w:rPr/>
      </w:pPr>
      <w:r>
        <w:t xml:space="preserve">Maqasid al-Shariah (objectives of Islamic law) for software</w:t>
      </w:r>
      <w:r/>
    </w:p>
    <w:p>
      <w:pPr>
        <w:pStyle w:val="963"/>
        <w:pBdr/>
        <w:spacing/>
        <w:ind/>
        <w:rPr/>
      </w:pPr>
      <w:r>
        <w:rPr>
          <w:b/>
          <w:bCs/>
        </w:rPr>
        <w:t xml:space="preserve">Scholarly Work Needed 3: Collaborative Framework Development</w:t>
      </w:r>
      <w:r>
        <w:br/>
      </w:r>
      <w:r>
        <w:t xml:space="preserve">Partner with technologists to:</w:t>
      </w:r>
      <w:r/>
    </w:p>
    <w:p>
      <w:pPr>
        <w:pStyle w:val="964"/>
        <w:numPr>
          <w:ilvl w:val="0"/>
          <w:numId w:val="230"/>
        </w:numPr>
        <w:pBdr/>
        <w:spacing/>
        <w:ind/>
        <w:rPr/>
      </w:pPr>
      <w:r>
        <w:t xml:space="preserve">Understand technical realities of software development</w:t>
      </w:r>
      <w:r/>
    </w:p>
    <w:p>
      <w:pPr>
        <w:pStyle w:val="964"/>
        <w:numPr>
          <w:ilvl w:val="0"/>
          <w:numId w:val="230"/>
        </w:numPr>
        <w:pBdr/>
        <w:spacing/>
        <w:ind/>
        <w:rPr/>
      </w:pPr>
      <w:r>
        <w:t xml:space="preserve">Provide nuanced guidance for complex scenarios</w:t>
      </w:r>
      <w:r/>
    </w:p>
    <w:p>
      <w:pPr>
        <w:pStyle w:val="964"/>
        <w:numPr>
          <w:ilvl w:val="0"/>
          <w:numId w:val="230"/>
        </w:numPr>
        <w:pBdr/>
        <w:spacing/>
        <w:ind/>
        <w:rPr/>
      </w:pPr>
      <w:r>
        <w:t xml:space="preserve">Build bridges between scholarship and practice</w:t>
      </w:r>
      <w:r/>
    </w:p>
    <w:p>
      <w:pPr>
        <w:pBdr/>
        <w:spacing/>
        <w:ind/>
        <w:rPr/>
      </w:pPr>
      <w:r>
        <mc:AlternateContent>
          <mc:Choice Requires="wpg">
            <w:drawing>
              <wp:inline xmlns:wp="http://schemas.openxmlformats.org/drawingml/2006/wordprocessingDrawing" distT="0" distB="0" distL="0" distR="0">
                <wp:extent cx="0" cy="19050"/>
                <wp:effectExtent l="0" t="0" r="0" b="0"/>
                <wp:docPr id="14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1" o:spid="_x0000_s141" o:spt="1" type="#_x0000_t1" style="width:0.00pt;height:1.50pt;mso-wrap-distance-left:0.00pt;mso-wrap-distance-top:0.00pt;mso-wrap-distance-right:0.00pt;mso-wrap-distance-bottom:0.00pt;visibility:visible;" fillcolor="#FFFFFF" strokecolor="#000000"/>
            </w:pict>
          </mc:Fallback>
        </mc:AlternateContent>
      </w:r>
      <w:bookmarkEnd w:id="162"/>
      <w:r/>
    </w:p>
    <w:p>
      <w:pPr>
        <w:pStyle w:val="977"/>
        <w:pBdr/>
        <w:spacing/>
        <w:ind/>
        <w:rPr/>
      </w:pPr>
      <w:r/>
      <w:bookmarkStart w:id="163" w:name="for-educators"/>
      <w:r>
        <w:t xml:space="preserve">6.2.4 For Educators</w:t>
      </w:r>
      <w:r/>
    </w:p>
    <w:p>
      <w:pPr>
        <w:pStyle w:val="963"/>
        <w:pBdr/>
        <w:spacing/>
        <w:ind/>
        <w:rPr/>
      </w:pPr>
      <w:r>
        <w:rPr>
          <w:b/>
          <w:bCs/>
        </w:rPr>
        <w:t xml:space="preserve">Educational Direction 1: Curriculum Development</w:t>
      </w:r>
      <w:r>
        <w:br/>
      </w:r>
      <w:r>
        <w:t xml:space="preserve">Create educational materials on:</w:t>
      </w:r>
      <w:r/>
    </w:p>
    <w:p>
      <w:pPr>
        <w:pStyle w:val="964"/>
        <w:numPr>
          <w:ilvl w:val="0"/>
          <w:numId w:val="231"/>
        </w:numPr>
        <w:pBdr/>
        <w:spacing/>
        <w:ind/>
        <w:rPr/>
      </w:pPr>
      <w:r>
        <w:t xml:space="preserve">Islamic ethics in computer science</w:t>
      </w:r>
      <w:r/>
    </w:p>
    <w:p>
      <w:pPr>
        <w:pStyle w:val="964"/>
        <w:numPr>
          <w:ilvl w:val="0"/>
          <w:numId w:val="231"/>
        </w:numPr>
        <w:pBdr/>
        <w:spacing/>
        <w:ind/>
        <w:rPr/>
      </w:pPr>
      <w:r>
        <w:t xml:space="preserve">I-VSD framework and application</w:t>
      </w:r>
      <w:r/>
    </w:p>
    <w:p>
      <w:pPr>
        <w:pStyle w:val="964"/>
        <w:numPr>
          <w:ilvl w:val="0"/>
          <w:numId w:val="231"/>
        </w:numPr>
        <w:pBdr/>
        <w:spacing/>
        <w:ind/>
        <w:rPr/>
      </w:pPr>
      <w:r>
        <w:t xml:space="preserve">Case studies of ethical and unethical software</w:t>
      </w:r>
      <w:r/>
    </w:p>
    <w:p>
      <w:pPr>
        <w:pStyle w:val="964"/>
        <w:numPr>
          <w:ilvl w:val="0"/>
          <w:numId w:val="231"/>
        </w:numPr>
        <w:pBdr/>
        <w:spacing/>
        <w:ind/>
        <w:rPr/>
      </w:pPr>
      <w:r>
        <w:t xml:space="preserve">Practical exercises in ethical decision-making</w:t>
      </w:r>
      <w:r/>
    </w:p>
    <w:p>
      <w:pPr>
        <w:pStyle w:val="963"/>
        <w:pBdr/>
        <w:spacing/>
        <w:ind/>
        <w:rPr/>
      </w:pPr>
      <w:r>
        <w:rPr>
          <w:b/>
          <w:bCs/>
        </w:rPr>
        <w:t xml:space="preserve">Educational Direction 2: Professional Development</w:t>
      </w:r>
      <w:r>
        <w:br/>
      </w:r>
      <w:r>
        <w:t xml:space="preserve">Offer training for:</w:t>
      </w:r>
      <w:r/>
    </w:p>
    <w:p>
      <w:pPr>
        <w:pStyle w:val="964"/>
        <w:numPr>
          <w:ilvl w:val="0"/>
          <w:numId w:val="232"/>
        </w:numPr>
        <w:pBdr/>
        <w:spacing/>
        <w:ind/>
        <w:rPr/>
      </w:pPr>
      <w:r>
        <w:t xml:space="preserve">Muslim software developers</w:t>
      </w:r>
      <w:r/>
    </w:p>
    <w:p>
      <w:pPr>
        <w:pStyle w:val="964"/>
        <w:numPr>
          <w:ilvl w:val="0"/>
          <w:numId w:val="232"/>
        </w:numPr>
        <w:pBdr/>
        <w:spacing/>
        <w:ind/>
        <w:rPr/>
      </w:pPr>
      <w:r>
        <w:t xml:space="preserve">Technology managers and leaders</w:t>
      </w:r>
      <w:r/>
    </w:p>
    <w:p>
      <w:pPr>
        <w:pStyle w:val="964"/>
        <w:numPr>
          <w:ilvl w:val="0"/>
          <w:numId w:val="232"/>
        </w:numPr>
        <w:pBdr/>
        <w:spacing/>
        <w:ind/>
        <w:rPr/>
      </w:pPr>
      <w:r>
        <w:t xml:space="preserve">Entrepreneurs and startup founders</w:t>
      </w:r>
      <w:r/>
    </w:p>
    <w:p>
      <w:pPr>
        <w:pStyle w:val="964"/>
        <w:numPr>
          <w:ilvl w:val="0"/>
          <w:numId w:val="232"/>
        </w:numPr>
        <w:pBdr/>
        <w:spacing/>
        <w:ind/>
        <w:rPr/>
      </w:pPr>
      <w:r>
        <w:t xml:space="preserve">Product designers and UX professionals</w:t>
      </w:r>
      <w:r/>
    </w:p>
    <w:p>
      <w:pPr>
        <w:pStyle w:val="963"/>
        <w:pBdr/>
        <w:spacing/>
        <w:ind/>
        <w:rPr/>
      </w:pPr>
      <w:r>
        <w:rPr>
          <w:b/>
          <w:bCs/>
        </w:rPr>
        <w:t xml:space="preserve">Educational Direction 3: Integration with Existing Programs</w:t>
      </w:r>
      <w:r>
        <w:br/>
      </w:r>
      <w:r>
        <w:t xml:space="preserve">Integrate I-VSD into:</w:t>
      </w:r>
      <w:r/>
    </w:p>
    <w:p>
      <w:pPr>
        <w:pStyle w:val="964"/>
        <w:numPr>
          <w:ilvl w:val="0"/>
          <w:numId w:val="233"/>
        </w:numPr>
        <w:pBdr/>
        <w:spacing/>
        <w:ind/>
        <w:rPr/>
      </w:pPr>
      <w:r>
        <w:t xml:space="preserve">Computer science curricula</w:t>
      </w:r>
      <w:r/>
    </w:p>
    <w:p>
      <w:pPr>
        <w:pStyle w:val="964"/>
        <w:numPr>
          <w:ilvl w:val="0"/>
          <w:numId w:val="233"/>
        </w:numPr>
        <w:pBdr/>
        <w:spacing/>
        <w:ind/>
        <w:rPr/>
      </w:pPr>
      <w:r>
        <w:t xml:space="preserve">Islamic studies programs</w:t>
      </w:r>
      <w:r/>
    </w:p>
    <w:p>
      <w:pPr>
        <w:pStyle w:val="964"/>
        <w:numPr>
          <w:ilvl w:val="0"/>
          <w:numId w:val="233"/>
        </w:numPr>
        <w:pBdr/>
        <w:spacing/>
        <w:ind/>
        <w:rPr/>
      </w:pPr>
      <w:r>
        <w:t xml:space="preserve">Business ethics courses</w:t>
      </w:r>
      <w:r/>
    </w:p>
    <w:p>
      <w:pPr>
        <w:pStyle w:val="964"/>
        <w:numPr>
          <w:ilvl w:val="0"/>
          <w:numId w:val="233"/>
        </w:numPr>
        <w:pBdr/>
        <w:spacing/>
        <w:ind/>
        <w:rPr/>
      </w:pPr>
      <w:r>
        <w:t xml:space="preserve">Design and HCI programs</w:t>
      </w:r>
      <w:r/>
    </w:p>
    <w:p>
      <w:pPr>
        <w:pBdr/>
        <w:spacing/>
        <w:ind/>
        <w:rPr/>
      </w:pPr>
      <w:r>
        <mc:AlternateContent>
          <mc:Choice Requires="wpg">
            <w:drawing>
              <wp:inline xmlns:wp="http://schemas.openxmlformats.org/drawingml/2006/wordprocessingDrawing" distT="0" distB="0" distL="0" distR="0">
                <wp:extent cx="0" cy="19050"/>
                <wp:effectExtent l="0" t="0" r="0" b="0"/>
                <wp:docPr id="14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2" o:spid="_x0000_s142" o:spt="1" type="#_x0000_t1" style="width:0.00pt;height:1.50pt;mso-wrap-distance-left:0.00pt;mso-wrap-distance-top:0.00pt;mso-wrap-distance-right:0.00pt;mso-wrap-distance-bottom:0.00pt;visibility:visible;" fillcolor="#FFFFFF" strokecolor="#000000"/>
            </w:pict>
          </mc:Fallback>
        </mc:AlternateContent>
      </w:r>
      <w:bookmarkEnd w:id="163"/>
      <w:r/>
    </w:p>
    <w:p>
      <w:pPr>
        <w:pStyle w:val="977"/>
        <w:pBdr/>
        <w:spacing/>
        <w:ind/>
        <w:rPr/>
      </w:pPr>
      <w:r/>
      <w:bookmarkStart w:id="164" w:name="for-the-muslim-ummah"/>
      <w:r>
        <w:t xml:space="preserve">6.2.5 For the Muslim Ummah</w:t>
      </w:r>
      <w:r/>
    </w:p>
    <w:p>
      <w:pPr>
        <w:pStyle w:val="963"/>
        <w:pBdr/>
        <w:spacing/>
        <w:ind/>
        <w:rPr/>
      </w:pPr>
      <w:r>
        <w:rPr>
          <w:b/>
          <w:bCs/>
        </w:rPr>
        <w:t xml:space="preserve">Community Action 1: Support Ethical Software</w:t>
      </w:r>
      <w:r>
        <w:br/>
      </w:r>
      <w:r>
        <w:t xml:space="preserve">Community members should:</w:t>
      </w:r>
      <w:r/>
    </w:p>
    <w:p>
      <w:pPr>
        <w:pStyle w:val="964"/>
        <w:numPr>
          <w:ilvl w:val="0"/>
          <w:numId w:val="234"/>
        </w:numPr>
        <w:pBdr/>
        <w:spacing/>
        <w:ind/>
        <w:rPr/>
      </w:pPr>
      <w:r>
        <w:t xml:space="preserve">Prioritize ethical software choices</w:t>
      </w:r>
      <w:r/>
    </w:p>
    <w:p>
      <w:pPr>
        <w:pStyle w:val="964"/>
        <w:numPr>
          <w:ilvl w:val="0"/>
          <w:numId w:val="234"/>
        </w:numPr>
        <w:pBdr/>
        <w:spacing/>
        <w:ind/>
        <w:rPr/>
      </w:pPr>
      <w:r>
        <w:t xml:space="preserve">Support Muslim-developed ethical alternatives</w:t>
      </w:r>
      <w:r/>
    </w:p>
    <w:p>
      <w:pPr>
        <w:pStyle w:val="964"/>
        <w:numPr>
          <w:ilvl w:val="0"/>
          <w:numId w:val="234"/>
        </w:numPr>
        <w:pBdr/>
        <w:spacing/>
        <w:ind/>
        <w:rPr/>
      </w:pPr>
      <w:r>
        <w:t xml:space="preserve">Provide feedback to developers</w:t>
      </w:r>
      <w:r/>
    </w:p>
    <w:p>
      <w:pPr>
        <w:pStyle w:val="964"/>
        <w:numPr>
          <w:ilvl w:val="0"/>
          <w:numId w:val="234"/>
        </w:numPr>
        <w:pBdr/>
        <w:spacing/>
        <w:ind/>
        <w:rPr/>
      </w:pPr>
      <w:r>
        <w:t xml:space="preserve">Financially sustain ethical projects (through donations, subscriptions, etc.)</w:t>
      </w:r>
      <w:r/>
    </w:p>
    <w:p>
      <w:pPr>
        <w:pStyle w:val="963"/>
        <w:pBdr/>
        <w:spacing/>
        <w:ind/>
        <w:rPr/>
      </w:pPr>
      <w:r>
        <w:rPr>
          <w:b/>
          <w:bCs/>
        </w:rPr>
        <w:t xml:space="preserve">Community Action 2: Demand Accountability</w:t>
      </w:r>
      <w:r>
        <w:br/>
      </w:r>
      <w:r>
        <w:t xml:space="preserve">Hold organizations accountable:</w:t>
      </w:r>
      <w:r/>
    </w:p>
    <w:p>
      <w:pPr>
        <w:pStyle w:val="964"/>
        <w:numPr>
          <w:ilvl w:val="0"/>
          <w:numId w:val="235"/>
        </w:numPr>
        <w:pBdr/>
        <w:spacing/>
        <w:ind/>
        <w:rPr/>
      </w:pPr>
      <w:r>
        <w:t xml:space="preserve">Question ethical practices</w:t>
      </w:r>
      <w:r/>
    </w:p>
    <w:p>
      <w:pPr>
        <w:pStyle w:val="964"/>
        <w:numPr>
          <w:ilvl w:val="0"/>
          <w:numId w:val="235"/>
        </w:numPr>
        <w:pBdr/>
        <w:spacing/>
        <w:ind/>
        <w:rPr/>
      </w:pPr>
      <w:r>
        <w:t xml:space="preserve">Boycott unethical services when ethical alternatives exist</w:t>
      </w:r>
      <w:r/>
    </w:p>
    <w:p>
      <w:pPr>
        <w:pStyle w:val="964"/>
        <w:numPr>
          <w:ilvl w:val="0"/>
          <w:numId w:val="235"/>
        </w:numPr>
        <w:pBdr/>
        <w:spacing/>
        <w:ind/>
        <w:rPr/>
      </w:pPr>
      <w:r>
        <w:t xml:space="preserve">Advocate for Islamic values in technology</w:t>
      </w:r>
      <w:r/>
    </w:p>
    <w:p>
      <w:pPr>
        <w:pStyle w:val="963"/>
        <w:pBdr/>
        <w:spacing/>
        <w:ind/>
        <w:rPr/>
      </w:pPr>
      <w:r>
        <w:rPr>
          <w:b/>
          <w:bCs/>
        </w:rPr>
        <w:t xml:space="preserve">Community Action 3: Collaborate and Contribute</w:t>
      </w:r>
      <w:r>
        <w:br/>
      </w:r>
      <w:r>
        <w:t xml:space="preserve">Participate in ethical software development:</w:t>
      </w:r>
      <w:r/>
    </w:p>
    <w:p>
      <w:pPr>
        <w:pStyle w:val="964"/>
        <w:numPr>
          <w:ilvl w:val="0"/>
          <w:numId w:val="236"/>
        </w:numPr>
        <w:pBdr/>
        <w:spacing/>
        <w:ind/>
        <w:rPr/>
      </w:pPr>
      <w:r>
        <w:t xml:space="preserve">Contribute to open-source Islamic projects</w:t>
      </w:r>
      <w:r/>
    </w:p>
    <w:p>
      <w:pPr>
        <w:pStyle w:val="964"/>
        <w:numPr>
          <w:ilvl w:val="0"/>
          <w:numId w:val="236"/>
        </w:numPr>
        <w:pBdr/>
        <w:spacing/>
        <w:ind/>
        <w:rPr/>
      </w:pPr>
      <w:r>
        <w:t xml:space="preserve">Provide expertise (technical, design, content, etc.)</w:t>
      </w:r>
      <w:r/>
    </w:p>
    <w:p>
      <w:pPr>
        <w:pStyle w:val="964"/>
        <w:numPr>
          <w:ilvl w:val="0"/>
          <w:numId w:val="236"/>
        </w:numPr>
        <w:pBdr/>
        <w:spacing/>
        <w:ind/>
        <w:rPr/>
      </w:pPr>
      <w:r>
        <w:t xml:space="preserve">Test and provide feedback</w:t>
      </w:r>
      <w:r/>
    </w:p>
    <w:p>
      <w:pPr>
        <w:pStyle w:val="964"/>
        <w:numPr>
          <w:ilvl w:val="0"/>
          <w:numId w:val="236"/>
        </w:numPr>
        <w:pBdr/>
        <w:spacing/>
        <w:ind/>
        <w:rPr/>
      </w:pPr>
      <w:r>
        <w:t xml:space="preserve">Spread awareness in networks</w:t>
      </w:r>
      <w:r/>
    </w:p>
    <w:p>
      <w:pPr>
        <w:pBdr/>
        <w:spacing/>
        <w:ind/>
        <w:rPr/>
      </w:pPr>
      <w:r>
        <mc:AlternateContent>
          <mc:Choice Requires="wpg">
            <w:drawing>
              <wp:inline xmlns:wp="http://schemas.openxmlformats.org/drawingml/2006/wordprocessingDrawing" distT="0" distB="0" distL="0" distR="0">
                <wp:extent cx="0" cy="19050"/>
                <wp:effectExtent l="0" t="0" r="0" b="0"/>
                <wp:docPr id="14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3" o:spid="_x0000_s143" o:spt="1" type="#_x0000_t1" style="width:0.00pt;height:1.50pt;mso-wrap-distance-left:0.00pt;mso-wrap-distance-top:0.00pt;mso-wrap-distance-right:0.00pt;mso-wrap-distance-bottom:0.00pt;visibility:visible;" fillcolor="#FFFFFF" strokecolor="#000000"/>
            </w:pict>
          </mc:Fallback>
        </mc:AlternateContent>
      </w:r>
      <w:bookmarkEnd w:id="164"/>
      <w:r/>
    </w:p>
    <w:p>
      <w:pPr>
        <w:pStyle w:val="977"/>
        <w:pBdr/>
        <w:spacing/>
        <w:ind/>
        <w:rPr/>
      </w:pPr>
      <w:r/>
      <w:bookmarkStart w:id="165" w:name="for-future-thesis-development"/>
      <w:r>
        <w:t xml:space="preserve">6.2.6 For Future Thesis Development</w:t>
      </w:r>
      <w:r/>
    </w:p>
    <w:p>
      <w:pPr>
        <w:pStyle w:val="963"/>
        <w:pBdr/>
        <w:spacing/>
        <w:ind/>
        <w:rPr/>
      </w:pPr>
      <w:r>
        <w:rPr>
          <w:b/>
          <w:bCs/>
        </w:rPr>
        <w:t xml:space="preserve">Enhancement 1: Expanded Literature Review</w:t>
      </w:r>
      <w:r/>
    </w:p>
    <w:p>
      <w:pPr>
        <w:pStyle w:val="962"/>
        <w:pBdr/>
        <w:spacing/>
        <w:ind/>
        <w:rPr/>
      </w:pPr>
      <w:r>
        <w:t xml:space="preserve">Future versions should include a deeper VSD literature review, more detailed Islamic scholarship citations, comparative religious ethics analysis, and additional responsible-technology literature.</w:t>
      </w:r>
      <w:r/>
    </w:p>
    <w:p>
      <w:pPr>
        <w:pStyle w:val="962"/>
        <w:pBdr/>
        <w:spacing/>
        <w:ind/>
        <w:rPr/>
      </w:pPr>
      <w:r>
        <w:rPr>
          <w:b/>
          <w:bCs/>
        </w:rPr>
        <w:t xml:space="preserve">Enhancement 2: Additional Case Studies</w:t>
      </w:r>
      <w:r/>
    </w:p>
    <w:p>
      <w:pPr>
        <w:pStyle w:val="962"/>
        <w:pBdr/>
        <w:spacing/>
        <w:ind/>
        <w:rPr/>
      </w:pPr>
      <w:r>
        <w:t xml:space="preserve">Apply I-VSD to multiple organizations, software domains, scales, cultural contexts, deployment models, and both successful and unsuccessful implementation attempts.</w:t>
      </w:r>
      <w:r/>
    </w:p>
    <w:p>
      <w:pPr>
        <w:pStyle w:val="962"/>
        <w:pBdr/>
        <w:spacing/>
        <w:ind/>
        <w:rPr/>
      </w:pPr>
      <w:r>
        <w:rPr>
          <w:b/>
          <w:bCs/>
        </w:rPr>
        <w:t xml:space="preserve">Enhancement 3: Tool Development</w:t>
      </w:r>
      <w:r/>
    </w:p>
    <w:p>
      <w:pPr>
        <w:pStyle w:val="962"/>
        <w:pBdr/>
        <w:spacing/>
        <w:ind/>
        <w:rPr/>
      </w:pPr>
      <w:r>
        <w:t xml:space="preserve">Create practical tools such as:</w:t>
      </w:r>
      <w:r/>
    </w:p>
    <w:p>
      <w:pPr>
        <w:pStyle w:val="964"/>
        <w:numPr>
          <w:ilvl w:val="0"/>
          <w:numId w:val="237"/>
        </w:numPr>
        <w:pBdr/>
        <w:spacing/>
        <w:ind/>
        <w:rPr/>
      </w:pPr>
      <w:r>
        <w:t xml:space="preserve">I-VSD review checklists.</w:t>
      </w:r>
      <w:r/>
    </w:p>
    <w:p>
      <w:pPr>
        <w:pStyle w:val="964"/>
        <w:numPr>
          <w:ilvl w:val="0"/>
          <w:numId w:val="237"/>
        </w:numPr>
        <w:pBdr/>
        <w:spacing/>
        <w:ind/>
        <w:rPr/>
      </w:pPr>
      <w:r>
        <w:t xml:space="preserve">Decision flowcharts for ethical dilemmas.</w:t>
      </w:r>
      <w:r/>
    </w:p>
    <w:p>
      <w:pPr>
        <w:pStyle w:val="964"/>
        <w:numPr>
          <w:ilvl w:val="0"/>
          <w:numId w:val="237"/>
        </w:numPr>
        <w:pBdr/>
        <w:spacing/>
        <w:ind/>
        <w:rPr/>
      </w:pPr>
      <w:r>
        <w:t xml:space="preserve">Traceability matrices.</w:t>
      </w:r>
      <w:r/>
    </w:p>
    <w:p>
      <w:pPr>
        <w:pStyle w:val="964"/>
        <w:numPr>
          <w:ilvl w:val="0"/>
          <w:numId w:val="237"/>
        </w:numPr>
        <w:pBdr/>
        <w:spacing/>
        <w:ind/>
        <w:rPr/>
      </w:pPr>
      <w:r>
        <w:t xml:space="preserve">Assessment rubrics.</w:t>
      </w:r>
      <w:r/>
    </w:p>
    <w:p>
      <w:pPr>
        <w:pStyle w:val="964"/>
        <w:numPr>
          <w:ilvl w:val="0"/>
          <w:numId w:val="237"/>
        </w:numPr>
        <w:pBdr/>
        <w:spacing/>
        <w:ind/>
        <w:rPr/>
      </w:pPr>
      <w:r>
        <w:t xml:space="preserve">Code, UX, privacy, AI, and policy-review prompts.</w:t>
      </w:r>
      <w:r/>
    </w:p>
    <w:p>
      <w:pPr>
        <w:pStyle w:val="963"/>
        <w:pBdr/>
        <w:spacing/>
        <w:ind/>
        <w:rPr/>
      </w:pPr>
      <w:r>
        <w:rPr>
          <w:b/>
          <w:bCs/>
        </w:rPr>
        <w:t xml:space="preserve">Enhancement 4: Quantitative and Qualitative Evaluation</w:t>
      </w:r>
      <w:r/>
    </w:p>
    <w:p>
      <w:pPr>
        <w:pStyle w:val="962"/>
        <w:pBdr/>
        <w:spacing/>
        <w:ind/>
        <w:rPr/>
      </w:pPr>
      <w:r>
        <w:t xml:space="preserve">Develop methods for assessing:</w:t>
      </w:r>
      <w:r/>
    </w:p>
    <w:p>
      <w:pPr>
        <w:pStyle w:val="964"/>
        <w:numPr>
          <w:ilvl w:val="0"/>
          <w:numId w:val="238"/>
        </w:numPr>
        <w:pBdr/>
        <w:spacing/>
        <w:ind/>
        <w:rPr/>
      </w:pPr>
      <w:r>
        <w:t xml:space="preserve">Ethical review consistency.</w:t>
      </w:r>
      <w:r/>
    </w:p>
    <w:p>
      <w:pPr>
        <w:pStyle w:val="964"/>
        <w:numPr>
          <w:ilvl w:val="0"/>
          <w:numId w:val="238"/>
        </w:numPr>
        <w:pBdr/>
        <w:spacing/>
        <w:ind/>
        <w:rPr/>
      </w:pPr>
      <w:r>
        <w:t xml:space="preserve">User trust measurement.</w:t>
      </w:r>
      <w:r/>
    </w:p>
    <w:p>
      <w:pPr>
        <w:pStyle w:val="964"/>
        <w:numPr>
          <w:ilvl w:val="0"/>
          <w:numId w:val="238"/>
        </w:numPr>
        <w:pBdr/>
        <w:spacing/>
        <w:ind/>
        <w:rPr/>
      </w:pPr>
      <w:r>
        <w:t xml:space="preserve">Sustainability indicators.</w:t>
      </w:r>
      <w:r/>
    </w:p>
    <w:p>
      <w:pPr>
        <w:pStyle w:val="964"/>
        <w:numPr>
          <w:ilvl w:val="0"/>
          <w:numId w:val="238"/>
        </w:numPr>
        <w:pBdr/>
        <w:spacing/>
        <w:ind/>
        <w:rPr/>
      </w:pPr>
      <w:r>
        <w:t xml:space="preserve">Comparative framework outcomes.</w:t>
      </w:r>
      <w:r/>
    </w:p>
    <w:p>
      <w:pPr>
        <w:pStyle w:val="964"/>
        <w:numPr>
          <w:ilvl w:val="0"/>
          <w:numId w:val="238"/>
        </w:numPr>
        <w:pBdr/>
        <w:spacing/>
        <w:ind/>
        <w:rPr/>
      </w:pPr>
      <w:r>
        <w:t xml:space="preserve">Stakeholder experience.</w:t>
      </w:r>
      <w:r/>
    </w:p>
    <w:p>
      <w:pPr>
        <w:pStyle w:val="964"/>
        <w:numPr>
          <w:ilvl w:val="0"/>
          <w:numId w:val="238"/>
        </w:numPr>
        <w:pBdr/>
        <w:spacing/>
        <w:ind/>
        <w:rPr/>
      </w:pPr>
      <w:r>
        <w:t xml:space="preserve">Incident, appeal, privacy, security, accessibility, and moderation records.</w:t>
      </w:r>
      <w:r/>
    </w:p>
    <w:p>
      <w:pPr>
        <w:pStyle w:val="963"/>
        <w:pBdr/>
        <w:spacing/>
        <w:ind/>
        <w:rPr/>
      </w:pPr>
      <w:r>
        <w:rPr>
          <w:b/>
          <w:bCs/>
        </w:rPr>
        <w:t xml:space="preserve">Enhancement 5: Compliance Tooling and Practitioner Support</w:t>
      </w:r>
      <w:r/>
    </w:p>
    <w:p>
      <w:pPr>
        <w:pStyle w:val="962"/>
        <w:pBdr/>
        <w:spacing/>
        <w:ind/>
        <w:rPr/>
      </w:pPr>
      <w:r>
        <w:t xml:space="preserve">Such tools would support practitioner review and trust-building, but they would not constitute legal certification, Sharia certification, market validation, or proof that a product is morally compliant.</w:t>
      </w:r>
      <w:r/>
    </w:p>
    <w:p>
      <w:pPr>
        <w:pStyle w:val="962"/>
        <w:pBdr/>
        <w:spacing/>
        <w:ind/>
        <w:rPr/>
      </w:pPr>
      <w:r>
        <w:t xml:space="preserve">Future work should explore tools that help practitioners apply I-VSD without pretending that ethics can be fully automated. A practical ecosystem could combine an AI-agent skill or </w:t>
      </w:r>
      <w:r>
        <w:t xml:space="preserve">checklist, a CLI that gathers project context and flags likely ethical risks, an MCP/API service connected to curated framework guidance, testing libraries for concrete anti-patterns, and consultancy or training programs for teams that need human judgment.</w:t>
      </w:r>
      <w:r/>
    </w:p>
    <w:p>
      <w:pPr>
        <w:pStyle w:val="962"/>
        <w:pBdr/>
        <w:spacing/>
        <w:ind/>
        <w:rPr/>
      </w:pPr>
      <w:r>
        <w:rPr>
          <w:b/>
          <w:bCs/>
        </w:rPr>
        <w:t xml:space="preserve">Enhancement 6: Vendor and Jurisdiction Analysis</w:t>
      </w:r>
      <w:r/>
    </w:p>
    <w:p>
      <w:pPr>
        <w:pStyle w:val="962"/>
        <w:pBdr/>
        <w:spacing/>
        <w:ind/>
        <w:rPr/>
      </w:pPr>
      <w:r>
        <w:t xml:space="preserve">Future versions should refine how the framework compares vendors a</w:t>
      </w:r>
      <w:r>
        <w:t xml:space="preserve">cross jurisdictions. Legal environments can shape incentives, but geography alone should never be treated as evidence of morality. The framework should evaluate concrete conduct, licensing, data practices, openness, incident response, and user protections.</w:t>
      </w:r>
      <w:r/>
    </w:p>
    <w:p>
      <w:pPr>
        <w:pBdr/>
        <w:spacing/>
        <w:ind/>
        <w:rPr/>
      </w:pPr>
      <w:r>
        <mc:AlternateContent>
          <mc:Choice Requires="wpg">
            <w:drawing>
              <wp:inline xmlns:wp="http://schemas.openxmlformats.org/drawingml/2006/wordprocessingDrawing" distT="0" distB="0" distL="0" distR="0">
                <wp:extent cx="0" cy="19050"/>
                <wp:effectExtent l="0" t="0" r="0" b="0"/>
                <wp:docPr id="14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4" o:spid="_x0000_s144"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Enhancement 7: Future Client Freedom, Platform Strategy, and Trust-and-Safety Infrastructure</w:t>
      </w:r>
      <w:r/>
    </w:p>
    <w:p>
      <w:pPr>
        <w:pStyle w:val="962"/>
        <w:pBdr/>
        <w:spacing/>
        <w:ind/>
        <w:rPr/>
      </w:pPr>
      <w:r>
        <w:t xml:space="preserve">Future ISLAMU Event platform work should treat mobile and desktop clients as an I-VSD question of accessibility, self-hosting usability, and anti-lock-in rather than as</w:t>
      </w:r>
      <w:r>
        <w:t xml:space="preserve"> a detached technology roadmap. A future client should ask for an API or instance on first launch, provide a low-friction official ISLAMU instance option, offer a verified instance list, support custom URLs with clear instructions, and allow both instance </w:t>
      </w:r>
      <w:r>
        <w:t xml:space="preserve">switching and tenant switching inside multi-tenant deployments. KMP/Compose, Rust, or C# should be treated as candidate implementation technologies, not as the ethical contribution itself. WearOS or wearable support remains a separate feasibility question.</w:t>
      </w:r>
      <w:r/>
    </w:p>
    <w:p>
      <w:pPr>
        <w:pStyle w:val="962"/>
        <w:pBdr/>
        <w:spacing/>
        <w:ind/>
        <w:rPr/>
      </w:pPr>
      <w:r>
        <w:t xml:space="preserve">This design direction responds to a concrete moral risk: many o</w:t>
      </w:r>
      <w:r>
        <w:t xml:space="preserve">fficial mobile or desktop clients for otherwise open or self-hostable platforms quietly assume the provider’s own hosted instance, making self-hosting technically possible but practically marginalized. Tailscale/Headscale provides a narrow positive compari</w:t>
      </w:r>
      <w:r>
        <w:t xml:space="preserve">son pattern: official Tailscale documentation describes using custom control server URLs, and Headscale documents official Tailscale clients connecting to a self-managed control plane. PeerTube’s mobile documentation similarly treats listed and unlisted pl</w:t>
      </w:r>
      <w:r>
        <w:t xml:space="preserve">atform selection as part of the client experience. These examples should not be read as moral endorsements of those projects; they illustrate the design principle that client software can preserve user agency by making alternative infrastructure reachable.</w:t>
      </w:r>
      <w:r/>
    </w:p>
    <w:p>
      <w:pPr>
        <w:pStyle w:val="962"/>
        <w:pBdr/>
        <w:spacing/>
        <w:ind/>
        <w:rPr/>
      </w:pPr>
      <w:r>
        <w:t xml:space="preserve">Future operational work should also examine layered self-hosting hardening, behavior-based intrusion-detection or remediation tooling</w:t>
      </w:r>
      <w:r>
        <w:t xml:space="preserve">, and privacy-preserving operational monitoring. Tools such as CrowdSec may be relevant to this direction, but their use would support due diligence and operational stewardship rather than prove that the system is secure. Similarly, open-source Trust and S</w:t>
      </w:r>
      <w:r>
        <w:t xml:space="preserve">afety infrastructure such as ROOST Osprey could be evaluated for moderation triage, incident investigation, and rule-based response workflows, without claiming that fair moderation, abuse prevention, or incident-response maturity has already been achieved.</w:t>
      </w:r>
      <w:bookmarkEnd w:id="165"/>
      <w:bookmarkEnd w:id="166"/>
      <w:bookmarkEnd w:id="167"/>
      <w:r/>
    </w:p>
    <w:p>
      <w:pPr>
        <w:pStyle w:val="975"/>
        <w:pBdr/>
        <w:spacing/>
        <w:ind/>
        <w:rPr/>
      </w:pPr>
      <w:r/>
      <w:bookmarkStart w:id="235" w:name="references"/>
      <w:r>
        <w:t xml:space="preserve">7. References</w:t>
      </w:r>
      <w:r/>
    </w:p>
    <w:p>
      <w:pPr>
        <w:pBdr/>
        <w:spacing/>
        <w:ind/>
        <w:rPr/>
      </w:pPr>
      <w:r>
        <mc:AlternateContent>
          <mc:Choice Requires="wpg">
            <w:drawing>
              <wp:inline xmlns:wp="http://schemas.openxmlformats.org/drawingml/2006/wordprocessingDrawing" distT="0" distB="0" distL="0" distR="0">
                <wp:extent cx="0" cy="19050"/>
                <wp:effectExtent l="0" t="0" r="0" b="0"/>
                <wp:docPr id="14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5" o:spid="_x0000_s145"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168" w:name="quranic-references"/>
      <w:r>
        <w:t xml:space="preserve">Quranic References</w:t>
      </w:r>
      <w:r/>
    </w:p>
    <w:p>
      <w:pPr>
        <w:pStyle w:val="963"/>
        <w:pBdr/>
        <w:spacing/>
        <w:ind/>
        <w:rPr/>
      </w:pPr>
      <w:r>
        <w:t xml:space="preserve">The Holy Quran. Translations referenced include Sahih International and Muhsin Khan.</w:t>
      </w:r>
      <w:r/>
    </w:p>
    <w:p>
      <w:pPr>
        <w:pStyle w:val="962"/>
        <w:pBdr/>
        <w:spacing/>
        <w:ind/>
        <w:rPr/>
      </w:pPr>
      <w:r>
        <w:t xml:space="preserve">Key verses cited:</w:t>
      </w:r>
      <w:r/>
    </w:p>
    <w:p>
      <w:pPr>
        <w:pStyle w:val="964"/>
        <w:numPr>
          <w:ilvl w:val="0"/>
          <w:numId w:val="239"/>
        </w:numPr>
        <w:pBdr/>
        <w:spacing/>
        <w:ind/>
        <w:rPr/>
      </w:pPr>
      <w:r>
        <w:t xml:space="preserve">Quran 2:42 - Prohibition of mixing truth with falsehood</w:t>
      </w:r>
      <w:r/>
    </w:p>
    <w:p>
      <w:pPr>
        <w:pStyle w:val="964"/>
        <w:numPr>
          <w:ilvl w:val="0"/>
          <w:numId w:val="239"/>
        </w:numPr>
        <w:pBdr/>
        <w:spacing/>
        <w:ind/>
        <w:rPr/>
      </w:pPr>
      <w:r>
        <w:t xml:space="preserve">Quran 2:195 - Prohibition of self-destruction</w:t>
      </w:r>
      <w:r/>
    </w:p>
    <w:p>
      <w:pPr>
        <w:pStyle w:val="964"/>
        <w:numPr>
          <w:ilvl w:val="0"/>
          <w:numId w:val="239"/>
        </w:numPr>
        <w:pBdr/>
        <w:spacing/>
        <w:ind/>
        <w:rPr/>
      </w:pPr>
      <w:r>
        <w:t xml:space="preserve">Quran 2:216 - Divine wisdom in what we love and hate</w:t>
      </w:r>
      <w:r/>
    </w:p>
    <w:p>
      <w:pPr>
        <w:pStyle w:val="964"/>
        <w:numPr>
          <w:ilvl w:val="0"/>
          <w:numId w:val="239"/>
        </w:numPr>
        <w:pBdr/>
        <w:spacing/>
        <w:ind/>
        <w:rPr/>
      </w:pPr>
      <w:r>
        <w:t xml:space="preserve">Quran 2:275-279 - Prohibition of riba (usury/interest)</w:t>
      </w:r>
      <w:r/>
    </w:p>
    <w:p>
      <w:pPr>
        <w:pStyle w:val="964"/>
        <w:numPr>
          <w:ilvl w:val="0"/>
          <w:numId w:val="239"/>
        </w:numPr>
        <w:pBdr/>
        <w:spacing/>
        <w:ind/>
        <w:rPr/>
      </w:pPr>
      <w:r>
        <w:t xml:space="preserve">Quran 3:130 - Warning against consuming usury</w:t>
      </w:r>
      <w:r/>
    </w:p>
    <w:p>
      <w:pPr>
        <w:pStyle w:val="964"/>
        <w:numPr>
          <w:ilvl w:val="0"/>
          <w:numId w:val="239"/>
        </w:numPr>
        <w:pBdr/>
        <w:spacing/>
        <w:ind/>
        <w:rPr/>
      </w:pPr>
      <w:r>
        <w:t xml:space="preserve">Quran 4:29 - Prohibition of consuming wealth unjustly</w:t>
      </w:r>
      <w:r/>
    </w:p>
    <w:p>
      <w:pPr>
        <w:pStyle w:val="964"/>
        <w:numPr>
          <w:ilvl w:val="0"/>
          <w:numId w:val="239"/>
        </w:numPr>
        <w:pBdr/>
        <w:spacing/>
        <w:ind/>
        <w:rPr/>
      </w:pPr>
      <w:r>
        <w:t xml:space="preserve">Quran 4:58 - Command to fulfill trusts</w:t>
      </w:r>
      <w:r/>
    </w:p>
    <w:p>
      <w:pPr>
        <w:pStyle w:val="964"/>
        <w:numPr>
          <w:ilvl w:val="0"/>
          <w:numId w:val="239"/>
        </w:numPr>
        <w:pBdr/>
        <w:spacing/>
        <w:ind/>
        <w:rPr/>
      </w:pPr>
      <w:r>
        <w:t xml:space="preserve">Quran 4:124 - Promise to the righteous</w:t>
      </w:r>
      <w:r/>
    </w:p>
    <w:p>
      <w:pPr>
        <w:pStyle w:val="964"/>
        <w:numPr>
          <w:ilvl w:val="0"/>
          <w:numId w:val="239"/>
        </w:numPr>
        <w:pBdr/>
        <w:spacing/>
        <w:ind/>
        <w:rPr/>
      </w:pPr>
      <w:r>
        <w:t xml:space="preserve">Quran 4:135 - Standing for justice</w:t>
      </w:r>
      <w:r/>
    </w:p>
    <w:p>
      <w:pPr>
        <w:pStyle w:val="964"/>
        <w:numPr>
          <w:ilvl w:val="0"/>
          <w:numId w:val="239"/>
        </w:numPr>
        <w:pBdr/>
        <w:spacing/>
        <w:ind/>
        <w:rPr/>
      </w:pPr>
      <w:r>
        <w:t xml:space="preserve">Quran 5:1 - Fulfilling obligations</w:t>
      </w:r>
      <w:r/>
    </w:p>
    <w:p>
      <w:pPr>
        <w:pStyle w:val="964"/>
        <w:numPr>
          <w:ilvl w:val="0"/>
          <w:numId w:val="239"/>
        </w:numPr>
        <w:pBdr/>
        <w:spacing/>
        <w:ind/>
        <w:rPr/>
      </w:pPr>
      <w:r>
        <w:t xml:space="preserve">Quran 5:2 - Cooperation in righteousness</w:t>
      </w:r>
      <w:r/>
    </w:p>
    <w:p>
      <w:pPr>
        <w:pStyle w:val="964"/>
        <w:numPr>
          <w:ilvl w:val="0"/>
          <w:numId w:val="239"/>
        </w:numPr>
        <w:pBdr/>
        <w:spacing/>
        <w:ind/>
        <w:rPr/>
      </w:pPr>
      <w:r>
        <w:t xml:space="preserve">Quran 5:8 - Justice regardless of enmity</w:t>
      </w:r>
      <w:r/>
    </w:p>
    <w:p>
      <w:pPr>
        <w:pStyle w:val="964"/>
        <w:numPr>
          <w:ilvl w:val="0"/>
          <w:numId w:val="239"/>
        </w:numPr>
        <w:pBdr/>
        <w:spacing/>
        <w:ind/>
        <w:rPr/>
      </w:pPr>
      <w:r>
        <w:t xml:space="preserve">Quran 6:152 - Just testimony</w:t>
      </w:r>
      <w:r/>
    </w:p>
    <w:p>
      <w:pPr>
        <w:pStyle w:val="964"/>
        <w:numPr>
          <w:ilvl w:val="0"/>
          <w:numId w:val="239"/>
        </w:numPr>
        <w:pBdr/>
        <w:spacing/>
        <w:ind/>
        <w:rPr/>
      </w:pPr>
      <w:r>
        <w:t xml:space="preserve">Quran 8:27 - Prohibition of betraying trusts</w:t>
      </w:r>
      <w:r/>
    </w:p>
    <w:p>
      <w:pPr>
        <w:pStyle w:val="964"/>
        <w:numPr>
          <w:ilvl w:val="0"/>
          <w:numId w:val="239"/>
        </w:numPr>
        <w:pBdr/>
        <w:spacing/>
        <w:ind/>
        <w:rPr/>
      </w:pPr>
      <w:r>
        <w:t xml:space="preserve">Quran 9:51 - Reliance on Allah’s decree</w:t>
      </w:r>
      <w:r/>
    </w:p>
    <w:p>
      <w:pPr>
        <w:pStyle w:val="964"/>
        <w:numPr>
          <w:ilvl w:val="0"/>
          <w:numId w:val="239"/>
        </w:numPr>
        <w:pBdr/>
        <w:spacing/>
        <w:ind/>
        <w:rPr/>
      </w:pPr>
      <w:r>
        <w:t xml:space="preserve">Quran 9:119 - Being with the truthful</w:t>
      </w:r>
      <w:r/>
    </w:p>
    <w:p>
      <w:pPr>
        <w:pStyle w:val="964"/>
        <w:numPr>
          <w:ilvl w:val="0"/>
          <w:numId w:val="239"/>
        </w:numPr>
        <w:pBdr/>
        <w:spacing/>
        <w:ind/>
        <w:rPr/>
      </w:pPr>
      <w:r>
        <w:t xml:space="preserve">Quran 13:28 - Hearts finding peace in Allah’s remembrance</w:t>
      </w:r>
      <w:r/>
    </w:p>
    <w:p>
      <w:pPr>
        <w:pStyle w:val="964"/>
        <w:numPr>
          <w:ilvl w:val="0"/>
          <w:numId w:val="239"/>
        </w:numPr>
        <w:pBdr/>
        <w:spacing/>
        <w:ind/>
        <w:rPr/>
      </w:pPr>
      <w:r>
        <w:t xml:space="preserve">Quran 14:7 - Promise of increase for gratitude</w:t>
      </w:r>
      <w:r/>
    </w:p>
    <w:p>
      <w:pPr>
        <w:pStyle w:val="964"/>
        <w:numPr>
          <w:ilvl w:val="0"/>
          <w:numId w:val="239"/>
        </w:numPr>
        <w:pBdr/>
        <w:spacing/>
        <w:ind/>
        <w:rPr/>
      </w:pPr>
      <w:r>
        <w:t xml:space="preserve">Quran 16:90 - Command for justice and Ihsan</w:t>
      </w:r>
      <w:r/>
    </w:p>
    <w:p>
      <w:pPr>
        <w:pStyle w:val="964"/>
        <w:numPr>
          <w:ilvl w:val="0"/>
          <w:numId w:val="239"/>
        </w:numPr>
        <w:pBdr/>
        <w:spacing/>
        <w:ind/>
        <w:rPr/>
      </w:pPr>
      <w:r>
        <w:t xml:space="preserve">Quran 16:91 - Fulfilling covenants</w:t>
      </w:r>
      <w:r/>
    </w:p>
    <w:p>
      <w:pPr>
        <w:pStyle w:val="964"/>
        <w:numPr>
          <w:ilvl w:val="0"/>
          <w:numId w:val="239"/>
        </w:numPr>
        <w:pBdr/>
        <w:spacing/>
        <w:ind/>
        <w:rPr/>
      </w:pPr>
      <w:r>
        <w:t xml:space="preserve">Quran 17:34 - Fulfilling commitments</w:t>
      </w:r>
      <w:r/>
    </w:p>
    <w:p>
      <w:pPr>
        <w:pStyle w:val="964"/>
        <w:numPr>
          <w:ilvl w:val="0"/>
          <w:numId w:val="239"/>
        </w:numPr>
        <w:pBdr/>
        <w:spacing/>
        <w:ind/>
        <w:rPr/>
      </w:pPr>
      <w:r>
        <w:t xml:space="preserve">Quran 20:124-126 - Consequence of turning from Allah’s remembrance</w:t>
      </w:r>
      <w:r/>
    </w:p>
    <w:p>
      <w:pPr>
        <w:pStyle w:val="964"/>
        <w:numPr>
          <w:ilvl w:val="0"/>
          <w:numId w:val="239"/>
        </w:numPr>
        <w:pBdr/>
        <w:spacing/>
        <w:ind/>
        <w:rPr/>
      </w:pPr>
      <w:r>
        <w:t xml:space="preserve">Quran 33:72 - The trust (Amanah)</w:t>
      </w:r>
      <w:r/>
    </w:p>
    <w:p>
      <w:pPr>
        <w:pStyle w:val="964"/>
        <w:numPr>
          <w:ilvl w:val="0"/>
          <w:numId w:val="239"/>
        </w:numPr>
        <w:pBdr/>
        <w:spacing/>
        <w:ind/>
        <w:rPr/>
      </w:pPr>
      <w:r>
        <w:t xml:space="preserve">Quran 49:12 - Prohibition of spying and suspicion</w:t>
      </w:r>
      <w:r/>
    </w:p>
    <w:p>
      <w:pPr>
        <w:pStyle w:val="964"/>
        <w:numPr>
          <w:ilvl w:val="0"/>
          <w:numId w:val="239"/>
        </w:numPr>
        <w:pBdr/>
        <w:spacing/>
        <w:ind/>
        <w:rPr/>
      </w:pPr>
      <w:r>
        <w:t xml:space="preserve">Quran 61:2-3 - Saying what one does not do</w:t>
      </w:r>
      <w:r/>
    </w:p>
    <w:p>
      <w:pPr>
        <w:pBdr/>
        <w:spacing/>
        <w:ind/>
        <w:rPr/>
      </w:pPr>
      <w:r>
        <mc:AlternateContent>
          <mc:Choice Requires="wpg">
            <w:drawing>
              <wp:inline xmlns:wp="http://schemas.openxmlformats.org/drawingml/2006/wordprocessingDrawing" distT="0" distB="0" distL="0" distR="0">
                <wp:extent cx="0" cy="19050"/>
                <wp:effectExtent l="0" t="0" r="0" b="0"/>
                <wp:docPr id="14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6" o:spid="_x0000_s146" o:spt="1" type="#_x0000_t1" style="width:0.00pt;height:1.50pt;mso-wrap-distance-left:0.00pt;mso-wrap-distance-top:0.00pt;mso-wrap-distance-right:0.00pt;mso-wrap-distance-bottom:0.00pt;visibility:visible;" fillcolor="#FFFFFF" strokecolor="#000000"/>
            </w:pict>
          </mc:Fallback>
        </mc:AlternateContent>
      </w:r>
      <w:bookmarkEnd w:id="168"/>
      <w:r/>
    </w:p>
    <w:p>
      <w:pPr>
        <w:pStyle w:val="976"/>
        <w:pBdr/>
        <w:spacing/>
        <w:ind/>
        <w:rPr/>
      </w:pPr>
      <w:r/>
      <w:bookmarkStart w:id="169" w:name="hadith-collections"/>
      <w:r>
        <w:t xml:space="preserve">Hadith Collections</w:t>
      </w:r>
      <w:r/>
    </w:p>
    <w:p>
      <w:pPr>
        <w:pStyle w:val="964"/>
        <w:numPr>
          <w:ilvl w:val="0"/>
          <w:numId w:val="240"/>
        </w:numPr>
        <w:pBdr/>
        <w:spacing/>
        <w:ind/>
        <w:rPr/>
      </w:pPr>
      <w:r>
        <w:t xml:space="preserve">Sahih al-Bukhari. Compiled by Imam al-Bukhari (d. 870 CE).</w:t>
      </w:r>
      <w:r/>
    </w:p>
    <w:p>
      <w:pPr>
        <w:pStyle w:val="964"/>
        <w:numPr>
          <w:ilvl w:val="0"/>
          <w:numId w:val="240"/>
        </w:numPr>
        <w:pBdr/>
        <w:spacing/>
        <w:ind/>
        <w:rPr/>
      </w:pPr>
      <w:r>
        <w:t xml:space="preserve">Sahih Muslim. Compiled by Imam Muslim (d. 875 CE).</w:t>
      </w:r>
      <w:r/>
    </w:p>
    <w:p>
      <w:pPr>
        <w:pStyle w:val="964"/>
        <w:numPr>
          <w:ilvl w:val="0"/>
          <w:numId w:val="240"/>
        </w:numPr>
        <w:pBdr/>
        <w:spacing/>
        <w:ind/>
        <w:rPr/>
      </w:pPr>
      <w:r>
        <w:t xml:space="preserve">Sunan Abu Dawud. Compiled by Imam Abu Dawud (d. 889 CE).</w:t>
      </w:r>
      <w:r/>
    </w:p>
    <w:p>
      <w:pPr>
        <w:pStyle w:val="964"/>
        <w:numPr>
          <w:ilvl w:val="0"/>
          <w:numId w:val="240"/>
        </w:numPr>
        <w:pBdr/>
        <w:spacing/>
        <w:ind/>
        <w:rPr/>
      </w:pPr>
      <w:r>
        <w:t xml:space="preserve">Jami` at-Tirmidhi. Compiled by Imam al-Tirmidhi (d. 892 CE).</w:t>
      </w:r>
      <w:r/>
    </w:p>
    <w:p>
      <w:pPr>
        <w:pStyle w:val="964"/>
        <w:numPr>
          <w:ilvl w:val="0"/>
          <w:numId w:val="240"/>
        </w:numPr>
        <w:pBdr/>
        <w:spacing/>
        <w:ind/>
        <w:rPr/>
      </w:pPr>
      <w:r>
        <w:t xml:space="preserve">Sunan Ibn Majah. Compiled by Imam Ibn Majah (d. 887 CE).</w:t>
      </w:r>
      <w:r/>
    </w:p>
    <w:p>
      <w:pPr>
        <w:pStyle w:val="964"/>
        <w:numPr>
          <w:ilvl w:val="0"/>
          <w:numId w:val="240"/>
        </w:numPr>
        <w:pBdr/>
        <w:spacing/>
        <w:ind/>
        <w:rPr/>
      </w:pPr>
      <w:r>
        <w:t xml:space="preserve">Musnad Ahmad. Compiled by Imam Ahmad ibn Hanbal (d. 855 CE).</w:t>
      </w:r>
      <w:r/>
    </w:p>
    <w:p>
      <w:pPr>
        <w:pBdr/>
        <w:spacing/>
        <w:ind/>
        <w:rPr/>
      </w:pPr>
      <w:r>
        <mc:AlternateContent>
          <mc:Choice Requires="wpg">
            <w:drawing>
              <wp:inline xmlns:wp="http://schemas.openxmlformats.org/drawingml/2006/wordprocessingDrawing" distT="0" distB="0" distL="0" distR="0">
                <wp:extent cx="0" cy="19050"/>
                <wp:effectExtent l="0" t="0" r="0" b="0"/>
                <wp:docPr id="14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7" o:spid="_x0000_s147" o:spt="1" type="#_x0000_t1" style="width:0.00pt;height:1.50pt;mso-wrap-distance-left:0.00pt;mso-wrap-distance-top:0.00pt;mso-wrap-distance-right:0.00pt;mso-wrap-distance-bottom:0.00pt;visibility:visible;" fillcolor="#FFFFFF" strokecolor="#000000"/>
            </w:pict>
          </mc:Fallback>
        </mc:AlternateContent>
      </w:r>
      <w:bookmarkEnd w:id="169"/>
      <w:r/>
    </w:p>
    <w:p>
      <w:pPr>
        <w:pStyle w:val="976"/>
        <w:pBdr/>
        <w:spacing/>
        <w:ind/>
        <w:rPr/>
      </w:pPr>
      <w:r/>
      <w:bookmarkStart w:id="170" w:name="islamic-scholarship"/>
      <w:r>
        <w:t xml:space="preserve">Islamic Scholarship</w:t>
      </w:r>
      <w:r/>
    </w:p>
    <w:p>
      <w:pPr>
        <w:pStyle w:val="964"/>
        <w:numPr>
          <w:ilvl w:val="0"/>
          <w:numId w:val="241"/>
        </w:numPr>
        <w:pBdr/>
        <w:spacing/>
        <w:ind/>
        <w:rPr/>
      </w:pPr>
      <w:r>
        <w:t xml:space="preserve">Al-Ghazali, Abu Hamid. (c. 1100 CE). Ihya Ulum al-Din (Revival of Religious Sciences).</w:t>
      </w:r>
      <w:r/>
    </w:p>
    <w:p>
      <w:pPr>
        <w:pStyle w:val="964"/>
        <w:numPr>
          <w:ilvl w:val="0"/>
          <w:numId w:val="241"/>
        </w:numPr>
        <w:pBdr/>
        <w:spacing/>
        <w:ind/>
        <w:rPr/>
      </w:pPr>
      <w:r>
        <w:t xml:space="preserve">Al-Marghinani. (c. 1197 CE). Al-Hidayah fi Sharh Bidayat al-Mubtadi.</w:t>
      </w:r>
      <w:r/>
    </w:p>
    <w:p>
      <w:pPr>
        <w:pStyle w:val="964"/>
        <w:numPr>
          <w:ilvl w:val="0"/>
          <w:numId w:val="241"/>
        </w:numPr>
        <w:pBdr/>
        <w:spacing/>
        <w:ind/>
        <w:rPr/>
      </w:pPr>
      <w:r>
        <w:t xml:space="preserve">Ibn Qayyim al-Jawziyyah. (c. 1350 CE). Various works on Islamic ethics.</w:t>
      </w:r>
      <w:r/>
    </w:p>
    <w:p>
      <w:pPr>
        <w:pStyle w:val="964"/>
        <w:numPr>
          <w:ilvl w:val="0"/>
          <w:numId w:val="241"/>
        </w:numPr>
        <w:pBdr/>
        <w:spacing/>
        <w:ind/>
        <w:rPr/>
      </w:pPr>
      <w:r>
        <w:t xml:space="preserve">Al-Mawardi, Abu al-Hasan. (c. 1058 CE). Al-Ahkam al-Sultaniyyah.</w:t>
      </w:r>
      <w:r/>
    </w:p>
    <w:p>
      <w:pPr>
        <w:pStyle w:val="964"/>
        <w:numPr>
          <w:ilvl w:val="0"/>
          <w:numId w:val="241"/>
        </w:numPr>
        <w:pBdr/>
        <w:spacing/>
        <w:ind/>
        <w:rPr/>
      </w:pPr>
      <w:r>
        <w:t xml:space="preserve">IslamQA. Contemporary fatwa database.</w:t>
      </w:r>
      <w:r/>
    </w:p>
    <w:p>
      <w:pPr>
        <w:pStyle w:val="964"/>
        <w:numPr>
          <w:ilvl w:val="0"/>
          <w:numId w:val="241"/>
        </w:numPr>
        <w:pBdr/>
        <w:spacing/>
        <w:ind/>
        <w:rPr/>
      </w:pPr>
      <w:r>
        <w:t xml:space="preserve">Darul Ifta Binoria. Contemporary Islamic legal opinions on technology.</w:t>
      </w:r>
      <w:r/>
    </w:p>
    <w:p>
      <w:pPr>
        <w:pBdr/>
        <w:spacing/>
        <w:ind/>
        <w:rPr/>
      </w:pPr>
      <w:r>
        <mc:AlternateContent>
          <mc:Choice Requires="wpg">
            <w:drawing>
              <wp:inline xmlns:wp="http://schemas.openxmlformats.org/drawingml/2006/wordprocessingDrawing" distT="0" distB="0" distL="0" distR="0">
                <wp:extent cx="0" cy="19050"/>
                <wp:effectExtent l="0" t="0" r="0" b="0"/>
                <wp:docPr id="14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8" o:spid="_x0000_s148" o:spt="1" type="#_x0000_t1" style="width:0.00pt;height:1.50pt;mso-wrap-distance-left:0.00pt;mso-wrap-distance-top:0.00pt;mso-wrap-distance-right:0.00pt;mso-wrap-distance-bottom:0.00pt;visibility:visible;" fillcolor="#FFFFFF" strokecolor="#000000"/>
            </w:pict>
          </mc:Fallback>
        </mc:AlternateContent>
      </w:r>
      <w:bookmarkEnd w:id="170"/>
      <w:r/>
    </w:p>
    <w:p>
      <w:pPr>
        <w:pStyle w:val="976"/>
        <w:pBdr/>
        <w:spacing/>
        <w:ind/>
        <w:rPr/>
      </w:pPr>
      <w:r/>
      <w:bookmarkStart w:id="171" w:name="academic-sources-value-sensitive-design"/>
      <w:r>
        <w:t xml:space="preserve">Academic Sources: Value-Sensitive Design</w:t>
      </w:r>
      <w:r/>
    </w:p>
    <w:p>
      <w:pPr>
        <w:pStyle w:val="964"/>
        <w:numPr>
          <w:ilvl w:val="0"/>
          <w:numId w:val="242"/>
        </w:numPr>
        <w:pBdr/>
        <w:spacing/>
        <w:ind/>
        <w:rPr/>
      </w:pPr>
      <w:r>
        <w:t xml:space="preserve">Friedman, B., Kahn, P. H., &amp; Borning, A. (2006). Value Sensitive Design and Information Systems. In P. Zhang &amp; D. Galletta (Eds.), Human-Computer Interaction in Management Information Systems: Foundations. M.E. Sharpe.</w:t>
      </w:r>
      <w:r/>
    </w:p>
    <w:p>
      <w:pPr>
        <w:pStyle w:val="964"/>
        <w:numPr>
          <w:ilvl w:val="0"/>
          <w:numId w:val="242"/>
        </w:numPr>
        <w:pBdr/>
        <w:spacing/>
        <w:ind/>
        <w:rPr/>
      </w:pPr>
      <w:r>
        <w:t xml:space="preserve">Friedman, B., &amp; Hendry, D. G. (2019). Value Sensitive Design: Shaping Technology with Moral Imagination. MIT Press.</w:t>
      </w:r>
      <w:r/>
    </w:p>
    <w:p>
      <w:pPr>
        <w:pStyle w:val="964"/>
        <w:numPr>
          <w:ilvl w:val="0"/>
          <w:numId w:val="242"/>
        </w:numPr>
        <w:pBdr/>
        <w:spacing/>
        <w:ind/>
        <w:rPr/>
      </w:pPr>
      <w:r>
        <w:t xml:space="preserve">Davis, J., &amp; Nathan, L. P. (2015). Value Sensitive Design: Applications, Adaptations, and Critiques. In J. van den Hoven, P. E. Vermaas, &amp; I. van de Poel (Eds.), Handbook of Ethics, Values, and Technological Design. Springer.</w:t>
      </w:r>
      <w:r/>
    </w:p>
    <w:p>
      <w:pPr>
        <w:pBdr/>
        <w:spacing/>
        <w:ind/>
        <w:rPr/>
      </w:pPr>
      <w:r>
        <mc:AlternateContent>
          <mc:Choice Requires="wpg">
            <w:drawing>
              <wp:inline xmlns:wp="http://schemas.openxmlformats.org/drawingml/2006/wordprocessingDrawing" distT="0" distB="0" distL="0" distR="0">
                <wp:extent cx="0" cy="19050"/>
                <wp:effectExtent l="0" t="0" r="0" b="0"/>
                <wp:docPr id="15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9" o:spid="_x0000_s149" o:spt="1" type="#_x0000_t1" style="width:0.00pt;height:1.50pt;mso-wrap-distance-left:0.00pt;mso-wrap-distance-top:0.00pt;mso-wrap-distance-right:0.00pt;mso-wrap-distance-bottom:0.00pt;visibility:visible;" fillcolor="#FFFFFF" strokecolor="#000000"/>
            </w:pict>
          </mc:Fallback>
        </mc:AlternateContent>
      </w:r>
      <w:bookmarkEnd w:id="171"/>
      <w:r/>
    </w:p>
    <w:p>
      <w:pPr>
        <w:pStyle w:val="976"/>
        <w:pBdr/>
        <w:spacing/>
        <w:ind/>
        <w:rPr/>
      </w:pPr>
      <w:r/>
      <w:bookmarkStart w:id="173" w:name="Xdf6d6a41f837f3207e32973e7c500ba60b84e73"/>
      <w:r>
        <w:t xml:space="preserve">Academic Sources: Sustainable Software Development</w:t>
      </w:r>
      <w:r/>
    </w:p>
    <w:p>
      <w:pPr>
        <w:pStyle w:val="964"/>
        <w:numPr>
          <w:ilvl w:val="0"/>
          <w:numId w:val="243"/>
        </w:numPr>
        <w:pBdr/>
        <w:spacing/>
        <w:ind/>
        <w:rPr/>
      </w:pPr>
      <w:r>
        <w:t xml:space="preserve">Joswig, J. (2025). DevGreenOps: Sustainable Digital Services. Presented at OOP Conference 2025.</w:t>
      </w:r>
      <w:r/>
    </w:p>
    <w:p>
      <w:pPr>
        <w:pStyle w:val="964"/>
        <w:numPr>
          <w:ilvl w:val="0"/>
          <w:numId w:val="243"/>
        </w:numPr>
        <w:pBdr/>
        <w:spacing/>
        <w:ind/>
        <w:rPr/>
      </w:pPr>
      <w:r>
        <w:t xml:space="preserve">Pereira, R., Couto, M., Ribeiro, F., Rua, R., Cunha, J., Fernandes, J. P., &amp; Saraiva, J. (2021). Ranking Programming Languages by Energy Efficiency. Science of Computer Programming, 205, 102609. </w:t>
      </w:r>
      <w:hyperlink r:id="rId15" w:tooltip="https://doi.org/10.1016/j.scico.2021.102609" w:history="1">
        <w:r>
          <w:rPr>
            <w:rStyle w:val="1008"/>
          </w:rPr>
          <w:t xml:space="preserve">https://doi.org/10.1016/j.scico.2021.102609</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0" o:spid="_x0000_s150" o:spt="1" type="#_x0000_t1" style="width:0.00pt;height:1.50pt;mso-wrap-distance-left:0.00pt;mso-wrap-distance-top:0.00pt;mso-wrap-distance-right:0.00pt;mso-wrap-distance-bottom:0.00pt;visibility:visible;" fillcolor="#FFFFFF" strokecolor="#000000"/>
            </w:pict>
          </mc:Fallback>
        </mc:AlternateContent>
      </w:r>
      <w:bookmarkEnd w:id="173"/>
      <w:r/>
    </w:p>
    <w:p>
      <w:pPr>
        <w:pStyle w:val="976"/>
        <w:pBdr/>
        <w:spacing/>
        <w:ind/>
        <w:rPr/>
      </w:pPr>
      <w:r/>
      <w:bookmarkStart w:id="197" w:name="industry-sources"/>
      <w:r>
        <w:t xml:space="preserve">Industry Sources</w:t>
      </w:r>
      <w:r/>
    </w:p>
    <w:p>
      <w:pPr>
        <w:numPr>
          <w:ilvl w:val="0"/>
          <w:numId w:val="244"/>
        </w:numPr>
        <w:pBdr/>
        <w:spacing/>
        <w:ind/>
        <w:rPr/>
      </w:pPr>
      <w:r>
        <w:t xml:space="preserve">Kotlin. (n.d.). </w:t>
      </w:r>
      <w:r>
        <w:rPr>
          <w:i/>
          <w:iCs/>
        </w:rPr>
        <w:t xml:space="preserve">Stability of supported platforms</w:t>
      </w:r>
      <w:r>
        <w:t xml:space="preserve">. </w:t>
      </w:r>
      <w:hyperlink r:id="rId16" w:tooltip="https://kotlinlang.org/docs/multiplatform/supported-platforms.html" w:history="1">
        <w:r>
          <w:rPr>
            <w:rStyle w:val="1008"/>
          </w:rPr>
          <w:t xml:space="preserve">https://kotlinlang.org/docs/multiplatform/supported-platforms.html</w:t>
        </w:r>
      </w:hyperlink>
      <w:r/>
      <w:r/>
    </w:p>
    <w:p>
      <w:pPr>
        <w:numPr>
          <w:ilvl w:val="0"/>
          <w:numId w:val="244"/>
        </w:numPr>
        <w:pBdr/>
        <w:spacing/>
        <w:ind/>
        <w:rPr/>
      </w:pPr>
      <w:r>
        <w:t xml:space="preserve">Kotlin. (n.d.). </w:t>
      </w:r>
      <w:r>
        <w:rPr>
          <w:i/>
          <w:iCs/>
        </w:rPr>
        <w:t xml:space="preserve">Compose Multiplatform</w:t>
      </w:r>
      <w:r>
        <w:t xml:space="preserve">. </w:t>
      </w:r>
      <w:hyperlink r:id="rId17" w:tooltip="https://kotlinlang.org/compose-multiplatform/" w:history="1">
        <w:r>
          <w:rPr>
            <w:rStyle w:val="1008"/>
          </w:rPr>
          <w:t xml:space="preserve">https://kotlinlang.org/compose-multiplatform/</w:t>
        </w:r>
      </w:hyperlink>
      <w:r/>
      <w:r/>
    </w:p>
    <w:p>
      <w:pPr>
        <w:numPr>
          <w:ilvl w:val="0"/>
          <w:numId w:val="244"/>
        </w:numPr>
        <w:pBdr/>
        <w:spacing/>
        <w:ind/>
        <w:rPr/>
      </w:pPr>
      <w:r>
        <w:t xml:space="preserve">CrowdSec. (n.d.). </w:t>
      </w:r>
      <w:r>
        <w:rPr>
          <w:i/>
          <w:iCs/>
        </w:rPr>
        <w:t xml:space="preserve">Security Engine</w:t>
      </w:r>
      <w:r>
        <w:t xml:space="preserve">. </w:t>
      </w:r>
      <w:hyperlink r:id="rId18" w:tooltip="https://docs.crowdsec.net/security-engine/" w:history="1">
        <w:r>
          <w:rPr>
            <w:rStyle w:val="1008"/>
          </w:rPr>
          <w:t xml:space="preserve">https://docs.crowdsec.net/security-engine/</w:t>
        </w:r>
      </w:hyperlink>
      <w:r/>
      <w:r/>
    </w:p>
    <w:p>
      <w:pPr>
        <w:numPr>
          <w:ilvl w:val="0"/>
          <w:numId w:val="244"/>
        </w:numPr>
        <w:pBdr/>
        <w:spacing/>
        <w:ind/>
        <w:rPr/>
      </w:pPr>
      <w:r>
        <w:t xml:space="preserve">ROOST. (n.d.). </w:t>
      </w:r>
      <w:r>
        <w:rPr>
          <w:i/>
          <w:iCs/>
        </w:rPr>
        <w:t xml:space="preserve">Osprey</w:t>
      </w:r>
      <w:r>
        <w:t xml:space="preserve">. </w:t>
      </w:r>
      <w:hyperlink r:id="rId19" w:tooltip="https://roost.tools/osprey" w:history="1">
        <w:r>
          <w:rPr>
            <w:rStyle w:val="1008"/>
          </w:rPr>
          <w:t xml:space="preserve">https://roost.tools/osprey</w:t>
        </w:r>
      </w:hyperlink>
      <w:r/>
      <w:r/>
    </w:p>
    <w:p>
      <w:pPr>
        <w:numPr>
          <w:ilvl w:val="0"/>
          <w:numId w:val="244"/>
        </w:numPr>
        <w:pBdr/>
        <w:spacing/>
        <w:ind/>
        <w:rPr/>
      </w:pPr>
      <w:r>
        <w:t xml:space="preserve">ROOST. (n.d.). </w:t>
      </w:r>
      <w:r>
        <w:rPr>
          <w:i/>
          <w:iCs/>
        </w:rPr>
        <w:t xml:space="preserve">Osprey GitHub repository</w:t>
      </w:r>
      <w:r>
        <w:t xml:space="preserve">. </w:t>
      </w:r>
      <w:hyperlink r:id="rId20" w:tooltip="https://github.com/roostorg/osprey" w:history="1">
        <w:r>
          <w:rPr>
            <w:rStyle w:val="1008"/>
          </w:rPr>
          <w:t xml:space="preserve">https://github.com/roostorg/osprey</w:t>
        </w:r>
      </w:hyperlink>
      <w:r/>
      <w:r/>
    </w:p>
    <w:p>
      <w:pPr>
        <w:numPr>
          <w:ilvl w:val="0"/>
          <w:numId w:val="244"/>
        </w:numPr>
        <w:pBdr/>
        <w:spacing/>
        <w:ind/>
        <w:rPr/>
      </w:pPr>
      <w:r>
        <w:t xml:space="preserve">Tailscale. (2026). </w:t>
      </w:r>
      <w:r>
        <w:rPr>
          <w:i/>
          <w:iCs/>
        </w:rPr>
        <w:t xml:space="preserve">Configure Tailscale clients to use a custom control server</w:t>
      </w:r>
      <w:r>
        <w:t xml:space="preserve">. </w:t>
      </w:r>
      <w:hyperlink r:id="rId21" w:tooltip="https://tailscale.com/docs/how-to/set-up-custom-control-server" w:history="1">
        <w:r>
          <w:rPr>
            <w:rStyle w:val="1008"/>
          </w:rPr>
          <w:t xml:space="preserve">https://tailscale.com/docs/how-to/set-up-custom-control-server</w:t>
        </w:r>
      </w:hyperlink>
      <w:r/>
      <w:r/>
    </w:p>
    <w:p>
      <w:pPr>
        <w:numPr>
          <w:ilvl w:val="0"/>
          <w:numId w:val="244"/>
        </w:numPr>
        <w:pBdr/>
        <w:spacing/>
        <w:ind/>
        <w:rPr/>
      </w:pPr>
      <w:r>
        <w:t xml:space="preserve">Headscale. (n.d.). </w:t>
      </w:r>
      <w:r>
        <w:rPr>
          <w:i/>
          <w:iCs/>
        </w:rPr>
        <w:t xml:space="preserve">Android</w:t>
      </w:r>
      <w:r>
        <w:t xml:space="preserve">. </w:t>
      </w:r>
      <w:hyperlink r:id="rId22" w:tooltip="https://headscale.net/stable/usage/connect/android/" w:history="1">
        <w:r>
          <w:rPr>
            <w:rStyle w:val="1008"/>
          </w:rPr>
          <w:t xml:space="preserve">https://headscale.net/stable/usage/connect/android/</w:t>
        </w:r>
      </w:hyperlink>
      <w:r/>
      <w:r/>
    </w:p>
    <w:p>
      <w:pPr>
        <w:numPr>
          <w:ilvl w:val="0"/>
          <w:numId w:val="244"/>
        </w:numPr>
        <w:pBdr/>
        <w:spacing/>
        <w:ind/>
        <w:rPr/>
      </w:pPr>
      <w:r>
        <w:t xml:space="preserve">Headscale. (n.d.). </w:t>
      </w:r>
      <w:r>
        <w:rPr>
          <w:i/>
          <w:iCs/>
        </w:rPr>
        <w:t xml:space="preserve">Apple</w:t>
      </w:r>
      <w:r>
        <w:t xml:space="preserve">. </w:t>
      </w:r>
      <w:hyperlink r:id="rId23" w:tooltip="https://docs.headscale.org/usage/connect/apple/" w:history="1">
        <w:r>
          <w:rPr>
            <w:rStyle w:val="1008"/>
          </w:rPr>
          <w:t xml:space="preserve">https://docs.headscale.org/usage/connect/apple/</w:t>
        </w:r>
      </w:hyperlink>
      <w:r/>
      <w:r/>
    </w:p>
    <w:p>
      <w:pPr>
        <w:numPr>
          <w:ilvl w:val="0"/>
          <w:numId w:val="244"/>
        </w:numPr>
        <w:pBdr/>
        <w:spacing/>
        <w:ind/>
        <w:rPr/>
      </w:pPr>
      <w:r>
        <w:t xml:space="preserve">Headscale. (n.d.). </w:t>
      </w:r>
      <w:r>
        <w:rPr>
          <w:i/>
          <w:iCs/>
        </w:rPr>
        <w:t xml:space="preserve">Windows</w:t>
      </w:r>
      <w:r>
        <w:t xml:space="preserve">. </w:t>
      </w:r>
      <w:hyperlink r:id="rId24" w:tooltip="https://docs.headscale.org/usage/connect/windows/" w:history="1">
        <w:r>
          <w:rPr>
            <w:rStyle w:val="1008"/>
          </w:rPr>
          <w:t xml:space="preserve">https://docs.headscale.org/usage/connect/windows/</w:t>
        </w:r>
      </w:hyperlink>
      <w:r/>
      <w:r/>
    </w:p>
    <w:p>
      <w:pPr>
        <w:numPr>
          <w:ilvl w:val="0"/>
          <w:numId w:val="244"/>
        </w:numPr>
        <w:pBdr/>
        <w:spacing/>
        <w:ind/>
        <w:rPr/>
      </w:pPr>
      <w:r>
        <w:t xml:space="preserve">PeerTube Documentation. (n.d.). </w:t>
      </w:r>
      <w:r>
        <w:rPr>
          <w:i/>
          <w:iCs/>
        </w:rPr>
        <w:t xml:space="preserve">The platforms tab</w:t>
      </w:r>
      <w:r>
        <w:t xml:space="preserve">. </w:t>
      </w:r>
      <w:hyperlink r:id="rId25" w:tooltip="https://docs.joinpeertube.org/use-mobile/platforms" w:history="1">
        <w:r>
          <w:rPr>
            <w:rStyle w:val="1008"/>
          </w:rPr>
          <w:t xml:space="preserve">https://docs.joinpeertube.org/use-mobile/platforms</w:t>
        </w:r>
      </w:hyperlink>
      <w:r/>
      <w:r/>
    </w:p>
    <w:p>
      <w:pPr>
        <w:numPr>
          <w:ilvl w:val="0"/>
          <w:numId w:val="244"/>
        </w:numPr>
        <w:pBdr/>
        <w:spacing/>
        <w:ind/>
        <w:rPr/>
      </w:pPr>
      <w:r>
        <w:t xml:space="preserve">PeerTube Documentation. (n.d.). </w:t>
      </w:r>
      <w:r>
        <w:rPr>
          <w:i/>
          <w:iCs/>
        </w:rPr>
        <w:t xml:space="preserve">Get the app</w:t>
      </w:r>
      <w:r>
        <w:t xml:space="preserve">. </w:t>
      </w:r>
      <w:hyperlink r:id="rId26" w:tooltip="https://docs.joinpeertube.org/use-mobile/get-the-app" w:history="1">
        <w:r>
          <w:rPr>
            <w:rStyle w:val="1008"/>
          </w:rPr>
          <w:t xml:space="preserve">https://docs.joinpeertube.org/use-mobile/get-the-app</w:t>
        </w:r>
      </w:hyperlink>
      <w:r/>
      <w:r/>
    </w:p>
    <w:p>
      <w:pPr>
        <w:numPr>
          <w:ilvl w:val="0"/>
          <w:numId w:val="244"/>
        </w:numPr>
        <w:pBdr/>
        <w:spacing/>
        <w:ind/>
        <w:rPr/>
      </w:pPr>
      <w:r>
        <w:t xml:space="preserve">Center for Humane Technology. (n.d.). About CHT. </w:t>
      </w:r>
      <w:hyperlink r:id="rId27" w:tooltip="https://www.humanetech.com/" w:history="1">
        <w:r>
          <w:rPr>
            <w:rStyle w:val="1008"/>
          </w:rPr>
          <w:t xml:space="preserve">https://www.humanetech.com/</w:t>
        </w:r>
      </w:hyperlink>
      <w:r/>
      <w:r/>
    </w:p>
    <w:p>
      <w:pPr>
        <w:numPr>
          <w:ilvl w:val="0"/>
          <w:numId w:val="244"/>
        </w:numPr>
        <w:pBdr/>
        <w:spacing/>
        <w:ind/>
        <w:rPr/>
      </w:pPr>
      <w:r>
        <w:t xml:space="preserve">Acceptable Ads Committee. (n.d.). Acceptable Ads Standards. </w:t>
      </w:r>
      <w:hyperlink r:id="rId28" w:tooltip="https://acceptableads.com/" w:history="1">
        <w:r>
          <w:rPr>
            <w:rStyle w:val="1008"/>
          </w:rPr>
          <w:t xml:space="preserve">https://acceptableads.com/</w:t>
        </w:r>
      </w:hyperlink>
      <w:r/>
      <w:r/>
    </w:p>
    <w:p>
      <w:pPr>
        <w:numPr>
          <w:ilvl w:val="0"/>
          <w:numId w:val="244"/>
        </w:numPr>
        <w:pBdr/>
        <w:spacing/>
        <w:ind/>
        <w:rPr/>
      </w:pPr>
      <w:r>
        <w:t xml:space="preserve">Doctorow, C. (2023). The</w:t>
      </w:r>
      <w:r>
        <w:t xml:space="preserve"> </w:t>
      </w:r>
      <w:r>
        <w:t xml:space="preserve">‘Enshittification’</w:t>
      </w:r>
      <w:r>
        <w:t xml:space="preserve"> </w:t>
      </w:r>
      <w:r>
        <w:t xml:space="preserve">of TikTok. Wired.</w:t>
      </w:r>
      <w:r/>
    </w:p>
    <w:p>
      <w:pPr>
        <w:numPr>
          <w:ilvl w:val="0"/>
          <w:numId w:val="244"/>
        </w:numPr>
        <w:pBdr/>
        <w:spacing/>
        <w:ind/>
        <w:rPr/>
      </w:pPr>
      <w:r>
        <w:t xml:space="preserve">Ready, B. (2024). Statements on Pinterest child safety decisions.</w:t>
      </w:r>
      <w:r/>
    </w:p>
    <w:p>
      <w:pPr>
        <w:numPr>
          <w:ilvl w:val="0"/>
          <w:numId w:val="244"/>
        </w:numPr>
        <w:pBdr/>
        <w:spacing/>
        <w:ind/>
        <w:rPr/>
      </w:pPr>
      <w:r>
        <w:t xml:space="preserve">Rossmann, L. (2025). The Clippy Movement: Consumer Rights Activism in Digital Technology. YouTube.</w:t>
      </w:r>
      <w:r/>
    </w:p>
    <w:p>
      <w:pPr>
        <w:numPr>
          <w:ilvl w:val="0"/>
          <w:numId w:val="244"/>
        </w:numPr>
        <w:pBdr/>
        <w:spacing/>
        <w:ind/>
        <w:rPr/>
      </w:pPr>
      <w:r>
        <w:t xml:space="preserve">Federal Trade Commission. (2019). Disclosures 101 for Social Media Influencers. </w:t>
      </w:r>
      <w:hyperlink r:id="rId29" w:tooltip="https://www.ftc.gov/business-guidance/resources/disclosures-101-social-media-influencers" w:history="1">
        <w:r>
          <w:rPr>
            <w:rStyle w:val="1008"/>
          </w:rPr>
          <w:t xml:space="preserve">https://www.ftc.gov/business-guidance/resources/disclosures-101-social-media-influencers</w:t>
        </w:r>
      </w:hyperlink>
      <w:r/>
      <w:r/>
    </w:p>
    <w:p>
      <w:pPr>
        <w:numPr>
          <w:ilvl w:val="0"/>
          <w:numId w:val="244"/>
        </w:numPr>
        <w:pBdr/>
        <w:spacing/>
        <w:ind/>
        <w:rPr/>
      </w:pPr>
      <w:r>
        <w:t xml:space="preserve">Federal Trade Commission. (2024). Federal Trade Commission Announces Final Rule Banning Fake Reviews and Testimonials. </w:t>
      </w:r>
      <w:hyperlink r:id="rId30" w:tooltip="https://www.ftc.gov/news-events/news/press-releases/2024/08/federal-trade-commission-announces-final-rule-banning-fake-reviews-testimonials" w:history="1">
        <w:r>
          <w:rPr>
            <w:rStyle w:val="1008"/>
          </w:rPr>
          <w:t xml:space="preserve">https://www.ftc.gov/news-events/news/press-releases/2024/08/federal-trade-commission-announces-final-rule-banning-fake-reviews-testimonials</w:t>
        </w:r>
      </w:hyperlink>
      <w:r/>
      <w:r/>
    </w:p>
    <w:p>
      <w:pPr>
        <w:numPr>
          <w:ilvl w:val="0"/>
          <w:numId w:val="244"/>
        </w:numPr>
        <w:pBdr/>
        <w:spacing/>
        <w:ind/>
        <w:rPr/>
      </w:pPr>
      <w:r>
        <w:t xml:space="preserve">Free Software Foundation. (2026). You cannot use the GNU (A)GPL to take software freedom away. </w:t>
      </w:r>
      <w:hyperlink r:id="rId31" w:tooltip="https://www.fsf.org/blogs/licensing/agpl-is-not-a-tool-for-taking-freedom-away" w:history="1">
        <w:r>
          <w:rPr>
            <w:rStyle w:val="1008"/>
          </w:rPr>
          <w:t xml:space="preserve">https://www.fsf.org/blogs/licensing/agpl-is-not-a-tool-for-taking-freedom-away</w:t>
        </w:r>
      </w:hyperlink>
      <w:r/>
      <w:r/>
    </w:p>
    <w:p>
      <w:pPr>
        <w:numPr>
          <w:ilvl w:val="0"/>
          <w:numId w:val="244"/>
        </w:numPr>
        <w:pBdr/>
        <w:spacing/>
        <w:ind/>
        <w:rPr/>
      </w:pPr>
      <w:r>
        <w:t xml:space="preserve">Carnegie Mellon University. (2025). Fraudsters Use Fake Stars To Game GitHub. </w:t>
      </w:r>
      <w:hyperlink r:id="rId32" w:tooltip="https://www.cs.cmu.edu/news/2025/fake-github-stars" w:history="1">
        <w:r>
          <w:rPr>
            <w:rStyle w:val="1008"/>
          </w:rPr>
          <w:t xml:space="preserve">https://www.cs.cmu.edu/news/2025/fake-github-stars</w:t>
        </w:r>
      </w:hyperlink>
      <w:r/>
      <w:r/>
    </w:p>
    <w:p>
      <w:pPr>
        <w:numPr>
          <w:ilvl w:val="0"/>
          <w:numId w:val="244"/>
        </w:numPr>
        <w:pBdr/>
        <w:spacing/>
        <w:ind/>
        <w:rPr/>
      </w:pPr>
      <w:r>
        <w:t xml:space="preserve">arXiv. (2024). Six Million Suspected Fake Stars on GitHub. </w:t>
      </w:r>
      <w:hyperlink r:id="rId33" w:tooltip="https://arxiv.org/abs/2412.13459" w:history="1">
        <w:r>
          <w:rPr>
            <w:rStyle w:val="1008"/>
          </w:rPr>
          <w:t xml:space="preserve">https://arxiv.org/abs/2412.13459</w:t>
        </w:r>
      </w:hyperlink>
      <w:r/>
      <w:r/>
    </w:p>
    <w:p>
      <w:pPr>
        <w:numPr>
          <w:ilvl w:val="0"/>
          <w:numId w:val="244"/>
        </w:numPr>
        <w:pBdr/>
        <w:spacing/>
        <w:ind/>
        <w:rPr/>
      </w:pPr>
      <w:r>
        <w:t xml:space="preserve">Mistral AI. (n.d.). About Mistral AI. </w:t>
      </w:r>
      <w:hyperlink r:id="rId34" w:tooltip="https://mistral.ai/about" w:history="1">
        <w:r>
          <w:rPr>
            <w:rStyle w:val="1008"/>
          </w:rPr>
          <w:t xml:space="preserve">https://mistral.ai/about</w:t>
        </w:r>
      </w:hyperlink>
      <w:r/>
      <w:r/>
    </w:p>
    <w:p>
      <w:pPr>
        <w:numPr>
          <w:ilvl w:val="0"/>
          <w:numId w:val="244"/>
        </w:numPr>
        <w:pBdr/>
        <w:spacing/>
        <w:ind/>
        <w:rPr/>
      </w:pPr>
      <w:r>
        <w:t xml:space="preserve">Axios. (2026). Reporting on Anthropic no-kill-switch classified-network filing. </w:t>
      </w:r>
      <w:hyperlink r:id="rId35" w:tooltip="https://www.axios.com/2026/04/22/anthropic-no-kill-switch-ai-classified-settings" w:history="1">
        <w:r>
          <w:rPr>
            <w:rStyle w:val="1008"/>
          </w:rPr>
          <w:t xml:space="preserve">https://www.axios.com/2026/04/22/anthropic-no-kill-switch-ai-classified-settings</w:t>
        </w:r>
      </w:hyperlink>
      <w:r/>
      <w:r/>
    </w:p>
    <w:p>
      <w:pPr>
        <w:numPr>
          <w:ilvl w:val="0"/>
          <w:numId w:val="244"/>
        </w:numPr>
        <w:pBdr/>
        <w:spacing/>
        <w:ind/>
        <w:rPr/>
      </w:pPr>
      <w:r>
        <w:t xml:space="preserve">Railway. (2026). Your AI wants to nuke your database. </w:t>
      </w:r>
      <w:hyperlink r:id="rId36" w:tooltip="https://blog.railway.com/p/your-ai-wants-to-nuke-your-database" w:history="1">
        <w:r>
          <w:rPr>
            <w:rStyle w:val="1008"/>
          </w:rPr>
          <w:t xml:space="preserve">https://blog.railway.com/p/your-ai-wants-to-nuke-your-database</w:t>
        </w:r>
      </w:hyperlink>
      <w:r/>
      <w:r/>
    </w:p>
    <w:p>
      <w:pPr>
        <w:numPr>
          <w:ilvl w:val="0"/>
          <w:numId w:val="244"/>
        </w:numPr>
        <w:pBdr/>
        <w:spacing/>
        <w:ind/>
        <w:rPr/>
      </w:pPr>
      <w:r>
        <w:t xml:space="preserve">The Verge. (2026). PocketOS maker says an AI agent deleted a production database in 9 seconds. </w:t>
      </w:r>
      <w:hyperlink r:id="rId37" w:tooltip="https://www.theverge.com/ai-artificial-intelligence/919240/pocketos-maker-says-an-ai-agent-deleted-our-production-database-in-9-seconds" w:history="1">
        <w:r>
          <w:rPr>
            <w:rStyle w:val="1008"/>
          </w:rPr>
          <w:t xml:space="preserve">https://www.theverge.com/ai-artificial-intelligence/919240/pocketos-maker-says-an-ai-agent-deleted-our-production-database-in-9-seconds</w:t>
        </w:r>
      </w:hyperlink>
      <w:r/>
      <w:r/>
    </w:p>
    <w:p>
      <w:pPr>
        <w:numPr>
          <w:ilvl w:val="0"/>
          <w:numId w:val="244"/>
        </w:numPr>
        <w:pBdr/>
        <w:spacing/>
        <w:ind/>
        <w:rPr/>
      </w:pPr>
      <w:r>
        <w:t xml:space="preserve">Business Insider. (2026). PocketOS/Cursor AI agent deleted production database coverage. </w:t>
      </w:r>
      <w:hyperlink r:id="rId38" w:tooltip="https://www.businessinsider.com/pocketos-cursor-ai-agent-deleted-production-database-startup-railway-2026-4" w:history="1">
        <w:r>
          <w:rPr>
            <w:rStyle w:val="1008"/>
          </w:rPr>
          <w:t xml:space="preserve">https://www.businessinsider.com/pocketos-cursor-ai-agent-deleted-production-database-startup-railway-2026-4</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1" o:spid="_x0000_s151" o:spt="1" type="#_x0000_t1" style="width:0.00pt;height:1.50pt;mso-wrap-distance-left:0.00pt;mso-wrap-distance-top:0.00pt;mso-wrap-distance-right:0.00pt;mso-wrap-distance-bottom:0.00pt;visibility:visible;" fillcolor="#FFFFFF" strokecolor="#000000"/>
            </w:pict>
          </mc:Fallback>
        </mc:AlternateContent>
      </w:r>
      <w:bookmarkEnd w:id="197"/>
      <w:r/>
    </w:p>
    <w:p>
      <w:pPr>
        <w:pStyle w:val="976"/>
        <w:pBdr/>
        <w:spacing/>
        <w:ind/>
        <w:rPr/>
      </w:pPr>
      <w:r/>
      <w:bookmarkStart w:id="201" w:name="legal-cases-and-regulatory-actions"/>
      <w:r>
        <w:t xml:space="preserve">Legal Cases and Regulatory Actions</w:t>
      </w:r>
      <w:r/>
    </w:p>
    <w:p>
      <w:pPr>
        <w:numPr>
          <w:ilvl w:val="0"/>
          <w:numId w:val="245"/>
        </w:numPr>
        <w:pBdr/>
        <w:spacing/>
        <w:ind/>
        <w:rPr/>
      </w:pPr>
      <w:r>
        <w:t xml:space="preserve">PayPal Honey Browser Extension Litigation. (2024). Class action filed December 2024 regarding affiliate link hijacking practices.</w:t>
      </w:r>
      <w:r/>
    </w:p>
    <w:p>
      <w:pPr>
        <w:numPr>
          <w:ilvl w:val="0"/>
          <w:numId w:val="245"/>
        </w:numPr>
        <w:pBdr/>
        <w:spacing/>
        <w:ind/>
        <w:rPr/>
      </w:pPr>
      <w:r>
        <w:t xml:space="preserve">U.S. Commerce Department. (2025). Entity List additions for AI companies citing national security concerns.</w:t>
      </w:r>
      <w:r/>
    </w:p>
    <w:p>
      <w:pPr>
        <w:numPr>
          <w:ilvl w:val="0"/>
          <w:numId w:val="245"/>
        </w:numPr>
        <w:pBdr/>
        <w:spacing/>
        <w:ind/>
        <w:rPr/>
      </w:pPr>
      <w:r>
        <w:t xml:space="preserve">GitHub DMCA Repository. (2025). FFmpeg / Rockchip MPP notice. </w:t>
      </w:r>
      <w:hyperlink r:id="rId39" w:tooltip="https://github.com/github/dmca/blob/master/2025/12/2025-12-18-ffmpeg.md" w:history="1">
        <w:r>
          <w:rPr>
            <w:rStyle w:val="1008"/>
          </w:rPr>
          <w:t xml:space="preserve">https://github.com/github/dmca/blob/master/2025/12/2025-12-18-ffmpeg.md</w:t>
        </w:r>
      </w:hyperlink>
      <w:r/>
      <w:r/>
    </w:p>
    <w:p>
      <w:pPr>
        <w:numPr>
          <w:ilvl w:val="0"/>
          <w:numId w:val="245"/>
        </w:numPr>
        <w:pBdr/>
        <w:spacing/>
        <w:ind/>
        <w:rPr/>
      </w:pPr>
      <w:r>
        <w:t xml:space="preserve">Rockchip MPP issue #530. (2024). LGPL/license-compliance allegation discussion. </w:t>
      </w:r>
      <w:hyperlink r:id="rId40" w:tooltip="https://github.com/rockchip-linux/mpp/issues/530" w:history="1">
        <w:r>
          <w:rPr>
            <w:rStyle w:val="1008"/>
          </w:rPr>
          <w:t xml:space="preserve">https://github.com/rockchip-linux/mpp/issues/530</w:t>
        </w:r>
      </w:hyperlink>
      <w:r/>
      <w:r/>
    </w:p>
    <w:p>
      <w:pPr>
        <w:numPr>
          <w:ilvl w:val="0"/>
          <w:numId w:val="245"/>
        </w:numPr>
        <w:pBdr/>
        <w:spacing/>
        <w:ind/>
        <w:rPr/>
      </w:pPr>
      <w:r>
        <w:t xml:space="preserve">HermanChen MPP issue #73. Maintainer response to license-compliance concerns. </w:t>
      </w:r>
      <w:hyperlink r:id="rId41" w:tooltip="https://github.com/HermanChen/mpp/issues/73" w:history="1">
        <w:r>
          <w:rPr>
            <w:rStyle w:val="1008"/>
          </w:rPr>
          <w:t xml:space="preserve">https://github.com/HermanChen/mpp/issues/73</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2" o:spid="_x0000_s152" o:spt="1" type="#_x0000_t1" style="width:0.00pt;height:1.50pt;mso-wrap-distance-left:0.00pt;mso-wrap-distance-top:0.00pt;mso-wrap-distance-right:0.00pt;mso-wrap-distance-bottom:0.00pt;visibility:visible;" fillcolor="#FFFFFF" strokecolor="#000000"/>
            </w:pict>
          </mc:Fallback>
        </mc:AlternateContent>
      </w:r>
      <w:bookmarkEnd w:id="201"/>
      <w:r/>
    </w:p>
    <w:p>
      <w:pPr>
        <w:pStyle w:val="976"/>
        <w:pBdr/>
        <w:spacing/>
        <w:ind/>
        <w:rPr/>
      </w:pPr>
      <w:r/>
      <w:bookmarkStart w:id="203" w:name="news-and-investigative-sources"/>
      <w:r>
        <w:t xml:space="preserve">News and Investigative Sources</w:t>
      </w:r>
      <w:r/>
    </w:p>
    <w:p>
      <w:pPr>
        <w:pStyle w:val="964"/>
        <w:numPr>
          <w:ilvl w:val="0"/>
          <w:numId w:val="246"/>
        </w:numPr>
        <w:pBdr/>
        <w:spacing/>
        <w:ind/>
        <w:rPr/>
      </w:pPr>
      <w:r>
        <w:t xml:space="preserve">Ars Technica. Google Cloud account deletion incidents.</w:t>
      </w:r>
      <w:r/>
    </w:p>
    <w:p>
      <w:pPr>
        <w:pStyle w:val="964"/>
        <w:numPr>
          <w:ilvl w:val="0"/>
          <w:numId w:val="246"/>
        </w:numPr>
        <w:pBdr/>
        <w:spacing/>
        <w:ind/>
        <w:rPr/>
      </w:pPr>
      <w:r>
        <w:t xml:space="preserve">The New York Times. Meta internship practices investigation.</w:t>
      </w:r>
      <w:r/>
    </w:p>
    <w:p>
      <w:pPr>
        <w:pStyle w:val="964"/>
        <w:numPr>
          <w:ilvl w:val="0"/>
          <w:numId w:val="246"/>
        </w:numPr>
        <w:pBdr/>
        <w:spacing/>
        <w:ind/>
        <w:rPr/>
      </w:pPr>
      <w:r>
        <w:t xml:space="preserve">Security research publications on Flock Safety vulnerabilities.</w:t>
      </w:r>
      <w:r/>
    </w:p>
    <w:p>
      <w:pPr>
        <w:pStyle w:val="964"/>
        <w:numPr>
          <w:ilvl w:val="0"/>
          <w:numId w:val="246"/>
        </w:numPr>
        <w:pBdr/>
        <w:spacing/>
        <w:ind/>
        <w:rPr/>
      </w:pPr>
      <w:r>
        <w:t xml:space="preserve">OpenAI valuation and announcement analysis: </w:t>
      </w:r>
      <w:hyperlink r:id="rId42" w:tooltip="https://www.wheresyoured.at/oracle-openai/" w:history="1">
        <w:r>
          <w:rPr>
            <w:rStyle w:val="1008"/>
          </w:rPr>
          <w:t xml:space="preserve">https://www.wheresyoured.at/oracle-openai/</w:t>
        </w:r>
      </w:hyperlink>
      <w:r/>
      <w:r/>
    </w:p>
    <w:p>
      <w:pPr>
        <w:pStyle w:val="964"/>
        <w:numPr>
          <w:ilvl w:val="0"/>
          <w:numId w:val="246"/>
        </w:numPr>
        <w:pBdr/>
        <w:spacing/>
        <w:ind/>
        <w:rPr/>
      </w:pPr>
      <w:r>
        <w:t xml:space="preserve">Muslim Charities Forum. (2025).</w:t>
      </w:r>
      <w:r>
        <w:t xml:space="preserve"> </w:t>
      </w:r>
      <w:r>
        <w:t xml:space="preserve">“The Landscape of Debanking within Muslim Charities and its Impact on Charitable Activities.”</w:t>
      </w:r>
      <w:r>
        <w:t xml:space="preserve"> </w:t>
      </w:r>
      <w:hyperlink r:id="rId43" w:tooltip="https://www.muslimcharitiesforum.org.uk/resources/" w:history="1">
        <w:r>
          <w:rPr>
            <w:rStyle w:val="1008"/>
          </w:rPr>
          <w:t xml:space="preserve">https://www.muslimcharitiesforum.org.uk/resources/</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3" o:spid="_x0000_s153" o:spt="1" type="#_x0000_t1" style="width:0.00pt;height:1.50pt;mso-wrap-distance-left:0.00pt;mso-wrap-distance-top:0.00pt;mso-wrap-distance-right:0.00pt;mso-wrap-distance-bottom:0.00pt;visibility:visible;" fillcolor="#FFFFFF" strokecolor="#000000"/>
            </w:pict>
          </mc:Fallback>
        </mc:AlternateContent>
      </w:r>
      <w:bookmarkEnd w:id="203"/>
      <w:r/>
    </w:p>
    <w:p>
      <w:pPr>
        <w:pStyle w:val="976"/>
        <w:pBdr/>
        <w:spacing/>
        <w:ind/>
        <w:rPr/>
      </w:pPr>
      <w:r/>
      <w:bookmarkStart w:id="208" w:name="legal-and-standards-documentation"/>
      <w:r>
        <w:t xml:space="preserve">Legal and Standards Documentation</w:t>
      </w:r>
      <w:r/>
    </w:p>
    <w:p>
      <w:pPr>
        <w:pStyle w:val="964"/>
        <w:numPr>
          <w:ilvl w:val="0"/>
          <w:numId w:val="247"/>
        </w:numPr>
        <w:pBdr/>
        <w:spacing/>
        <w:ind/>
        <w:rPr/>
      </w:pPr>
      <w:r>
        <w:t xml:space="preserve">European Union. (2016). General Data Protection Regulation (GDPR).</w:t>
      </w:r>
      <w:r/>
    </w:p>
    <w:p>
      <w:pPr>
        <w:pStyle w:val="964"/>
        <w:numPr>
          <w:ilvl w:val="0"/>
          <w:numId w:val="247"/>
        </w:numPr>
        <w:pBdr/>
        <w:spacing/>
        <w:ind/>
        <w:rPr/>
      </w:pPr>
      <w:r>
        <w:t xml:space="preserve">W3C. Web Content Accessibility Guidelines (WCAG) 2.1.</w:t>
      </w:r>
      <w:r/>
    </w:p>
    <w:p>
      <w:pPr>
        <w:pStyle w:val="964"/>
        <w:numPr>
          <w:ilvl w:val="0"/>
          <w:numId w:val="247"/>
        </w:numPr>
        <w:pBdr/>
        <w:spacing/>
        <w:ind/>
        <w:rPr/>
      </w:pPr>
      <w:r>
        <w:t xml:space="preserve">Open Source Initiative. (n.d.).</w:t>
      </w:r>
      <w:r>
        <w:t xml:space="preserve"> </w:t>
      </w:r>
      <w:r>
        <w:t xml:space="preserve">“The Open Source Definition (Annotated).”</w:t>
      </w:r>
      <w:r>
        <w:t xml:space="preserve"> </w:t>
      </w:r>
      <w:hyperlink r:id="rId44" w:tooltip="https://opensource.org/osd" w:history="1">
        <w:r>
          <w:rPr>
            <w:rStyle w:val="1008"/>
          </w:rPr>
          <w:t xml:space="preserve">https://opensource.org/osd</w:t>
        </w:r>
      </w:hyperlink>
      <w:r/>
      <w:r/>
    </w:p>
    <w:p>
      <w:pPr>
        <w:pStyle w:val="964"/>
        <w:numPr>
          <w:ilvl w:val="0"/>
          <w:numId w:val="247"/>
        </w:numPr>
        <w:pBdr/>
        <w:spacing/>
        <w:ind/>
        <w:rPr/>
      </w:pPr>
      <w:r>
        <w:t xml:space="preserve">ACM. Code of Ethics and Professional Conduct.</w:t>
      </w:r>
      <w:r/>
    </w:p>
    <w:p>
      <w:pPr>
        <w:pStyle w:val="964"/>
        <w:numPr>
          <w:ilvl w:val="0"/>
          <w:numId w:val="247"/>
        </w:numPr>
        <w:pBdr/>
        <w:spacing/>
        <w:ind/>
        <w:rPr/>
      </w:pPr>
      <w:r>
        <w:t xml:space="preserve">IEEE. Code of Ethics.</w:t>
      </w:r>
      <w:r/>
    </w:p>
    <w:p>
      <w:pPr>
        <w:pBdr/>
        <w:spacing/>
        <w:ind/>
        <w:rPr/>
      </w:pPr>
      <w:r>
        <mc:AlternateContent>
          <mc:Choice Requires="wpg">
            <w:drawing>
              <wp:inline xmlns:wp="http://schemas.openxmlformats.org/drawingml/2006/wordprocessingDrawing" distT="0" distB="0" distL="0" distR="0">
                <wp:extent cx="0" cy="19050"/>
                <wp:effectExtent l="0" t="0" r="0" b="0"/>
                <wp:docPr id="15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4" o:spid="_x0000_s154" o:spt="1" type="#_x0000_t1" style="width:0.00pt;height:1.50pt;mso-wrap-distance-left:0.00pt;mso-wrap-distance-top:0.00pt;mso-wrap-distance-right:0.00pt;mso-wrap-distance-bottom:0.00pt;visibility:visible;" fillcolor="#FFFFFF" strokecolor="#000000"/>
            </w:pict>
          </mc:Fallback>
        </mc:AlternateContent>
      </w:r>
      <w:r/>
    </w:p>
    <w:p>
      <w:pPr>
        <w:pStyle w:val="964"/>
        <w:numPr>
          <w:ilvl w:val="0"/>
          <w:numId w:val="248"/>
        </w:numPr>
        <w:pBdr/>
        <w:spacing/>
        <w:ind/>
        <w:rPr/>
      </w:pPr>
      <w:r>
        <w:t xml:space="preserve">W3C. (n.d.). </w:t>
      </w:r>
      <w:r>
        <w:rPr>
          <w:i/>
          <w:iCs/>
        </w:rPr>
        <w:t xml:space="preserve">Using ARIA: First rule of ARIA use</w:t>
      </w:r>
      <w:r>
        <w:t xml:space="preserve">. </w:t>
      </w:r>
      <w:hyperlink r:id="rId45" w:tooltip="https://www.w3.org/TR/using-aria/#firstrule" w:history="1">
        <w:r>
          <w:rPr>
            <w:rStyle w:val="1008"/>
          </w:rPr>
          <w:t xml:space="preserve">https://www.w3.org/TR/using-aria/#firstrule</w:t>
        </w:r>
      </w:hyperlink>
      <w:r/>
      <w:r/>
    </w:p>
    <w:p>
      <w:pPr>
        <w:pStyle w:val="964"/>
        <w:numPr>
          <w:ilvl w:val="0"/>
          <w:numId w:val="248"/>
        </w:numPr>
        <w:pBdr/>
        <w:spacing/>
        <w:ind/>
        <w:rPr/>
      </w:pPr>
      <w:r>
        <w:t xml:space="preserve">Chrome Developers. (n.d.). </w:t>
      </w:r>
      <w:r>
        <w:rPr>
          <w:i/>
          <w:iCs/>
        </w:rPr>
        <w:t xml:space="preserve">Accessible carousel guidance</w:t>
      </w:r>
      <w:r>
        <w:t xml:space="preserve">. </w:t>
      </w:r>
      <w:hyperlink r:id="rId46" w:tooltip="https://developer.chrome.com/blog/accessible-carousel" w:history="1">
        <w:r>
          <w:rPr>
            <w:rStyle w:val="1008"/>
          </w:rPr>
          <w:t xml:space="preserve">https://developer.chrome.com/blog/accessible-carousel</w:t>
        </w:r>
      </w:hyperlink>
      <w:r/>
      <w:r/>
    </w:p>
    <w:p>
      <w:pPr>
        <w:pStyle w:val="964"/>
        <w:numPr>
          <w:ilvl w:val="0"/>
          <w:numId w:val="248"/>
        </w:numPr>
        <w:pBdr/>
        <w:spacing/>
        <w:ind/>
        <w:rPr/>
      </w:pPr>
      <w:r>
        <w:t xml:space="preserve">Boxhall, A. (n.d.). </w:t>
      </w:r>
      <w:r>
        <w:rPr>
          <w:i/>
          <w:iCs/>
        </w:rPr>
        <w:t xml:space="preserve">A threat model for accessibility on the web</w:t>
      </w:r>
      <w:r>
        <w:t xml:space="preserve">. </w:t>
      </w:r>
      <w:hyperlink r:id="rId47" w:tooltip="https://alice.boxhall.au/articles/a-threat-model-for-accessibility-on-the-web/" w:history="1">
        <w:r>
          <w:rPr>
            <w:rStyle w:val="1008"/>
          </w:rPr>
          <w:t xml:space="preserve">https://alice.boxhall.au/articles/a-threat-model-for-accessibility-on-the-web/</w:t>
        </w:r>
      </w:hyperlink>
      <w:r/>
      <w:bookmarkEnd w:id="208"/>
      <w:r/>
    </w:p>
    <w:p>
      <w:pPr>
        <w:pStyle w:val="976"/>
        <w:pBdr/>
        <w:spacing/>
        <w:ind/>
        <w:rPr/>
      </w:pPr>
      <w:r/>
      <w:bookmarkStart w:id="213" w:name="behavioral-design-and-psychology-sources"/>
      <w:r>
        <w:t xml:space="preserve">Behavioral Design and Psychology Sources</w:t>
      </w:r>
      <w:r/>
    </w:p>
    <w:p>
      <w:pPr>
        <w:numPr>
          <w:ilvl w:val="0"/>
          <w:numId w:val="249"/>
        </w:numPr>
        <w:pBdr/>
        <w:spacing/>
        <w:ind/>
        <w:rPr/>
      </w:pPr>
      <w:r>
        <w:t xml:space="preserve">Duolingo. Streak mechanics and gamification design. User experience analyses and criticism of psychological manipulation in language learning applications.</w:t>
      </w:r>
      <w:r/>
    </w:p>
    <w:p>
      <w:pPr>
        <w:numPr>
          <w:ilvl w:val="0"/>
          <w:numId w:val="249"/>
        </w:numPr>
        <w:pBdr/>
        <w:spacing/>
        <w:ind/>
        <w:rPr/>
      </w:pPr>
      <w:r>
        <w:t xml:space="preserve">Johnson, E. J., &amp; Goldstein, D. (2003). </w:t>
      </w:r>
      <w:r>
        <w:rPr>
          <w:i/>
          <w:iCs/>
        </w:rPr>
        <w:t xml:space="preserve">Do defaults save lives?</w:t>
      </w:r>
      <w:r>
        <w:t xml:space="preserve"> Science, 302(5649), 1338–1339. </w:t>
      </w:r>
      <w:hyperlink r:id="rId48" w:tooltip="https://www.science.org/doi/10.1126/science.1091721" w:history="1">
        <w:r>
          <w:rPr>
            <w:rStyle w:val="1008"/>
          </w:rPr>
          <w:t xml:space="preserve">https://www.science.org/doi/10.1126/science.1091721</w:t>
        </w:r>
      </w:hyperlink>
      <w:r/>
      <w:r/>
    </w:p>
    <w:p>
      <w:pPr>
        <w:numPr>
          <w:ilvl w:val="0"/>
          <w:numId w:val="249"/>
        </w:numPr>
        <w:pBdr/>
        <w:spacing/>
        <w:ind/>
        <w:rPr/>
      </w:pPr>
      <w:r>
        <w:t xml:space="preserve">Eyal, N. (2014). Hooked: How to Build Habit-Forming Products. Portfolio. (Referenced for analysis of engagement patterns.)</w:t>
      </w:r>
      <w:r/>
    </w:p>
    <w:p>
      <w:pPr>
        <w:numPr>
          <w:ilvl w:val="0"/>
          <w:numId w:val="249"/>
        </w:numPr>
        <w:pBdr/>
        <w:spacing/>
        <w:ind/>
        <w:rPr/>
      </w:pPr>
      <w:r>
        <w:t xml:space="preserve">Jung, C. G. (1954). The Practice of Psychotherapy. Princeton University Press.</w:t>
      </w:r>
      <w:r/>
    </w:p>
    <w:p>
      <w:pPr>
        <w:numPr>
          <w:ilvl w:val="0"/>
          <w:numId w:val="249"/>
        </w:numPr>
        <w:pBdr/>
        <w:spacing/>
        <w:ind/>
        <w:rPr/>
      </w:pPr>
      <w:r>
        <w:t xml:space="preserve">Jung, C. G. (1989). Memories, Dreams, Reflections. Vintage Books.</w:t>
      </w:r>
      <w:r/>
    </w:p>
    <w:p>
      <w:pPr>
        <w:numPr>
          <w:ilvl w:val="0"/>
          <w:numId w:val="249"/>
        </w:numPr>
        <w:pBdr/>
        <w:spacing/>
        <w:ind/>
        <w:rPr/>
      </w:pPr>
      <w:r>
        <w:t xml:space="preserve">Frankl, V. E. (1959). Man’s Search for Meaning. Beacon Press.</w:t>
      </w:r>
      <w:r/>
    </w:p>
    <w:p>
      <w:pPr>
        <w:numPr>
          <w:ilvl w:val="0"/>
          <w:numId w:val="249"/>
        </w:numPr>
        <w:pBdr/>
        <w:spacing/>
        <w:ind/>
        <w:rPr/>
      </w:pPr>
      <w:r>
        <w:t xml:space="preserve">McGilchrist, I. (2021). The Matter with Things. Perspectiva Press.</w:t>
      </w:r>
      <w:r/>
    </w:p>
    <w:p>
      <w:pPr>
        <w:numPr>
          <w:ilvl w:val="0"/>
          <w:numId w:val="249"/>
        </w:numPr>
        <w:pBdr/>
        <w:spacing/>
        <w:ind/>
        <w:rPr/>
      </w:pPr>
      <w:r>
        <w:t xml:space="preserve">Westenberg, J. (2025). Every Decision Has Three Costs: Time, Focus, and Optionality. </w:t>
      </w:r>
      <w:hyperlink r:id="rId49" w:tooltip="https://www.joanwestenberg.com/" w:history="1">
        <w:r>
          <w:rPr>
            <w:rStyle w:val="1008"/>
          </w:rPr>
          <w:t xml:space="preserve">https://www.joanwestenberg.com/</w:t>
        </w:r>
      </w:hyperlink>
      <w:r/>
      <w:r/>
    </w:p>
    <w:p>
      <w:pPr>
        <w:numPr>
          <w:ilvl w:val="0"/>
          <w:numId w:val="249"/>
        </w:numPr>
        <w:pBdr/>
        <w:spacing/>
        <w:ind/>
        <w:rPr/>
      </w:pPr>
      <w:r>
        <w:t xml:space="preserve">International Consumer Protection and Enforcement Network. (2024, July 2). </w:t>
      </w:r>
      <w:r>
        <w:rPr>
          <w:i/>
          <w:iCs/>
        </w:rPr>
        <w:t xml:space="preserve">ICPEN Dark Patterns Sweep Public Report</w:t>
      </w:r>
      <w:r>
        <w:t xml:space="preserve">. </w:t>
      </w:r>
      <w:hyperlink r:id="rId50" w:tooltip="https://www.icpen.org/sites/default/files/2024-07/Public%20Report%20ICPEN%20Dark%20Patterns%20Sweep.pdf" w:history="1">
        <w:r>
          <w:rPr>
            <w:rStyle w:val="1008"/>
          </w:rPr>
          <w:t xml:space="preserve">https://www.icpen.org/sites/default/files/2024-07/Public%20Report%20ICPEN%20Dark%20Patterns%20Sweep.pdf</w:t>
        </w:r>
      </w:hyperlink>
      <w:r/>
      <w:r/>
    </w:p>
    <w:p>
      <w:pPr>
        <w:numPr>
          <w:ilvl w:val="0"/>
          <w:numId w:val="249"/>
        </w:numPr>
        <w:pBdr/>
        <w:spacing/>
        <w:ind/>
        <w:rPr/>
      </w:pPr>
      <w:r>
        <w:t xml:space="preserve">International Consumer Protection and Enforcement Network. (2024, July 9). </w:t>
      </w:r>
      <w:r>
        <w:rPr>
          <w:i/>
          <w:iCs/>
        </w:rPr>
        <w:t xml:space="preserve">ICPEN Sweep Finds Dark Patterns Used on Most Subscription Service Websites and Apps</w:t>
      </w:r>
      <w:r>
        <w:t xml:space="preserve">. </w:t>
      </w:r>
      <w:hyperlink r:id="rId51" w:tooltip="https://www.icpen.org/news/1360" w:history="1">
        <w:r>
          <w:rPr>
            <w:rStyle w:val="1008"/>
          </w:rPr>
          <w:t xml:space="preserve">https://www.icpen.org/news/1360</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5" o:spid="_x0000_s155" o:spt="1" type="#_x0000_t1" style="width:0.00pt;height:1.50pt;mso-wrap-distance-left:0.00pt;mso-wrap-distance-top:0.00pt;mso-wrap-distance-right:0.00pt;mso-wrap-distance-bottom:0.00pt;visibility:visible;" fillcolor="#FFFFFF" strokecolor="#000000"/>
            </w:pict>
          </mc:Fallback>
        </mc:AlternateContent>
      </w:r>
      <w:r/>
    </w:p>
    <w:p>
      <w:pPr>
        <w:pStyle w:val="964"/>
        <w:numPr>
          <w:ilvl w:val="0"/>
          <w:numId w:val="250"/>
        </w:numPr>
        <w:pBdr/>
        <w:spacing/>
        <w:ind/>
        <w:rPr/>
      </w:pPr>
      <w:r>
        <w:t xml:space="preserve">Organisation for Economic Co-operation and Development. (2022). </w:t>
      </w:r>
      <w:r>
        <w:rPr>
          <w:i/>
          <w:iCs/>
        </w:rPr>
        <w:t xml:space="preserve">Dark Commercial Patterns</w:t>
      </w:r>
      <w:r>
        <w:t xml:space="preserve"> (OECD Digital Economy Papers No. 336). Local thesis reference PDF: Dark Commercial Patterns.pdf.</w:t>
      </w:r>
      <w:bookmarkEnd w:id="213"/>
      <w:r/>
    </w:p>
    <w:p>
      <w:pPr>
        <w:pStyle w:val="976"/>
        <w:pBdr/>
        <w:spacing/>
        <w:ind/>
        <w:rPr/>
      </w:pPr>
      <w:r/>
      <w:bookmarkStart w:id="231" w:name="open-source-governance-and-case-studies"/>
      <w:r>
        <w:t xml:space="preserve">Open Source Governance and Case Studies</w:t>
      </w:r>
      <w:r/>
    </w:p>
    <w:p>
      <w:pPr>
        <w:numPr>
          <w:ilvl w:val="0"/>
          <w:numId w:val="251"/>
        </w:numPr>
        <w:pBdr/>
        <w:spacing/>
        <w:ind/>
        <w:rPr/>
      </w:pPr>
      <w:r>
        <w:t xml:space="preserve">Linux Foundation. (2024). Valkey: Community Fork of Redis. </w:t>
      </w:r>
      <w:hyperlink r:id="rId52" w:tooltip="https://valkey.io/" w:history="1">
        <w:r>
          <w:rPr>
            <w:rStyle w:val="1008"/>
          </w:rPr>
          <w:t xml:space="preserve">https://valkey.io/</w:t>
        </w:r>
      </w:hyperlink>
      <w:r/>
      <w:r/>
    </w:p>
    <w:p>
      <w:pPr>
        <w:numPr>
          <w:ilvl w:val="0"/>
          <w:numId w:val="251"/>
        </w:numPr>
        <w:pBdr/>
        <w:spacing/>
        <w:ind/>
        <w:rPr/>
      </w:pPr>
      <w:r>
        <w:t xml:space="preserve">Redis Labs. (2024). License Change Announcement. </w:t>
      </w:r>
      <w:hyperlink r:id="rId53" w:tooltip="https://redis.com/" w:history="1">
        <w:r>
          <w:rPr>
            <w:rStyle w:val="1008"/>
          </w:rPr>
          <w:t xml:space="preserve">https://redis.com/</w:t>
        </w:r>
      </w:hyperlink>
      <w:r/>
      <w:r/>
    </w:p>
    <w:p>
      <w:pPr>
        <w:numPr>
          <w:ilvl w:val="0"/>
          <w:numId w:val="251"/>
        </w:numPr>
        <w:pBdr/>
        <w:spacing/>
        <w:ind/>
        <w:rPr/>
      </w:pPr>
      <w:r>
        <w:t xml:space="preserve">The New Stack. (2024). Valkey Maintainers on Building a Community-Driven Fork.</w:t>
      </w:r>
      <w:r/>
    </w:p>
    <w:p>
      <w:pPr>
        <w:numPr>
          <w:ilvl w:val="0"/>
          <w:numId w:val="251"/>
        </w:numPr>
        <w:pBdr/>
        <w:spacing/>
        <w:ind/>
        <w:rPr/>
      </w:pPr>
      <w:r>
        <w:t xml:space="preserve">Private Internet Access. Russia ban and no-logging verification documentation.</w:t>
      </w:r>
      <w:r/>
    </w:p>
    <w:p>
      <w:pPr>
        <w:numPr>
          <w:ilvl w:val="0"/>
          <w:numId w:val="251"/>
        </w:numPr>
        <w:pBdr/>
        <w:spacing/>
        <w:ind/>
        <w:rPr/>
      </w:pPr>
      <w:r>
        <w:t xml:space="preserve">MonoGame. (2025). New Sponsor Announcement. </w:t>
      </w:r>
      <w:hyperlink r:id="rId54" w:tooltip="https://monogame.net/blog/2025-12-30-385-new-sponsor-announcement/" w:history="1">
        <w:r>
          <w:rPr>
            <w:rStyle w:val="1008"/>
          </w:rPr>
          <w:t xml:space="preserve">https://monogame.net/blog/2025-12-30-385-new-sponsor-announcement/</w:t>
        </w:r>
      </w:hyperlink>
      <w:r/>
      <w:r/>
    </w:p>
    <w:p>
      <w:pPr>
        <w:numPr>
          <w:ilvl w:val="0"/>
          <w:numId w:val="251"/>
        </w:numPr>
        <w:pBdr/>
        <w:spacing/>
        <w:ind/>
        <w:rPr/>
      </w:pPr>
      <w:r>
        <w:t xml:space="preserve">MonoGame. (n.d.). About MonoGame. </w:t>
      </w:r>
      <w:hyperlink r:id="rId55" w:tooltip="https://monogame.net/about/" w:history="1">
        <w:r>
          <w:rPr>
            <w:rStyle w:val="1008"/>
          </w:rPr>
          <w:t xml:space="preserve">https://monogame.net/about/</w:t>
        </w:r>
      </w:hyperlink>
      <w:r/>
      <w:r/>
    </w:p>
    <w:p>
      <w:pPr>
        <w:numPr>
          <w:ilvl w:val="0"/>
          <w:numId w:val="251"/>
        </w:numPr>
        <w:pBdr/>
        <w:spacing/>
        <w:ind/>
        <w:rPr/>
      </w:pPr>
      <w:r>
        <w:t xml:space="preserve">Re-Logic. (2023). Statement Regarding Unity &amp; The Future. </w:t>
      </w:r>
      <w:hyperlink r:id="rId56" w:tooltip="https://forums.terraria.org/index.php?threads/re-logic-statement-regarding-unity-the-future.129041/" w:history="1">
        <w:r>
          <w:rPr>
            <w:rStyle w:val="1008"/>
          </w:rPr>
          <w:t xml:space="preserve">https://forums.terraria.org/index.php?threads/re-logic-statement-regarding-unity-the-future.129041/</w:t>
        </w:r>
      </w:hyperlink>
      <w:r/>
      <w:r/>
    </w:p>
    <w:p>
      <w:pPr>
        <w:numPr>
          <w:ilvl w:val="0"/>
          <w:numId w:val="251"/>
        </w:numPr>
        <w:pBdr/>
        <w:spacing/>
        <w:ind/>
        <w:rPr/>
      </w:pPr>
      <w:r>
        <w:t xml:space="preserve">IndieWeb. (n.d.). Site deaths. </w:t>
      </w:r>
      <w:hyperlink r:id="rId57" w:tooltip="https://indieweb.org/site-deaths" w:history="1">
        <w:r>
          <w:rPr>
            <w:rStyle w:val="1008"/>
          </w:rPr>
          <w:t xml:space="preserve">https://indieweb.org/site-deaths</w:t>
        </w:r>
      </w:hyperlink>
      <w:r/>
      <w:r/>
    </w:p>
    <w:p>
      <w:pPr>
        <w:numPr>
          <w:ilvl w:val="0"/>
          <w:numId w:val="251"/>
        </w:numPr>
        <w:pBdr/>
        <w:spacing/>
        <w:ind/>
        <w:rPr/>
      </w:pPr>
      <w:r>
        <w:t xml:space="preserve">IndieWeb. (n.d.). Lost sites. </w:t>
      </w:r>
      <w:hyperlink r:id="rId58" w:tooltip="https://indieweb.org/lost_sites" w:history="1">
        <w:r>
          <w:rPr>
            <w:rStyle w:val="1008"/>
          </w:rPr>
          <w:t xml:space="preserve">https://indieweb.org/lost_sites</w:t>
        </w:r>
      </w:hyperlink>
      <w:r/>
      <w:r/>
    </w:p>
    <w:p>
      <w:pPr>
        <w:numPr>
          <w:ilvl w:val="0"/>
          <w:numId w:val="251"/>
        </w:numPr>
        <w:pBdr/>
        <w:spacing/>
        <w:ind/>
        <w:rPr/>
      </w:pPr>
      <w:r>
        <w:t xml:space="preserve">The Spinner. (2019 archived snapshot). </w:t>
      </w:r>
      <w:hyperlink r:id="rId59" w:tooltip="https://web.archive.org/web/20190927174004/https://www.thespinner.net/" w:history="1">
        <w:r>
          <w:rPr>
            <w:rStyle w:val="1008"/>
          </w:rPr>
          <w:t xml:space="preserve">https://web.archive.org/web/20190927174004/https://www.thespinner.net/</w:t>
        </w:r>
      </w:hyperlink>
      <w:r/>
      <w:r/>
    </w:p>
    <w:p>
      <w:pPr>
        <w:numPr>
          <w:ilvl w:val="0"/>
          <w:numId w:val="251"/>
        </w:numPr>
        <w:pBdr/>
        <w:spacing/>
        <w:ind/>
        <w:rPr/>
      </w:pPr>
      <w:r>
        <w:t xml:space="preserve">Clawd.rip. (2026). Claude Code incident timeline. </w:t>
      </w:r>
      <w:hyperlink r:id="rId60" w:tooltip="https://clawd.rip/" w:history="1">
        <w:r>
          <w:rPr>
            <w:rStyle w:val="1008"/>
          </w:rPr>
          <w:t xml:space="preserve">https://clawd.rip/</w:t>
        </w:r>
      </w:hyperlink>
      <w:r/>
      <w:r/>
    </w:p>
    <w:p>
      <w:pPr>
        <w:numPr>
          <w:ilvl w:val="0"/>
          <w:numId w:val="251"/>
        </w:numPr>
        <w:pBdr/>
        <w:spacing/>
        <w:ind/>
        <w:rPr/>
      </w:pPr>
      <w:r>
        <w:t xml:space="preserve">Anthropic. (2026). April 23 postmortem. </w:t>
      </w:r>
      <w:hyperlink r:id="rId61" w:tooltip="https://www.anthropic.com/engineering/april-23-postmortem" w:history="1">
        <w:r>
          <w:rPr>
            <w:rStyle w:val="1008"/>
          </w:rPr>
          <w:t xml:space="preserve">https://www.anthropic.com/engineering/april-23-postmortem</w:t>
        </w:r>
      </w:hyperlink>
      <w:r/>
      <w:r/>
    </w:p>
    <w:p>
      <w:pPr>
        <w:numPr>
          <w:ilvl w:val="0"/>
          <w:numId w:val="251"/>
        </w:numPr>
        <w:pBdr/>
        <w:spacing/>
        <w:ind/>
        <w:rPr/>
      </w:pPr>
      <w:r>
        <w:t xml:space="preserve">Anthropic Claude Code GitHub issue #53262. </w:t>
      </w:r>
      <w:hyperlink r:id="rId62" w:tooltip="https://github.com/anthropics/claude-code/issues/53262" w:history="1">
        <w:r>
          <w:rPr>
            <w:rStyle w:val="1008"/>
          </w:rPr>
          <w:t xml:space="preserve">https://github.com/anthropics/claude-code/issues/53262</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6" o:spid="_x0000_s156" o:spt="1" type="#_x0000_t1" style="width:0.00pt;height:1.50pt;mso-wrap-distance-left:0.00pt;mso-wrap-distance-top:0.00pt;mso-wrap-distance-right:0.00pt;mso-wrap-distance-bottom:0.00pt;visibility:visible;" fillcolor="#FFFFFF" strokecolor="#000000"/>
            </w:pict>
          </mc:Fallback>
        </mc:AlternateContent>
      </w:r>
      <w:r/>
    </w:p>
    <w:p>
      <w:pPr>
        <w:pStyle w:val="964"/>
        <w:numPr>
          <w:ilvl w:val="0"/>
          <w:numId w:val="252"/>
        </w:numPr>
        <w:pBdr/>
        <w:spacing/>
        <w:ind/>
        <w:rPr/>
      </w:pPr>
      <w:r>
        <w:t xml:space="preserve">Ladybird. (n.d.). </w:t>
      </w:r>
      <w:r>
        <w:rPr>
          <w:i/>
          <w:iCs/>
        </w:rPr>
        <w:t xml:space="preserve">Ladybird — A truly independent web browser</w:t>
      </w:r>
      <w:r>
        <w:t xml:space="preserve">. </w:t>
      </w:r>
      <w:hyperlink r:id="rId63" w:tooltip="https://ladybird.org/" w:history="1">
        <w:r>
          <w:rPr>
            <w:rStyle w:val="1008"/>
          </w:rPr>
          <w:t xml:space="preserve">https://ladybird.org/</w:t>
        </w:r>
      </w:hyperlink>
      <w:r/>
      <w:r/>
    </w:p>
    <w:p>
      <w:pPr>
        <w:pStyle w:val="964"/>
        <w:numPr>
          <w:ilvl w:val="0"/>
          <w:numId w:val="252"/>
        </w:numPr>
        <w:pBdr/>
        <w:spacing/>
        <w:ind/>
        <w:rPr/>
      </w:pPr>
      <w:r>
        <w:t xml:space="preserve">Ladybird. (n.d.). </w:t>
      </w:r>
      <w:r>
        <w:rPr>
          <w:i/>
          <w:iCs/>
        </w:rPr>
        <w:t xml:space="preserve">Ladybird sponsors and public project updates</w:t>
      </w:r>
      <w:r>
        <w:t xml:space="preserve">. </w:t>
      </w:r>
      <w:hyperlink r:id="rId64" w:tooltip="https://ladybird.org/news/" w:history="1">
        <w:r>
          <w:rPr>
            <w:rStyle w:val="1008"/>
          </w:rPr>
          <w:t xml:space="preserve">https://ladybird.org/news/</w:t>
        </w:r>
      </w:hyperlink>
      <w:r/>
      <w:r/>
    </w:p>
    <w:p>
      <w:pPr>
        <w:pStyle w:val="964"/>
        <w:numPr>
          <w:ilvl w:val="0"/>
          <w:numId w:val="252"/>
        </w:numPr>
        <w:pBdr/>
        <w:spacing/>
        <w:ind/>
        <w:rPr/>
      </w:pPr>
      <w:r>
        <w:t xml:space="preserve">Mobilizon. (n.d.). </w:t>
      </w:r>
      <w:r>
        <w:rPr>
          <w:i/>
          <w:iCs/>
        </w:rPr>
        <w:t xml:space="preserve">Mobilizon: online platforms to create, share and find events</w:t>
      </w:r>
      <w:r>
        <w:t xml:space="preserve">. </w:t>
      </w:r>
      <w:hyperlink r:id="rId65" w:tooltip="https://mobilizon.org/" w:history="1">
        <w:r>
          <w:rPr>
            <w:rStyle w:val="1008"/>
          </w:rPr>
          <w:t xml:space="preserve">https://mobilizon.org/</w:t>
        </w:r>
      </w:hyperlink>
      <w:r/>
      <w:r/>
    </w:p>
    <w:p>
      <w:pPr>
        <w:pStyle w:val="964"/>
        <w:numPr>
          <w:ilvl w:val="0"/>
          <w:numId w:val="252"/>
        </w:numPr>
        <w:pBdr/>
        <w:spacing/>
        <w:ind/>
        <w:rPr/>
      </w:pPr>
      <w:r>
        <w:t xml:space="preserve">Mobilizon. (n.d.). </w:t>
      </w:r>
      <w:r>
        <w:rPr>
          <w:i/>
          <w:iCs/>
        </w:rPr>
        <w:t xml:space="preserve">About Mobilizon</w:t>
      </w:r>
      <w:r>
        <w:t xml:space="preserve">. </w:t>
      </w:r>
      <w:hyperlink r:id="rId66" w:tooltip="https://mobilizon.org/about/" w:history="1">
        <w:r>
          <w:rPr>
            <w:rStyle w:val="1008"/>
          </w:rPr>
          <w:t xml:space="preserve">https://mobilizon.org/about/</w:t>
        </w:r>
      </w:hyperlink>
      <w:r/>
      <w:r/>
    </w:p>
    <w:p>
      <w:pPr>
        <w:pStyle w:val="964"/>
        <w:numPr>
          <w:ilvl w:val="0"/>
          <w:numId w:val="252"/>
        </w:numPr>
        <w:pBdr/>
        <w:spacing/>
        <w:ind/>
        <w:rPr/>
      </w:pPr>
      <w:r>
        <w:t xml:space="preserve">Mobilizon Documentation. (n.d.). </w:t>
      </w:r>
      <w:r>
        <w:rPr>
          <w:i/>
          <w:iCs/>
        </w:rPr>
        <w:t xml:space="preserve">Federation with ActivityPub</w:t>
      </w:r>
      <w:r>
        <w:t xml:space="preserve">. </w:t>
      </w:r>
      <w:hyperlink r:id="rId67" w:tooltip="https://docs.mobilizon.org/5.%20Interoperability/1.activity_pub/" w:history="1">
        <w:r>
          <w:rPr>
            <w:rStyle w:val="1008"/>
          </w:rPr>
          <w:t xml:space="preserve">https://docs.mobilizon.org/5.%20Interoperability/1.activity_pub/</w:t>
        </w:r>
      </w:hyperlink>
      <w:r/>
      <w:r/>
    </w:p>
    <w:p>
      <w:pPr>
        <w:pStyle w:val="964"/>
        <w:numPr>
          <w:ilvl w:val="0"/>
          <w:numId w:val="252"/>
        </w:numPr>
        <w:pBdr/>
        <w:spacing/>
        <w:ind/>
        <w:rPr/>
      </w:pPr>
      <w:r>
        <w:t xml:space="preserve">Mobilizon Documentation. (n.d.). </w:t>
      </w:r>
      <w:r>
        <w:rPr>
          <w:i/>
          <w:iCs/>
        </w:rPr>
        <w:t xml:space="preserve">Flux RSS/Atom &amp; Flux ICS/WebCal</w:t>
      </w:r>
      <w:r>
        <w:t xml:space="preserve">. </w:t>
      </w:r>
      <w:hyperlink r:id="rId68" w:tooltip="https://docs.mobilizon.org/5.%20Interoperability/4.flux_rss_ics/" w:history="1">
        <w:r>
          <w:rPr>
            <w:rStyle w:val="1008"/>
          </w:rPr>
          <w:t xml:space="preserve">https://docs.mobilizon.org/5.%20Interoperability/4.flux_rss_ics/</w:t>
        </w:r>
      </w:hyperlink>
      <w:r/>
      <w:bookmarkEnd w:id="231"/>
      <w:r/>
    </w:p>
    <w:p>
      <w:pPr>
        <w:pStyle w:val="976"/>
        <w:pBdr/>
        <w:spacing/>
        <w:ind/>
        <w:rPr/>
      </w:pPr>
      <w:r/>
      <w:bookmarkStart w:id="234" w:name="digital-media-and-internet-analysis"/>
      <w:r>
        <w:t xml:space="preserve">Digital Media and Internet Analysis</w:t>
      </w:r>
      <w:r/>
    </w:p>
    <w:p>
      <w:pPr>
        <w:pStyle w:val="964"/>
        <w:numPr>
          <w:ilvl w:val="0"/>
          <w:numId w:val="253"/>
        </w:numPr>
        <w:pBdr/>
        <w:spacing/>
        <w:ind/>
        <w:rPr/>
      </w:pPr>
      <w:r>
        <w:t xml:space="preserve">The Dead Internet Theory. (2024). Video analysis and community documentation. </w:t>
      </w:r>
      <w:hyperlink r:id="rId69" w:tooltip="https://youtu.be/YwdVSp8gOt4" w:history="1">
        <w:r>
          <w:rPr>
            <w:rStyle w:val="1008"/>
          </w:rPr>
          <w:t xml:space="preserve">https://youtu.be/YwdVSp8gOt4</w:t>
        </w:r>
      </w:hyperlink>
      <w:r/>
      <w:r/>
    </w:p>
    <w:p>
      <w:pPr>
        <w:pStyle w:val="964"/>
        <w:numPr>
          <w:ilvl w:val="0"/>
          <w:numId w:val="253"/>
        </w:numPr>
        <w:pBdr/>
        <w:spacing/>
        <w:ind/>
        <w:rPr/>
      </w:pPr>
      <w:r>
        <w:t xml:space="preserve">Bongers, C. (2025). I Love My Job and It’s Exhausting. CodeCabin. </w:t>
      </w:r>
      <w:hyperlink r:id="rId70" w:tooltip="https://www.codecabin.dev/" w:history="1">
        <w:r>
          <w:rPr>
            <w:rStyle w:val="1008"/>
          </w:rPr>
          <w:t xml:space="preserve">https://www.codecabin.dev/</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5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7" o:spid="_x0000_s157" o:spt="1" type="#_x0000_t1" style="width:0.00pt;height:1.50pt;mso-wrap-distance-left:0.00pt;mso-wrap-distance-top:0.00pt;mso-wrap-distance-right:0.00pt;mso-wrap-distance-bottom:0.00pt;visibility:visible;" fillcolor="#FFFFFF" strokecolor="#000000"/>
            </w:pict>
          </mc:Fallback>
        </mc:AlternateContent>
      </w:r>
      <w:bookmarkEnd w:id="234"/>
      <w:bookmarkEnd w:id="235"/>
      <w:r/>
    </w:p>
    <w:p>
      <w:pPr>
        <w:pStyle w:val="975"/>
        <w:pBdr/>
        <w:spacing/>
        <w:ind/>
        <w:rPr/>
      </w:pPr>
      <w:r/>
      <w:bookmarkStart w:id="281" w:name="appendices"/>
      <w:r>
        <w:t xml:space="preserve">8. Appendices</w:t>
      </w:r>
      <w:r/>
    </w:p>
    <w:p>
      <w:pPr>
        <w:pBdr/>
        <w:spacing/>
        <w:ind/>
        <w:rPr/>
      </w:pPr>
      <w:r>
        <mc:AlternateContent>
          <mc:Choice Requires="wpg">
            <w:drawing>
              <wp:inline xmlns:wp="http://schemas.openxmlformats.org/drawingml/2006/wordprocessingDrawing" distT="0" distB="0" distL="0" distR="0">
                <wp:extent cx="0" cy="19050"/>
                <wp:effectExtent l="0" t="0" r="0" b="0"/>
                <wp:docPr id="15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8" o:spid="_x0000_s158" o:spt="1" type="#_x0000_t1" style="width:0.00pt;height:1.50pt;mso-wrap-distance-left:0.00pt;mso-wrap-distance-top:0.00pt;mso-wrap-distance-right:0.00pt;mso-wrap-distance-bottom:0.00pt;visibility:visible;" fillcolor="#FFFFFF" strokecolor="#000000"/>
            </w:pict>
          </mc:Fallback>
        </mc:AlternateContent>
      </w:r>
      <w:r/>
    </w:p>
    <w:p>
      <w:pPr>
        <w:pStyle w:val="976"/>
        <w:pBdr/>
        <w:spacing/>
        <w:ind/>
        <w:rPr/>
      </w:pPr>
      <w:r/>
      <w:bookmarkStart w:id="243" w:name="X1b00dc4f766013bd704c35706d40fd82f50dd37"/>
      <w:r>
        <w:t xml:space="preserve">Appendix A: The I-VSD Framework Reference Tables</w:t>
      </w:r>
      <w:r/>
    </w:p>
    <w:p>
      <w:pPr>
        <w:pStyle w:val="963"/>
        <w:pBdr/>
        <w:spacing/>
        <w:ind/>
        <w:rPr/>
      </w:pPr>
      <w:r>
        <w:t xml:space="preserve">This appendix provides reference tables for applying the I-VSD framework to software service development.</w:t>
      </w:r>
      <w:r/>
    </w:p>
    <w:p>
      <w:pPr>
        <w:pBdr/>
        <w:spacing/>
        <w:ind/>
        <w:rPr/>
      </w:pPr>
      <w:r>
        <mc:AlternateContent>
          <mc:Choice Requires="wpg">
            <w:drawing>
              <wp:inline xmlns:wp="http://schemas.openxmlformats.org/drawingml/2006/wordprocessingDrawing" distT="0" distB="0" distL="0" distR="0">
                <wp:extent cx="0" cy="19050"/>
                <wp:effectExtent l="0" t="0" r="0" b="0"/>
                <wp:docPr id="16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59" o:spid="_x0000_s159" o:spt="1" type="#_x0000_t1" style="width:0.00pt;height:1.50pt;mso-wrap-distance-left:0.00pt;mso-wrap-distance-top:0.00pt;mso-wrap-distance-right:0.00pt;mso-wrap-distance-bottom:0.00pt;visibility:visible;" fillcolor="#FFFFFF" strokecolor="#000000"/>
            </w:pict>
          </mc:Fallback>
        </mc:AlternateContent>
      </w:r>
      <w:r/>
    </w:p>
    <w:p>
      <w:pPr>
        <w:pStyle w:val="977"/>
        <w:pBdr/>
        <w:spacing/>
        <w:ind/>
        <w:rPr/>
      </w:pPr>
      <w:r/>
      <w:bookmarkStart w:id="236" w:name="a.1-strategic-decision-framework"/>
      <w:r>
        <w:t xml:space="preserve">A.1 Strategic Decision Framework</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Organizational Structure</w:t>
            </w:r>
            <w:r/>
          </w:p>
        </w:tc>
        <w:tc>
          <w:tcPr>
            <w:tcBorders/>
          </w:tcPr>
          <w:p>
            <w:pPr>
              <w:pStyle w:val="964"/>
              <w:pBdr/>
              <w:spacing/>
              <w:ind/>
              <w:rPr/>
            </w:pPr>
            <w:r>
              <w:t xml:space="preserve">Aligned with service over profit</w:t>
            </w:r>
            <w:r/>
          </w:p>
        </w:tc>
        <w:tc>
          <w:tcPr>
            <w:tcBorders/>
          </w:tcPr>
          <w:p>
            <w:pPr>
              <w:pStyle w:val="964"/>
              <w:pBdr/>
              <w:spacing/>
              <w:ind/>
              <w:rPr/>
            </w:pPr>
            <w:r>
              <w:t xml:space="preserve">Khidmah (Service)</w:t>
            </w:r>
            <w:r/>
          </w:p>
        </w:tc>
      </w:tr>
      <w:tr>
        <w:trPr/>
        <w:tc>
          <w:tcPr>
            <w:tcBorders/>
          </w:tcPr>
          <w:p>
            <w:pPr>
              <w:pStyle w:val="964"/>
              <w:pBdr/>
              <w:spacing/>
              <w:ind/>
              <w:rPr/>
            </w:pPr>
            <w:r/>
            <w:r/>
          </w:p>
        </w:tc>
        <w:tc>
          <w:tcPr>
            <w:tcBorders/>
          </w:tcPr>
          <w:p>
            <w:pPr>
              <w:pStyle w:val="964"/>
              <w:pBdr/>
              <w:spacing/>
              <w:ind/>
              <w:rPr/>
            </w:pPr>
            <w:r>
              <w:t xml:space="preserve">Supports long-term ethical commitments</w:t>
            </w:r>
            <w:r/>
          </w:p>
        </w:tc>
        <w:tc>
          <w:tcPr>
            <w:tcBorders/>
          </w:tcPr>
          <w:p>
            <w:pPr>
              <w:pStyle w:val="964"/>
              <w:pBdr/>
              <w:spacing/>
              <w:ind/>
              <w:rPr/>
            </w:pPr>
            <w:r>
              <w:t xml:space="preserve">Wafa (Keeping Promises)</w:t>
            </w:r>
            <w:r/>
          </w:p>
        </w:tc>
      </w:tr>
      <w:tr>
        <w:trPr/>
        <w:tc>
          <w:tcPr>
            <w:tcBorders/>
          </w:tcPr>
          <w:p>
            <w:pPr>
              <w:pStyle w:val="964"/>
              <w:pBdr/>
              <w:spacing/>
              <w:ind/>
              <w:rPr/>
            </w:pPr>
            <w:r/>
            <w:r/>
          </w:p>
        </w:tc>
        <w:tc>
          <w:tcPr>
            <w:tcBorders/>
          </w:tcPr>
          <w:p>
            <w:pPr>
              <w:pStyle w:val="964"/>
              <w:pBdr/>
              <w:spacing/>
              <w:ind/>
              <w:rPr/>
            </w:pPr>
            <w:r>
              <w:t xml:space="preserve">Accountability mechanisms in place</w:t>
            </w:r>
            <w:r/>
          </w:p>
        </w:tc>
        <w:tc>
          <w:tcPr>
            <w:tcBorders/>
          </w:tcPr>
          <w:p>
            <w:pPr>
              <w:pStyle w:val="964"/>
              <w:pBdr/>
              <w:spacing/>
              <w:ind/>
              <w:rPr/>
            </w:pPr>
            <w:r>
              <w:t xml:space="preserve">Amanah (Trust)</w:t>
            </w:r>
            <w:r/>
          </w:p>
        </w:tc>
      </w:tr>
      <w:tr>
        <w:trPr/>
        <w:tc>
          <w:tcPr>
            <w:tcBorders/>
          </w:tcPr>
          <w:p>
            <w:pPr>
              <w:pStyle w:val="964"/>
              <w:pBdr/>
              <w:spacing/>
              <w:ind/>
              <w:rPr/>
            </w:pPr>
            <w:r>
              <w:rPr>
                <w:b/>
                <w:bCs/>
              </w:rPr>
              <w:t xml:space="preserve">Funding Sources</w:t>
            </w:r>
            <w:r/>
          </w:p>
        </w:tc>
        <w:tc>
          <w:tcPr>
            <w:tcBorders/>
          </w:tcPr>
          <w:p>
            <w:pPr>
              <w:pStyle w:val="964"/>
              <w:pBdr/>
              <w:spacing/>
              <w:ind/>
              <w:rPr/>
            </w:pPr>
            <w:r>
              <w:t xml:space="preserve">Free from riba (interest)</w:t>
            </w:r>
            <w:r/>
          </w:p>
        </w:tc>
        <w:tc>
          <w:tcPr>
            <w:tcBorders/>
          </w:tcPr>
          <w:p>
            <w:pPr>
              <w:pStyle w:val="964"/>
              <w:pBdr/>
              <w:spacing/>
              <w:ind/>
              <w:rPr/>
            </w:pPr>
            <w:r>
              <w:t xml:space="preserve">Prohibition of Riba</w:t>
            </w:r>
            <w:r/>
          </w:p>
        </w:tc>
      </w:tr>
      <w:tr>
        <w:trPr/>
        <w:tc>
          <w:tcPr>
            <w:tcBorders/>
          </w:tcPr>
          <w:p>
            <w:pPr>
              <w:pStyle w:val="964"/>
              <w:pBdr/>
              <w:spacing/>
              <w:ind/>
              <w:rPr/>
            </w:pPr>
            <w:r/>
            <w:r/>
          </w:p>
        </w:tc>
        <w:tc>
          <w:tcPr>
            <w:tcBorders/>
          </w:tcPr>
          <w:p>
            <w:pPr>
              <w:pStyle w:val="964"/>
              <w:pBdr/>
              <w:spacing/>
              <w:ind/>
              <w:rPr/>
            </w:pPr>
            <w:r>
              <w:t xml:space="preserve">Allows autonomous ethical decisions</w:t>
            </w:r>
            <w:r/>
          </w:p>
        </w:tc>
        <w:tc>
          <w:tcPr>
            <w:tcBorders/>
          </w:tcPr>
          <w:p>
            <w:pPr>
              <w:pStyle w:val="964"/>
              <w:pBdr/>
              <w:spacing/>
              <w:ind/>
              <w:rPr/>
            </w:pPr>
            <w:r>
              <w:t xml:space="preserve">Independence for ethical integrity</w:t>
            </w:r>
            <w:r/>
          </w:p>
        </w:tc>
      </w:tr>
      <w:tr>
        <w:trPr/>
        <w:tc>
          <w:tcPr>
            <w:tcBorders/>
          </w:tcPr>
          <w:p>
            <w:pPr>
              <w:pStyle w:val="964"/>
              <w:pBdr/>
              <w:spacing/>
              <w:ind/>
              <w:rPr/>
            </w:pPr>
            <w:r/>
            <w:r/>
          </w:p>
        </w:tc>
        <w:tc>
          <w:tcPr>
            <w:tcBorders/>
          </w:tcPr>
          <w:p>
            <w:pPr>
              <w:pStyle w:val="964"/>
              <w:pBdr/>
              <w:spacing/>
              <w:ind/>
              <w:rPr/>
            </w:pPr>
            <w:r>
              <w:t xml:space="preserve">No investor pressure toward unethical practices</w:t>
            </w:r>
            <w:r/>
          </w:p>
        </w:tc>
        <w:tc>
          <w:tcPr>
            <w:tcBorders/>
          </w:tcPr>
          <w:p>
            <w:pPr>
              <w:pStyle w:val="964"/>
              <w:pBdr/>
              <w:spacing/>
              <w:ind/>
              <w:rPr/>
            </w:pPr>
            <w:r>
              <w:t xml:space="preserve">Avoiding compulsion to sin</w:t>
            </w:r>
            <w:r/>
          </w:p>
        </w:tc>
      </w:tr>
      <w:tr>
        <w:trPr/>
        <w:tc>
          <w:tcPr>
            <w:tcBorders/>
          </w:tcPr>
          <w:p>
            <w:pPr>
              <w:pStyle w:val="964"/>
              <w:pBdr/>
              <w:spacing/>
              <w:ind/>
              <w:rPr/>
            </w:pPr>
            <w:r>
              <w:rPr>
                <w:b/>
                <w:bCs/>
              </w:rPr>
              <w:t xml:space="preserve">Partnerships</w:t>
            </w:r>
            <w:r/>
          </w:p>
        </w:tc>
        <w:tc>
          <w:tcPr>
            <w:tcBorders/>
          </w:tcPr>
          <w:p>
            <w:pPr>
              <w:pStyle w:val="964"/>
              <w:pBdr/>
              <w:spacing/>
              <w:ind/>
              <w:rPr/>
            </w:pPr>
            <w:r>
              <w:t xml:space="preserve">Partners vetted for values alignment</w:t>
            </w:r>
            <w:r/>
          </w:p>
        </w:tc>
        <w:tc>
          <w:tcPr>
            <w:tcBorders/>
          </w:tcPr>
          <w:p>
            <w:pPr>
              <w:pStyle w:val="964"/>
              <w:pBdr/>
              <w:spacing/>
              <w:ind/>
              <w:rPr/>
            </w:pPr>
            <w:r>
              <w:t xml:space="preserve">Choosing righteous companions</w:t>
            </w:r>
            <w:r/>
          </w:p>
        </w:tc>
      </w:tr>
      <w:tr>
        <w:trPr/>
        <w:tc>
          <w:tcPr>
            <w:tcBorders/>
          </w:tcPr>
          <w:p>
            <w:pPr>
              <w:pStyle w:val="964"/>
              <w:pBdr/>
              <w:spacing/>
              <w:ind/>
              <w:rPr/>
            </w:pPr>
            <w:r/>
            <w:r/>
          </w:p>
        </w:tc>
        <w:tc>
          <w:tcPr>
            <w:tcBorders/>
          </w:tcPr>
          <w:p>
            <w:pPr>
              <w:pStyle w:val="964"/>
              <w:pBdr/>
              <w:spacing/>
              <w:ind/>
              <w:rPr/>
            </w:pPr>
            <w:r>
              <w:t xml:space="preserve">Partners avoid contributing to oppression</w:t>
            </w:r>
            <w:r/>
          </w:p>
        </w:tc>
        <w:tc>
          <w:tcPr>
            <w:tcBorders/>
          </w:tcPr>
          <w:p>
            <w:pPr>
              <w:pStyle w:val="964"/>
              <w:pBdr/>
              <w:spacing/>
              <w:ind/>
              <w:rPr/>
            </w:pPr>
            <w:r>
              <w:t xml:space="preserve">La Darar (No Harm)</w:t>
            </w:r>
            <w:r/>
          </w:p>
        </w:tc>
      </w:tr>
      <w:tr>
        <w:trPr/>
        <w:tc>
          <w:tcPr>
            <w:tcBorders/>
          </w:tcPr>
          <w:p>
            <w:pPr>
              <w:pStyle w:val="964"/>
              <w:pBdr/>
              <w:spacing/>
              <w:ind/>
              <w:rPr/>
            </w:pPr>
            <w:r/>
            <w:r/>
          </w:p>
        </w:tc>
        <w:tc>
          <w:tcPr>
            <w:tcBorders/>
          </w:tcPr>
          <w:p>
            <w:pPr>
              <w:pStyle w:val="964"/>
              <w:pBdr/>
              <w:spacing/>
              <w:ind/>
              <w:rPr/>
            </w:pPr>
            <w:r>
              <w:t xml:space="preserve">Transparent and fair partnership terms</w:t>
            </w:r>
            <w:r/>
          </w:p>
        </w:tc>
        <w:tc>
          <w:tcPr>
            <w:tcBorders/>
          </w:tcPr>
          <w:p>
            <w:pPr>
              <w:pStyle w:val="964"/>
              <w:pBdr/>
              <w:spacing/>
              <w:ind/>
              <w:rPr/>
            </w:pPr>
            <w:r>
              <w:t xml:space="preserve">Sidq (Truthfulness)</w:t>
            </w:r>
            <w:r/>
          </w:p>
        </w:tc>
      </w:tr>
      <w:tr>
        <w:trPr/>
        <w:tc>
          <w:tcPr>
            <w:tcBorders/>
          </w:tcPr>
          <w:p>
            <w:pPr>
              <w:pStyle w:val="964"/>
              <w:pBdr/>
              <w:spacing/>
              <w:ind/>
              <w:rPr/>
            </w:pPr>
            <w:r>
              <w:rPr>
                <w:b/>
                <w:bCs/>
              </w:rPr>
              <w:t xml:space="preserve">Business Model</w:t>
            </w:r>
            <w:r/>
          </w:p>
        </w:tc>
        <w:tc>
          <w:tcPr>
            <w:tcBorders/>
          </w:tcPr>
          <w:p>
            <w:pPr>
              <w:pStyle w:val="964"/>
              <w:pBdr/>
              <w:spacing/>
              <w:ind/>
              <w:rPr/>
            </w:pPr>
            <w:r>
              <w:t xml:space="preserve">Revenue based on fair value exchange</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No exploitation of monopoly positions</w:t>
            </w:r>
            <w:r/>
          </w:p>
        </w:tc>
        <w:tc>
          <w:tcPr>
            <w:tcBorders/>
          </w:tcPr>
          <w:p>
            <w:pPr>
              <w:pStyle w:val="964"/>
              <w:pBdr/>
              <w:spacing/>
              <w:ind/>
              <w:rPr/>
            </w:pPr>
            <w:r>
              <w:t xml:space="preserve">Prohibition of Ghaban</w:t>
            </w:r>
            <w:r/>
          </w:p>
        </w:tc>
      </w:tr>
      <w:tr>
        <w:trPr/>
        <w:tc>
          <w:tcPr>
            <w:tcBorders/>
          </w:tcPr>
          <w:p>
            <w:pPr>
              <w:pStyle w:val="964"/>
              <w:pBdr/>
              <w:spacing/>
              <w:ind/>
              <w:rPr/>
            </w:pPr>
            <w:r/>
            <w:r/>
          </w:p>
        </w:tc>
        <w:tc>
          <w:tcPr>
            <w:tcBorders/>
          </w:tcPr>
          <w:p>
            <w:pPr>
              <w:pStyle w:val="964"/>
              <w:pBdr/>
              <w:spacing/>
              <w:ind/>
              <w:rPr/>
            </w:pPr>
            <w:r>
              <w:t xml:space="preserve">Sustainable without dark patterns</w:t>
            </w:r>
            <w:r/>
          </w:p>
        </w:tc>
        <w:tc>
          <w:tcPr>
            <w:tcBorders/>
          </w:tcPr>
          <w:p>
            <w:pPr>
              <w:pStyle w:val="964"/>
              <w:pBdr/>
              <w:spacing/>
              <w:ind/>
              <w:rPr/>
            </w:pPr>
            <w:r>
              <w:t xml:space="preserve">No Ghish (No Deception)</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0" o:spid="_x0000_s160" o:spt="1" type="#_x0000_t1" style="width:0.00pt;height:1.50pt;mso-wrap-distance-left:0.00pt;mso-wrap-distance-top:0.00pt;mso-wrap-distance-right:0.00pt;mso-wrap-distance-bottom:0.00pt;visibility:visible;" fillcolor="#FFFFFF" strokecolor="#000000"/>
            </w:pict>
          </mc:Fallback>
        </mc:AlternateContent>
      </w:r>
      <w:bookmarkEnd w:id="236"/>
      <w:r/>
    </w:p>
    <w:p>
      <w:pPr>
        <w:pStyle w:val="977"/>
        <w:pBdr/>
        <w:spacing/>
        <w:ind/>
        <w:rPr/>
      </w:pPr>
      <w:r/>
      <w:bookmarkStart w:id="237" w:name="a.2-technical-decision-framework"/>
      <w:r>
        <w:t xml:space="preserve">A.2 Technical Decision Framework</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Architecture</w:t>
            </w:r>
            <w:r/>
          </w:p>
        </w:tc>
        <w:tc>
          <w:tcPr>
            <w:tcBorders/>
          </w:tcPr>
          <w:p>
            <w:pPr>
              <w:pStyle w:val="964"/>
              <w:pBdr/>
              <w:spacing/>
              <w:ind/>
              <w:rPr/>
            </w:pPr>
            <w:r>
              <w:t xml:space="preserve">Open-source technologies prioritized</w:t>
            </w:r>
            <w:r/>
          </w:p>
        </w:tc>
        <w:tc>
          <w:tcPr>
            <w:tcBorders/>
          </w:tcPr>
          <w:p>
            <w:pPr>
              <w:pStyle w:val="964"/>
              <w:pBdr/>
              <w:spacing/>
              <w:ind/>
              <w:rPr/>
            </w:pPr>
            <w:r>
              <w:t xml:space="preserve">Transparency, knowledge sharing</w:t>
            </w:r>
            <w:r/>
          </w:p>
        </w:tc>
      </w:tr>
      <w:tr>
        <w:trPr/>
        <w:tc>
          <w:tcPr>
            <w:tcBorders/>
          </w:tcPr>
          <w:p>
            <w:pPr>
              <w:pStyle w:val="964"/>
              <w:pBdr/>
              <w:spacing/>
              <w:ind/>
              <w:rPr/>
            </w:pPr>
            <w:r/>
            <w:r/>
          </w:p>
        </w:tc>
        <w:tc>
          <w:tcPr>
            <w:tcBorders/>
          </w:tcPr>
          <w:p>
            <w:pPr>
              <w:pStyle w:val="964"/>
              <w:pBdr/>
              <w:spacing/>
              <w:ind/>
              <w:rPr/>
            </w:pPr>
            <w:r>
              <w:t xml:space="preserve">Self-hosting option available</w:t>
            </w:r>
            <w:r/>
          </w:p>
        </w:tc>
        <w:tc>
          <w:tcPr>
            <w:tcBorders/>
          </w:tcPr>
          <w:p>
            <w:pPr>
              <w:pStyle w:val="964"/>
              <w:pBdr/>
              <w:spacing/>
              <w:ind/>
              <w:rPr/>
            </w:pPr>
            <w:r>
              <w:t xml:space="preserve">User autonomy</w:t>
            </w:r>
            <w:r/>
          </w:p>
        </w:tc>
      </w:tr>
      <w:tr>
        <w:trPr/>
        <w:tc>
          <w:tcPr>
            <w:tcBorders/>
          </w:tcPr>
          <w:p>
            <w:pPr>
              <w:pStyle w:val="964"/>
              <w:pBdr/>
              <w:spacing/>
              <w:ind/>
              <w:rPr/>
            </w:pPr>
            <w:r/>
            <w:r/>
          </w:p>
        </w:tc>
        <w:tc>
          <w:tcPr>
            <w:tcBorders/>
          </w:tcPr>
          <w:p>
            <w:pPr>
              <w:pStyle w:val="964"/>
              <w:pBdr/>
              <w:spacing/>
              <w:ind/>
              <w:rPr/>
            </w:pPr>
            <w:r>
              <w:t xml:space="preserve">No vendor lock-in</w:t>
            </w:r>
            <w:r/>
          </w:p>
        </w:tc>
        <w:tc>
          <w:tcPr>
            <w:tcBorders/>
          </w:tcPr>
          <w:p>
            <w:pPr>
              <w:pStyle w:val="964"/>
              <w:pBdr/>
              <w:spacing/>
              <w:ind/>
              <w:rPr/>
            </w:pPr>
            <w:r>
              <w:t xml:space="preserve">Respecting property rights</w:t>
            </w:r>
            <w:r/>
          </w:p>
        </w:tc>
      </w:tr>
      <w:tr>
        <w:trPr/>
        <w:tc>
          <w:tcPr>
            <w:tcBorders/>
          </w:tcPr>
          <w:p>
            <w:pPr>
              <w:pStyle w:val="964"/>
              <w:pBdr/>
              <w:spacing/>
              <w:ind/>
              <w:rPr/>
            </w:pPr>
            <w:r/>
            <w:r/>
          </w:p>
        </w:tc>
        <w:tc>
          <w:tcPr>
            <w:tcBorders/>
          </w:tcPr>
          <w:p>
            <w:pPr>
              <w:pStyle w:val="964"/>
              <w:pBdr/>
              <w:spacing/>
              <w:ind/>
              <w:rPr/>
            </w:pPr>
            <w:r>
              <w:t xml:space="preserve">Data portability ensured</w:t>
            </w:r>
            <w:r/>
          </w:p>
        </w:tc>
        <w:tc>
          <w:tcPr>
            <w:tcBorders/>
          </w:tcPr>
          <w:p>
            <w:pPr>
              <w:pStyle w:val="964"/>
              <w:pBdr/>
              <w:spacing/>
              <w:ind/>
              <w:rPr/>
            </w:pPr>
            <w:r>
              <w:t xml:space="preserve">User ownership of data</w:t>
            </w:r>
            <w:r/>
          </w:p>
        </w:tc>
      </w:tr>
      <w:tr>
        <w:trPr/>
        <w:tc>
          <w:tcPr>
            <w:tcBorders/>
          </w:tcPr>
          <w:p>
            <w:pPr>
              <w:pStyle w:val="964"/>
              <w:pBdr/>
              <w:spacing/>
              <w:ind/>
              <w:rPr/>
            </w:pPr>
            <w:r>
              <w:rPr>
                <w:b/>
                <w:bCs/>
              </w:rPr>
              <w:t xml:space="preserve">Data Governance</w:t>
            </w:r>
            <w:r/>
          </w:p>
        </w:tc>
        <w:tc>
          <w:tcPr>
            <w:tcBorders/>
          </w:tcPr>
          <w:p>
            <w:pPr>
              <w:pStyle w:val="964"/>
              <w:pBdr/>
              <w:spacing/>
              <w:ind/>
              <w:rPr/>
            </w:pPr>
            <w:r>
              <w:t xml:space="preserve">Data collection minimized</w:t>
            </w:r>
            <w:r/>
          </w:p>
        </w:tc>
        <w:tc>
          <w:tcPr>
            <w:tcBorders/>
          </w:tcPr>
          <w:p>
            <w:pPr>
              <w:pStyle w:val="964"/>
              <w:pBdr/>
              <w:spacing/>
              <w:ind/>
              <w:rPr/>
            </w:pPr>
            <w:r>
              <w:t xml:space="preserve">No Tajassus (No Spying)</w:t>
            </w:r>
            <w:r/>
          </w:p>
        </w:tc>
      </w:tr>
      <w:tr>
        <w:trPr/>
        <w:tc>
          <w:tcPr>
            <w:tcBorders/>
          </w:tcPr>
          <w:p>
            <w:pPr>
              <w:pStyle w:val="964"/>
              <w:pBdr/>
              <w:spacing/>
              <w:ind/>
              <w:rPr/>
            </w:pPr>
            <w:r/>
            <w:r/>
          </w:p>
        </w:tc>
        <w:tc>
          <w:tcPr>
            <w:tcBorders/>
          </w:tcPr>
          <w:p>
            <w:pPr>
              <w:pStyle w:val="964"/>
              <w:pBdr/>
              <w:spacing/>
              <w:ind/>
              <w:rPr/>
            </w:pPr>
            <w:r>
              <w:t xml:space="preserve">User control over their data</w:t>
            </w:r>
            <w:r/>
          </w:p>
        </w:tc>
        <w:tc>
          <w:tcPr>
            <w:tcBorders/>
          </w:tcPr>
          <w:p>
            <w:pPr>
              <w:pStyle w:val="964"/>
              <w:pBdr/>
              <w:spacing/>
              <w:ind/>
              <w:rPr/>
            </w:pPr>
            <w:r>
              <w:t xml:space="preserve">Amanah with entrusted data</w:t>
            </w:r>
            <w:r/>
          </w:p>
        </w:tc>
      </w:tr>
      <w:tr>
        <w:trPr/>
        <w:tc>
          <w:tcPr>
            <w:tcBorders/>
          </w:tcPr>
          <w:p>
            <w:pPr>
              <w:pStyle w:val="964"/>
              <w:pBdr/>
              <w:spacing/>
              <w:ind/>
              <w:rPr/>
            </w:pPr>
            <w:r/>
            <w:r/>
          </w:p>
        </w:tc>
        <w:tc>
          <w:tcPr>
            <w:tcBorders/>
          </w:tcPr>
          <w:p>
            <w:pPr>
              <w:pStyle w:val="964"/>
              <w:pBdr/>
              <w:spacing/>
              <w:ind/>
              <w:rPr/>
            </w:pPr>
            <w:r>
              <w:t xml:space="preserve">No selling user data without consent</w:t>
            </w:r>
            <w:r/>
          </w:p>
        </w:tc>
        <w:tc>
          <w:tcPr>
            <w:tcBorders/>
          </w:tcPr>
          <w:p>
            <w:pPr>
              <w:pStyle w:val="964"/>
              <w:pBdr/>
              <w:spacing/>
              <w:ind/>
              <w:rPr/>
            </w:pPr>
            <w:r>
              <w:t xml:space="preserve">Prohibition of unauthorized use</w:t>
            </w:r>
            <w:r/>
          </w:p>
        </w:tc>
      </w:tr>
      <w:tr>
        <w:trPr/>
        <w:tc>
          <w:tcPr>
            <w:tcBorders/>
          </w:tcPr>
          <w:p>
            <w:pPr>
              <w:pStyle w:val="964"/>
              <w:pBdr/>
              <w:spacing/>
              <w:ind/>
              <w:rPr/>
            </w:pPr>
            <w:r/>
            <w:r/>
          </w:p>
        </w:tc>
        <w:tc>
          <w:tcPr>
            <w:tcBorders/>
          </w:tcPr>
          <w:p>
            <w:pPr>
              <w:pStyle w:val="964"/>
              <w:pBdr/>
              <w:spacing/>
              <w:ind/>
              <w:rPr/>
            </w:pPr>
            <w:r>
              <w:t xml:space="preserve">Transparent privacy policy</w:t>
            </w:r>
            <w:r/>
          </w:p>
        </w:tc>
        <w:tc>
          <w:tcPr>
            <w:tcBorders/>
          </w:tcPr>
          <w:p>
            <w:pPr>
              <w:pStyle w:val="964"/>
              <w:pBdr/>
              <w:spacing/>
              <w:ind/>
              <w:rPr/>
            </w:pPr>
            <w:r>
              <w:t xml:space="preserve">Sidq (Truthfulness)</w:t>
            </w:r>
            <w:r/>
          </w:p>
        </w:tc>
      </w:tr>
      <w:tr>
        <w:trPr/>
        <w:tc>
          <w:tcPr>
            <w:tcBorders/>
          </w:tcPr>
          <w:p>
            <w:pPr>
              <w:pStyle w:val="964"/>
              <w:pBdr/>
              <w:spacing/>
              <w:ind/>
              <w:rPr/>
            </w:pPr>
            <w:r>
              <w:rPr>
                <w:b/>
                <w:bCs/>
              </w:rPr>
              <w:t xml:space="preserve">Security</w:t>
            </w:r>
            <w:r/>
          </w:p>
        </w:tc>
        <w:tc>
          <w:tcPr>
            <w:tcBorders/>
          </w:tcPr>
          <w:p>
            <w:pPr>
              <w:pStyle w:val="964"/>
              <w:pBdr/>
              <w:spacing/>
              <w:ind/>
              <w:rPr/>
            </w:pPr>
            <w:r>
              <w:t xml:space="preserve">Proper password hashing and encryption</w:t>
            </w:r>
            <w:r/>
          </w:p>
        </w:tc>
        <w:tc>
          <w:tcPr>
            <w:tcBorders/>
          </w:tcPr>
          <w:p>
            <w:pPr>
              <w:pStyle w:val="964"/>
              <w:pBdr/>
              <w:spacing/>
              <w:ind/>
              <w:rPr/>
            </w:pPr>
            <w:r>
              <w:t xml:space="preserve">Amanah (Protecting trust)</w:t>
            </w:r>
            <w:r/>
          </w:p>
        </w:tc>
      </w:tr>
      <w:tr>
        <w:trPr/>
        <w:tc>
          <w:tcPr>
            <w:tcBorders/>
          </w:tcPr>
          <w:p>
            <w:pPr>
              <w:pStyle w:val="964"/>
              <w:pBdr/>
              <w:spacing/>
              <w:ind/>
              <w:rPr/>
            </w:pPr>
            <w:r/>
            <w:r/>
          </w:p>
        </w:tc>
        <w:tc>
          <w:tcPr>
            <w:tcBorders/>
          </w:tcPr>
          <w:p>
            <w:pPr>
              <w:pStyle w:val="964"/>
              <w:pBdr/>
              <w:spacing/>
              <w:ind/>
              <w:rPr/>
            </w:pPr>
            <w:r>
              <w:t xml:space="preserve">HTTPS everywhere</w:t>
            </w:r>
            <w:r/>
          </w:p>
        </w:tc>
        <w:tc>
          <w:tcPr>
            <w:tcBorders/>
          </w:tcPr>
          <w:p>
            <w:pPr>
              <w:pStyle w:val="964"/>
              <w:pBdr/>
              <w:spacing/>
              <w:ind/>
              <w:rPr/>
            </w:pPr>
            <w:r>
              <w:t xml:space="preserve">Technical due diligence</w:t>
            </w:r>
            <w:r/>
          </w:p>
        </w:tc>
      </w:tr>
      <w:tr>
        <w:trPr/>
        <w:tc>
          <w:tcPr>
            <w:tcBorders/>
          </w:tcPr>
          <w:p>
            <w:pPr>
              <w:pStyle w:val="964"/>
              <w:pBdr/>
              <w:spacing/>
              <w:ind/>
              <w:rPr/>
            </w:pPr>
            <w:r/>
            <w:r/>
          </w:p>
        </w:tc>
        <w:tc>
          <w:tcPr>
            <w:tcBorders/>
          </w:tcPr>
          <w:p>
            <w:pPr>
              <w:pStyle w:val="964"/>
              <w:pBdr/>
              <w:spacing/>
              <w:ind/>
              <w:rPr/>
            </w:pPr>
            <w:r>
              <w:t xml:space="preserve">Prompt vulnerability patching (&lt;72 hours critical)</w:t>
            </w:r>
            <w:r/>
          </w:p>
        </w:tc>
        <w:tc>
          <w:tcPr>
            <w:tcBorders/>
          </w:tcPr>
          <w:p>
            <w:pPr>
              <w:pStyle w:val="964"/>
              <w:pBdr/>
              <w:spacing/>
              <w:ind/>
              <w:rPr/>
            </w:pPr>
            <w:r>
              <w:t xml:space="preserve">La Darar (Preventing harm)</w:t>
            </w:r>
            <w:r/>
          </w:p>
        </w:tc>
      </w:tr>
      <w:tr>
        <w:trPr/>
        <w:tc>
          <w:tcPr>
            <w:tcBorders/>
          </w:tcPr>
          <w:p>
            <w:pPr>
              <w:pStyle w:val="964"/>
              <w:pBdr/>
              <w:spacing/>
              <w:ind/>
              <w:rPr/>
            </w:pPr>
            <w:r/>
            <w:r/>
          </w:p>
        </w:tc>
        <w:tc>
          <w:tcPr>
            <w:tcBorders/>
          </w:tcPr>
          <w:p>
            <w:pPr>
              <w:pStyle w:val="964"/>
              <w:pBdr/>
              <w:spacing/>
              <w:ind/>
              <w:rPr/>
            </w:pPr>
            <w:r>
              <w:t xml:space="preserve">No backdoors or surveillance</w:t>
            </w:r>
            <w:r/>
          </w:p>
        </w:tc>
        <w:tc>
          <w:tcPr>
            <w:tcBorders/>
          </w:tcPr>
          <w:p>
            <w:pPr>
              <w:pStyle w:val="964"/>
              <w:pBdr/>
              <w:spacing/>
              <w:ind/>
              <w:rPr/>
            </w:pPr>
            <w:r>
              <w:t xml:space="preserve">No Tajassus</w:t>
            </w:r>
            <w:r/>
          </w:p>
        </w:tc>
      </w:tr>
      <w:tr>
        <w:trPr/>
        <w:tc>
          <w:tcPr>
            <w:tcBorders/>
          </w:tcPr>
          <w:p>
            <w:pPr>
              <w:pStyle w:val="964"/>
              <w:pBdr/>
              <w:spacing/>
              <w:ind/>
              <w:rPr/>
            </w:pPr>
            <w:r>
              <w:rPr>
                <w:b/>
                <w:bCs/>
              </w:rPr>
              <w:t xml:space="preserve">Content Moderation</w:t>
            </w:r>
            <w:r/>
          </w:p>
        </w:tc>
        <w:tc>
          <w:tcPr>
            <w:tcBorders/>
          </w:tcPr>
          <w:p>
            <w:pPr>
              <w:pStyle w:val="964"/>
              <w:pBdr/>
              <w:spacing/>
              <w:ind/>
              <w:rPr/>
            </w:pPr>
            <w:r>
              <w:t xml:space="preserve">Clear community guidelines</w:t>
            </w:r>
            <w:r/>
          </w:p>
        </w:tc>
        <w:tc>
          <w:tcPr>
            <w:tcBorders/>
          </w:tcPr>
          <w:p>
            <w:pPr>
              <w:pStyle w:val="964"/>
              <w:pBdr/>
              <w:spacing/>
              <w:ind/>
              <w:rPr/>
            </w:pPr>
            <w:r>
              <w:t xml:space="preserve">Clarity in agreements</w:t>
            </w:r>
            <w:r/>
          </w:p>
        </w:tc>
      </w:tr>
      <w:tr>
        <w:trPr/>
        <w:tc>
          <w:tcPr>
            <w:tcBorders/>
          </w:tcPr>
          <w:p>
            <w:pPr>
              <w:pStyle w:val="964"/>
              <w:pBdr/>
              <w:spacing/>
              <w:ind/>
              <w:rPr/>
            </w:pPr>
            <w:r/>
            <w:r/>
          </w:p>
        </w:tc>
        <w:tc>
          <w:tcPr>
            <w:tcBorders/>
          </w:tcPr>
          <w:p>
            <w:pPr>
              <w:pStyle w:val="964"/>
              <w:pBdr/>
              <w:spacing/>
              <w:ind/>
              <w:rPr/>
            </w:pPr>
            <w:r>
              <w:t xml:space="preserve">Consistent application of standards</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Appeal process available</w:t>
            </w:r>
            <w:r/>
          </w:p>
        </w:tc>
        <w:tc>
          <w:tcPr>
            <w:tcBorders/>
          </w:tcPr>
          <w:p>
            <w:pPr>
              <w:pStyle w:val="964"/>
              <w:pBdr/>
              <w:spacing/>
              <w:ind/>
              <w:rPr/>
            </w:pPr>
            <w:r>
              <w:t xml:space="preserve">Right to fair hearing</w:t>
            </w:r>
            <w:r/>
          </w:p>
        </w:tc>
      </w:tr>
      <w:tr>
        <w:trPr/>
        <w:tc>
          <w:tcPr>
            <w:tcBorders/>
          </w:tcPr>
          <w:p>
            <w:pPr>
              <w:pStyle w:val="964"/>
              <w:pBdr/>
              <w:spacing/>
              <w:ind/>
              <w:rPr/>
            </w:pPr>
            <w:r/>
            <w:r/>
          </w:p>
        </w:tc>
        <w:tc>
          <w:tcPr>
            <w:tcBorders/>
          </w:tcPr>
          <w:p>
            <w:pPr>
              <w:pStyle w:val="964"/>
              <w:pBdr/>
              <w:spacing/>
              <w:ind/>
              <w:rPr/>
            </w:pPr>
            <w:r>
              <w:t xml:space="preserve">Human oversight of automation</w:t>
            </w:r>
            <w:r/>
          </w:p>
        </w:tc>
        <w:tc>
          <w:tcPr>
            <w:tcBorders/>
          </w:tcPr>
          <w:p>
            <w:pPr>
              <w:pStyle w:val="964"/>
              <w:pBdr/>
              <w:spacing/>
              <w:ind/>
              <w:rPr/>
            </w:pPr>
            <w:r>
              <w:t xml:space="preserve">Accountability</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1" o:spid="_x0000_s161" o:spt="1" type="#_x0000_t1" style="width:0.00pt;height:1.50pt;mso-wrap-distance-left:0.00pt;mso-wrap-distance-top:0.00pt;mso-wrap-distance-right:0.00pt;mso-wrap-distance-bottom:0.00pt;visibility:visible;" fillcolor="#FFFFFF" strokecolor="#000000"/>
            </w:pict>
          </mc:Fallback>
        </mc:AlternateContent>
      </w:r>
      <w:bookmarkEnd w:id="237"/>
      <w:r/>
    </w:p>
    <w:p>
      <w:pPr>
        <w:pStyle w:val="977"/>
        <w:pBdr/>
        <w:spacing/>
        <w:ind/>
        <w:rPr/>
      </w:pPr>
      <w:r/>
      <w:bookmarkStart w:id="238" w:name="a.3-design-decision-framework"/>
      <w:r>
        <w:t xml:space="preserve">A.3 Design Decision Framework</w:t>
      </w:r>
      <w:r/>
    </w:p>
    <w:tbl>
      <w:tblPr>
        <w:tblStyle w:val="996"/>
        <w:tblW w:w="0" w:type="auto"/>
        <w:tblBorders/>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User Interface</w:t>
            </w:r>
            <w:r/>
          </w:p>
        </w:tc>
        <w:tc>
          <w:tcPr>
            <w:tcBorders/>
          </w:tcPr>
          <w:p>
            <w:pPr>
              <w:pStyle w:val="964"/>
              <w:pBdr/>
              <w:spacing/>
              <w:ind/>
              <w:rPr/>
            </w:pPr>
            <w:r>
              <w:t xml:space="preserve">No dark patterns</w:t>
            </w:r>
            <w:r/>
          </w:p>
        </w:tc>
        <w:tc>
          <w:tcPr>
            <w:tcBorders/>
          </w:tcPr>
          <w:p>
            <w:pPr>
              <w:pStyle w:val="964"/>
              <w:pBdr/>
              <w:spacing/>
              <w:ind/>
              <w:rPr/>
            </w:pPr>
            <w:r>
              <w:t xml:space="preserve">No Ghish (No Deception)</w:t>
            </w:r>
            <w:r/>
          </w:p>
        </w:tc>
      </w:tr>
      <w:tr>
        <w:trPr/>
        <w:tc>
          <w:tcPr>
            <w:tcBorders/>
          </w:tcPr>
          <w:p>
            <w:pPr>
              <w:pStyle w:val="964"/>
              <w:pBdr/>
              <w:spacing/>
              <w:ind/>
              <w:rPr/>
            </w:pPr>
            <w:r/>
            <w:r/>
          </w:p>
        </w:tc>
        <w:tc>
          <w:tcPr>
            <w:tcBorders/>
          </w:tcPr>
          <w:p>
            <w:pPr>
              <w:pStyle w:val="964"/>
              <w:pBdr/>
              <w:spacing/>
              <w:ind/>
              <w:rPr/>
            </w:pPr>
            <w:r>
              <w:t xml:space="preserve">Subscribe/unsubscribe equally easy</w:t>
            </w:r>
            <w:r/>
          </w:p>
        </w:tc>
        <w:tc>
          <w:tcPr>
            <w:tcBorders/>
          </w:tcPr>
          <w:p>
            <w:pPr>
              <w:pStyle w:val="964"/>
              <w:pBdr/>
              <w:spacing/>
              <w:ind/>
              <w:rPr/>
            </w:pPr>
            <w:r>
              <w:t xml:space="preserve">Fairness in contracts</w:t>
            </w:r>
            <w:r/>
          </w:p>
        </w:tc>
      </w:tr>
      <w:tr>
        <w:trPr/>
        <w:tc>
          <w:tcPr>
            <w:tcBorders/>
          </w:tcPr>
          <w:p>
            <w:pPr>
              <w:pStyle w:val="964"/>
              <w:pBdr/>
              <w:spacing/>
              <w:ind/>
              <w:rPr/>
            </w:pPr>
            <w:r/>
            <w:r/>
          </w:p>
        </w:tc>
        <w:tc>
          <w:tcPr>
            <w:tcBorders/>
          </w:tcPr>
          <w:p>
            <w:pPr>
              <w:pStyle w:val="964"/>
              <w:pBdr/>
              <w:spacing/>
              <w:ind/>
              <w:rPr/>
            </w:pPr>
            <w:r>
              <w:t xml:space="preserve">No false urgency or scarcity</w:t>
            </w:r>
            <w:r/>
          </w:p>
        </w:tc>
        <w:tc>
          <w:tcPr>
            <w:tcBorders/>
          </w:tcPr>
          <w:p>
            <w:pPr>
              <w:pStyle w:val="964"/>
              <w:pBdr/>
              <w:spacing/>
              <w:ind/>
              <w:rPr/>
            </w:pPr>
            <w:r>
              <w:t xml:space="preserve">Sidq (Truthfulness)</w:t>
            </w:r>
            <w:r/>
          </w:p>
        </w:tc>
      </w:tr>
      <w:tr>
        <w:trPr/>
        <w:tc>
          <w:tcPr>
            <w:tcBorders/>
          </w:tcPr>
          <w:p>
            <w:pPr>
              <w:pStyle w:val="964"/>
              <w:pBdr/>
              <w:spacing/>
              <w:ind/>
              <w:rPr/>
            </w:pPr>
            <w:r>
              <w:rPr>
                <w:b/>
                <w:bCs/>
              </w:rPr>
              <w:t xml:space="preserve">Pricing</w:t>
            </w:r>
            <w:r/>
          </w:p>
        </w:tc>
        <w:tc>
          <w:tcPr>
            <w:tcBorders/>
          </w:tcPr>
          <w:p>
            <w:pPr>
              <w:pStyle w:val="964"/>
              <w:pBdr/>
              <w:spacing/>
              <w:ind/>
              <w:rPr/>
            </w:pPr>
            <w:r>
              <w:t xml:space="preserve">All costs visible upfront</w:t>
            </w:r>
            <w:r/>
          </w:p>
        </w:tc>
        <w:tc>
          <w:tcPr>
            <w:tcBorders/>
          </w:tcPr>
          <w:p>
            <w:pPr>
              <w:pStyle w:val="964"/>
              <w:pBdr/>
              <w:spacing/>
              <w:ind/>
              <w:rPr/>
            </w:pPr>
            <w:r>
              <w:t xml:space="preserve">No Gharar (No Uncertainty)</w:t>
            </w:r>
            <w:r/>
          </w:p>
        </w:tc>
      </w:tr>
      <w:tr>
        <w:trPr/>
        <w:tc>
          <w:tcPr>
            <w:tcBorders/>
          </w:tcPr>
          <w:p>
            <w:pPr>
              <w:pStyle w:val="964"/>
              <w:pBdr/>
              <w:spacing/>
              <w:ind/>
              <w:rPr/>
            </w:pPr>
            <w:r/>
            <w:r/>
          </w:p>
        </w:tc>
        <w:tc>
          <w:tcPr>
            <w:tcBorders/>
          </w:tcPr>
          <w:p>
            <w:pPr>
              <w:pStyle w:val="964"/>
              <w:pBdr/>
              <w:spacing/>
              <w:ind/>
              <w:rPr/>
            </w:pPr>
            <w:r>
              <w:t xml:space="preserve">No hidden fees</w:t>
            </w:r>
            <w:r/>
          </w:p>
        </w:tc>
        <w:tc>
          <w:tcPr>
            <w:tcBorders/>
          </w:tcPr>
          <w:p>
            <w:pPr>
              <w:pStyle w:val="964"/>
              <w:pBdr/>
              <w:spacing/>
              <w:ind/>
              <w:rPr/>
            </w:pPr>
            <w:r>
              <w:t xml:space="preserve">Sidq (Truthfulness)</w:t>
            </w:r>
            <w:r/>
          </w:p>
        </w:tc>
      </w:tr>
      <w:tr>
        <w:trPr/>
        <w:tc>
          <w:tcPr>
            <w:tcBorders/>
          </w:tcPr>
          <w:p>
            <w:pPr>
              <w:pStyle w:val="964"/>
              <w:pBdr/>
              <w:spacing/>
              <w:ind/>
              <w:rPr/>
            </w:pPr>
            <w:r/>
            <w:r/>
          </w:p>
        </w:tc>
        <w:tc>
          <w:tcPr>
            <w:tcBorders/>
          </w:tcPr>
          <w:p>
            <w:pPr>
              <w:pStyle w:val="964"/>
              <w:pBdr/>
              <w:spacing/>
              <w:ind/>
              <w:rPr/>
            </w:pPr>
            <w:r>
              <w:t xml:space="preserve">Fair pricing based on value</w:t>
            </w:r>
            <w:r/>
          </w:p>
        </w:tc>
        <w:tc>
          <w:tcPr>
            <w:tcBorders/>
          </w:tcPr>
          <w:p>
            <w:pPr>
              <w:pStyle w:val="964"/>
              <w:pBdr/>
              <w:spacing/>
              <w:ind/>
              <w:rPr/>
            </w:pPr>
            <w:r>
              <w:t xml:space="preserve">Adl (Justice)</w:t>
            </w:r>
            <w:r/>
          </w:p>
        </w:tc>
      </w:tr>
      <w:tr>
        <w:trPr/>
        <w:tc>
          <w:tcPr>
            <w:tcBorders/>
          </w:tcPr>
          <w:p>
            <w:pPr>
              <w:pStyle w:val="964"/>
              <w:pBdr/>
              <w:spacing/>
              <w:ind/>
              <w:rPr/>
            </w:pPr>
            <w:r>
              <w:rPr>
                <w:b/>
                <w:bCs/>
              </w:rPr>
              <w:t xml:space="preserve">Free Tier</w:t>
            </w:r>
            <w:r/>
          </w:p>
        </w:tc>
        <w:tc>
          <w:tcPr>
            <w:tcBorders/>
          </w:tcPr>
          <w:p>
            <w:pPr>
              <w:pStyle w:val="964"/>
              <w:pBdr/>
              <w:spacing/>
              <w:ind/>
              <w:rPr/>
            </w:pPr>
            <w:r>
              <w:t xml:space="preserve">Provides real functional value</w:t>
            </w:r>
            <w:r/>
          </w:p>
        </w:tc>
        <w:tc>
          <w:tcPr>
            <w:tcBorders/>
          </w:tcPr>
          <w:p>
            <w:pPr>
              <w:pStyle w:val="964"/>
              <w:pBdr/>
              <w:spacing/>
              <w:ind/>
              <w:rPr/>
            </w:pPr>
            <w:r>
              <w:t xml:space="preserve">Ihsan (Excellence)</w:t>
            </w:r>
            <w:r/>
          </w:p>
        </w:tc>
      </w:tr>
      <w:tr>
        <w:trPr/>
        <w:tc>
          <w:tcPr>
            <w:tcBorders/>
          </w:tcPr>
          <w:p>
            <w:pPr>
              <w:pStyle w:val="964"/>
              <w:pBdr/>
              <w:spacing/>
              <w:ind/>
              <w:rPr/>
            </w:pPr>
            <w:r/>
            <w:r/>
          </w:p>
        </w:tc>
        <w:tc>
          <w:tcPr>
            <w:tcBorders/>
          </w:tcPr>
          <w:p>
            <w:pPr>
              <w:pStyle w:val="964"/>
              <w:pBdr/>
              <w:spacing/>
              <w:ind/>
              <w:rPr/>
            </w:pPr>
            <w:r>
              <w:t xml:space="preserve">Limitations based on actual constraints</w:t>
            </w:r>
            <w:r/>
          </w:p>
        </w:tc>
        <w:tc>
          <w:tcPr>
            <w:tcBorders/>
          </w:tcPr>
          <w:p>
            <w:pPr>
              <w:pStyle w:val="964"/>
              <w:pBdr/>
              <w:spacing/>
              <w:ind/>
              <w:rPr/>
            </w:pPr>
            <w:r>
              <w:t xml:space="preserve">Honesty about capabilities</w:t>
            </w:r>
            <w:r/>
          </w:p>
        </w:tc>
      </w:tr>
      <w:tr>
        <w:trPr/>
        <w:tc>
          <w:tcPr>
            <w:tcBorders/>
          </w:tcPr>
          <w:p>
            <w:pPr>
              <w:pStyle w:val="964"/>
              <w:pBdr/>
              <w:spacing/>
              <w:ind/>
              <w:rPr/>
            </w:pPr>
            <w:r/>
            <w:r/>
          </w:p>
        </w:tc>
        <w:tc>
          <w:tcPr>
            <w:tcBorders/>
          </w:tcPr>
          <w:p>
            <w:pPr>
              <w:pStyle w:val="964"/>
              <w:pBdr/>
              <w:spacing/>
              <w:ind/>
              <w:rPr/>
            </w:pPr>
            <w:r>
              <w:t xml:space="preserve">No bait-and-switch</w:t>
            </w:r>
            <w:r/>
          </w:p>
        </w:tc>
        <w:tc>
          <w:tcPr>
            <w:tcBorders/>
          </w:tcPr>
          <w:p>
            <w:pPr>
              <w:pStyle w:val="964"/>
              <w:pBdr/>
              <w:spacing/>
              <w:ind/>
              <w:rPr/>
            </w:pPr>
            <w:r>
              <w:t xml:space="preserve">No Ghish</w:t>
            </w:r>
            <w:r/>
          </w:p>
        </w:tc>
      </w:tr>
      <w:tr>
        <w:trPr/>
        <w:tc>
          <w:tcPr>
            <w:tcBorders/>
          </w:tcPr>
          <w:p>
            <w:pPr>
              <w:pStyle w:val="964"/>
              <w:pBdr/>
              <w:spacing/>
              <w:ind/>
              <w:rPr/>
            </w:pPr>
            <w:r>
              <w:rPr>
                <w:b/>
                <w:bCs/>
              </w:rPr>
              <w:t xml:space="preserve">Accessibility</w:t>
            </w:r>
            <w:r/>
          </w:p>
        </w:tc>
        <w:tc>
          <w:tcPr>
            <w:tcBorders/>
          </w:tcPr>
          <w:p>
            <w:pPr>
              <w:pStyle w:val="964"/>
              <w:pBdr/>
              <w:spacing/>
              <w:ind/>
              <w:rPr/>
            </w:pPr>
            <w:r>
              <w:t xml:space="preserve">WCAG compliance</w:t>
            </w:r>
            <w:r/>
          </w:p>
        </w:tc>
        <w:tc>
          <w:tcPr>
            <w:tcBorders/>
          </w:tcPr>
          <w:p>
            <w:pPr>
              <w:pStyle w:val="964"/>
              <w:pBdr/>
              <w:spacing/>
              <w:ind/>
              <w:rPr/>
            </w:pPr>
            <w:r>
              <w:t xml:space="preserve">Adl (Equal access)</w:t>
            </w:r>
            <w:r/>
          </w:p>
        </w:tc>
      </w:tr>
      <w:tr>
        <w:trPr/>
        <w:tc>
          <w:tcPr>
            <w:tcBorders/>
          </w:tcPr>
          <w:p>
            <w:pPr>
              <w:pStyle w:val="964"/>
              <w:pBdr/>
              <w:spacing/>
              <w:ind/>
              <w:rPr/>
            </w:pPr>
            <w:r/>
            <w:r/>
          </w:p>
        </w:tc>
        <w:tc>
          <w:tcPr>
            <w:tcBorders/>
          </w:tcPr>
          <w:p>
            <w:pPr>
              <w:pStyle w:val="964"/>
              <w:pBdr/>
              <w:spacing/>
              <w:ind/>
              <w:rPr/>
            </w:pPr>
            <w:r>
              <w:t xml:space="preserve">Multi-language support</w:t>
            </w:r>
            <w:r/>
          </w:p>
        </w:tc>
        <w:tc>
          <w:tcPr>
            <w:tcBorders/>
          </w:tcPr>
          <w:p>
            <w:pPr>
              <w:pStyle w:val="964"/>
              <w:pBdr/>
              <w:spacing/>
              <w:ind/>
              <w:rPr/>
            </w:pPr>
            <w:r>
              <w:t xml:space="preserve">Serving diverse Ummah</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2" o:spid="_x0000_s162" o:spt="1" type="#_x0000_t1" style="width:0.00pt;height:1.50pt;mso-wrap-distance-left:0.00pt;mso-wrap-distance-top:0.00pt;mso-wrap-distance-right:0.00pt;mso-wrap-distance-bottom:0.00pt;visibility:visible;" fillcolor="#FFFFFF" strokecolor="#000000"/>
            </w:pict>
          </mc:Fallback>
        </mc:AlternateContent>
      </w:r>
      <w:bookmarkEnd w:id="238"/>
      <w:r/>
    </w:p>
    <w:p>
      <w:pPr>
        <w:pStyle w:val="977"/>
        <w:pBdr/>
        <w:spacing/>
        <w:ind/>
        <w:rPr/>
      </w:pPr>
      <w:r/>
      <w:bookmarkStart w:id="239" w:name="Xaef00eff5090d9ba454052fb491e0c57f3e917b"/>
      <w:r>
        <w:t xml:space="preserve">A.4 Marketing and Communication Framework</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Marketing Claims</w:t>
            </w:r>
            <w:r/>
          </w:p>
        </w:tc>
        <w:tc>
          <w:tcPr>
            <w:tcBorders/>
          </w:tcPr>
          <w:p>
            <w:pPr>
              <w:pStyle w:val="964"/>
              <w:pBdr/>
              <w:spacing/>
              <w:ind/>
              <w:rPr/>
            </w:pPr>
            <w:r>
              <w:t xml:space="preserve">All claims truthful and accurate</w:t>
            </w:r>
            <w:r/>
          </w:p>
        </w:tc>
        <w:tc>
          <w:tcPr>
            <w:tcBorders/>
          </w:tcPr>
          <w:p>
            <w:pPr>
              <w:pStyle w:val="964"/>
              <w:pBdr/>
              <w:spacing/>
              <w:ind/>
              <w:rPr/>
            </w:pPr>
            <w:r>
              <w:t xml:space="preserve">Sidq (Truthfulness)</w:t>
            </w:r>
            <w:r/>
          </w:p>
        </w:tc>
      </w:tr>
      <w:tr>
        <w:trPr/>
        <w:tc>
          <w:tcPr>
            <w:tcBorders/>
          </w:tcPr>
          <w:p>
            <w:pPr>
              <w:pStyle w:val="964"/>
              <w:pBdr/>
              <w:spacing/>
              <w:ind/>
              <w:rPr/>
            </w:pPr>
            <w:r/>
            <w:r/>
          </w:p>
        </w:tc>
        <w:tc>
          <w:tcPr>
            <w:tcBorders/>
          </w:tcPr>
          <w:p>
            <w:pPr>
              <w:pStyle w:val="964"/>
              <w:pBdr/>
              <w:spacing/>
              <w:ind/>
              <w:rPr/>
            </w:pPr>
            <w:r>
              <w:t xml:space="preserve">Honest about limitations</w:t>
            </w:r>
            <w:r/>
          </w:p>
        </w:tc>
        <w:tc>
          <w:tcPr>
            <w:tcBorders/>
          </w:tcPr>
          <w:p>
            <w:pPr>
              <w:pStyle w:val="964"/>
              <w:pBdr/>
              <w:spacing/>
              <w:ind/>
              <w:rPr/>
            </w:pPr>
            <w:r>
              <w:t xml:space="preserve">Full disclosure</w:t>
            </w:r>
            <w:r/>
          </w:p>
        </w:tc>
      </w:tr>
      <w:tr>
        <w:trPr/>
        <w:tc>
          <w:tcPr>
            <w:tcBorders/>
          </w:tcPr>
          <w:p>
            <w:pPr>
              <w:pStyle w:val="964"/>
              <w:pBdr/>
              <w:spacing/>
              <w:ind/>
              <w:rPr/>
            </w:pPr>
            <w:r/>
            <w:r/>
          </w:p>
        </w:tc>
        <w:tc>
          <w:tcPr>
            <w:tcBorders/>
          </w:tcPr>
          <w:p>
            <w:pPr>
              <w:pStyle w:val="964"/>
              <w:pBdr/>
              <w:spacing/>
              <w:ind/>
              <w:rPr/>
            </w:pPr>
            <w:r>
              <w:t xml:space="preserve">Realistic use cases</w:t>
            </w:r>
            <w:r/>
          </w:p>
        </w:tc>
        <w:tc>
          <w:tcPr>
            <w:tcBorders/>
          </w:tcPr>
          <w:p>
            <w:pPr>
              <w:pStyle w:val="964"/>
              <w:pBdr/>
              <w:spacing/>
              <w:ind/>
              <w:rPr/>
            </w:pPr>
            <w:r>
              <w:t xml:space="preserve">No exaggeration</w:t>
            </w:r>
            <w:r/>
          </w:p>
        </w:tc>
      </w:tr>
      <w:tr>
        <w:trPr/>
        <w:tc>
          <w:tcPr>
            <w:tcBorders/>
          </w:tcPr>
          <w:p>
            <w:pPr>
              <w:pStyle w:val="964"/>
              <w:pBdr/>
              <w:spacing/>
              <w:ind/>
              <w:rPr/>
            </w:pPr>
            <w:r>
              <w:rPr>
                <w:b/>
                <w:bCs/>
              </w:rPr>
              <w:t xml:space="preserve">Communication</w:t>
            </w:r>
            <w:r/>
          </w:p>
        </w:tc>
        <w:tc>
          <w:tcPr>
            <w:tcBorders/>
          </w:tcPr>
          <w:p>
            <w:pPr>
              <w:pStyle w:val="964"/>
              <w:pBdr/>
              <w:spacing/>
              <w:ind/>
              <w:rPr/>
            </w:pPr>
            <w:r>
              <w:t xml:space="preserve">Reasonable email frequency</w:t>
            </w:r>
            <w:r/>
          </w:p>
        </w:tc>
        <w:tc>
          <w:tcPr>
            <w:tcBorders/>
          </w:tcPr>
          <w:p>
            <w:pPr>
              <w:pStyle w:val="964"/>
              <w:pBdr/>
              <w:spacing/>
              <w:ind/>
              <w:rPr/>
            </w:pPr>
            <w:r>
              <w:t xml:space="preserve">Respecting user attention</w:t>
            </w:r>
            <w:r/>
          </w:p>
        </w:tc>
      </w:tr>
      <w:tr>
        <w:trPr/>
        <w:tc>
          <w:tcPr>
            <w:tcBorders/>
          </w:tcPr>
          <w:p>
            <w:pPr>
              <w:pStyle w:val="964"/>
              <w:pBdr/>
              <w:spacing/>
              <w:ind/>
              <w:rPr/>
            </w:pPr>
            <w:r/>
            <w:r/>
          </w:p>
        </w:tc>
        <w:tc>
          <w:tcPr>
            <w:tcBorders/>
          </w:tcPr>
          <w:p>
            <w:pPr>
              <w:pStyle w:val="964"/>
              <w:pBdr/>
              <w:spacing/>
              <w:ind/>
              <w:rPr/>
            </w:pPr>
            <w:r>
              <w:t xml:space="preserve">Opt-in for marketing emails</w:t>
            </w:r>
            <w:r/>
          </w:p>
        </w:tc>
        <w:tc>
          <w:tcPr>
            <w:tcBorders/>
          </w:tcPr>
          <w:p>
            <w:pPr>
              <w:pStyle w:val="964"/>
              <w:pBdr/>
              <w:spacing/>
              <w:ind/>
              <w:rPr/>
            </w:pPr>
            <w:r>
              <w:t xml:space="preserve">Consent-based</w:t>
            </w:r>
            <w:r/>
          </w:p>
        </w:tc>
      </w:tr>
      <w:tr>
        <w:trPr/>
        <w:tc>
          <w:tcPr>
            <w:tcBorders/>
          </w:tcPr>
          <w:p>
            <w:pPr>
              <w:pStyle w:val="964"/>
              <w:pBdr/>
              <w:spacing/>
              <w:ind/>
              <w:rPr/>
            </w:pPr>
            <w:r/>
            <w:r/>
          </w:p>
        </w:tc>
        <w:tc>
          <w:tcPr>
            <w:tcBorders/>
          </w:tcPr>
          <w:p>
            <w:pPr>
              <w:pStyle w:val="964"/>
              <w:pBdr/>
              <w:spacing/>
              <w:ind/>
              <w:rPr/>
            </w:pPr>
            <w:r>
              <w:t xml:space="preserve">Easy unsubscribe</w:t>
            </w:r>
            <w:r/>
          </w:p>
        </w:tc>
        <w:tc>
          <w:tcPr>
            <w:tcBorders/>
          </w:tcPr>
          <w:p>
            <w:pPr>
              <w:pStyle w:val="964"/>
              <w:pBdr/>
              <w:spacing/>
              <w:ind/>
              <w:rPr/>
            </w:pPr>
            <w:r>
              <w:t xml:space="preserve">Fairness in exit</w:t>
            </w:r>
            <w:r/>
          </w:p>
        </w:tc>
      </w:tr>
      <w:tr>
        <w:trPr/>
        <w:tc>
          <w:tcPr>
            <w:tcBorders/>
          </w:tcPr>
          <w:p>
            <w:pPr>
              <w:pStyle w:val="964"/>
              <w:pBdr/>
              <w:spacing/>
              <w:ind/>
              <w:rPr/>
            </w:pPr>
            <w:r>
              <w:rPr>
                <w:b/>
                <w:bCs/>
              </w:rPr>
              <w:t xml:space="preserve">Competition</w:t>
            </w:r>
            <w:r/>
          </w:p>
        </w:tc>
        <w:tc>
          <w:tcPr>
            <w:tcBorders/>
          </w:tcPr>
          <w:p>
            <w:pPr>
              <w:pStyle w:val="964"/>
              <w:pBdr/>
              <w:spacing/>
              <w:ind/>
              <w:rPr/>
            </w:pPr>
            <w:r>
              <w:t xml:space="preserve">No negative attacks on competitors</w:t>
            </w:r>
            <w:r/>
          </w:p>
        </w:tc>
        <w:tc>
          <w:tcPr>
            <w:tcBorders/>
          </w:tcPr>
          <w:p>
            <w:pPr>
              <w:pStyle w:val="964"/>
              <w:pBdr/>
              <w:spacing/>
              <w:ind/>
              <w:rPr/>
            </w:pPr>
            <w:r>
              <w:t xml:space="preserve">Adab (Good conduct)</w:t>
            </w:r>
            <w:r/>
          </w:p>
        </w:tc>
      </w:tr>
      <w:tr>
        <w:trPr/>
        <w:tc>
          <w:tcPr>
            <w:tcBorders/>
          </w:tcPr>
          <w:p>
            <w:pPr>
              <w:pStyle w:val="964"/>
              <w:pBdr/>
              <w:spacing/>
              <w:ind/>
              <w:rPr/>
            </w:pPr>
            <w:r/>
            <w:r/>
          </w:p>
        </w:tc>
        <w:tc>
          <w:tcPr>
            <w:tcBorders/>
          </w:tcPr>
          <w:p>
            <w:pPr>
              <w:pStyle w:val="964"/>
              <w:pBdr/>
              <w:spacing/>
              <w:ind/>
              <w:rPr/>
            </w:pPr>
            <w:r>
              <w:t xml:space="preserve">Compete on merit and value</w:t>
            </w:r>
            <w:r/>
          </w:p>
        </w:tc>
        <w:tc>
          <w:tcPr>
            <w:tcBorders/>
          </w:tcPr>
          <w:p>
            <w:pPr>
              <w:pStyle w:val="964"/>
              <w:pBdr/>
              <w:spacing/>
              <w:ind/>
              <w:rPr/>
            </w:pPr>
            <w:r>
              <w:t xml:space="preserve">Honest competition</w:t>
            </w:r>
            <w:r/>
          </w:p>
        </w:tc>
      </w:tr>
      <w:tr>
        <w:trPr/>
        <w:tc>
          <w:tcPr>
            <w:tcBorders/>
          </w:tcPr>
          <w:p>
            <w:pPr>
              <w:pStyle w:val="964"/>
              <w:pBdr/>
              <w:spacing/>
              <w:ind/>
              <w:rPr/>
            </w:pPr>
            <w:r>
              <w:rPr>
                <w:b/>
                <w:bCs/>
              </w:rPr>
              <w:t xml:space="preserve">Reviews</w:t>
            </w:r>
            <w:r/>
          </w:p>
        </w:tc>
        <w:tc>
          <w:tcPr>
            <w:tcBorders/>
          </w:tcPr>
          <w:p>
            <w:pPr>
              <w:pStyle w:val="964"/>
              <w:pBdr/>
              <w:spacing/>
              <w:ind/>
              <w:rPr/>
            </w:pPr>
            <w:r>
              <w:t xml:space="preserve">Only genuine user reviews</w:t>
            </w:r>
            <w:r/>
          </w:p>
        </w:tc>
        <w:tc>
          <w:tcPr>
            <w:tcBorders/>
          </w:tcPr>
          <w:p>
            <w:pPr>
              <w:pStyle w:val="964"/>
              <w:pBdr/>
              <w:spacing/>
              <w:ind/>
              <w:rPr/>
            </w:pPr>
            <w:r>
              <w:t xml:space="preserve">Prohibition of Najsh (fake bidding)</w:t>
            </w:r>
            <w:r/>
          </w:p>
        </w:tc>
      </w:tr>
      <w:tr>
        <w:trPr/>
        <w:tc>
          <w:tcPr>
            <w:tcBorders/>
          </w:tcPr>
          <w:p>
            <w:pPr>
              <w:pStyle w:val="964"/>
              <w:pBdr/>
              <w:spacing/>
              <w:ind/>
              <w:rPr/>
            </w:pPr>
            <w:r/>
            <w:r/>
          </w:p>
        </w:tc>
        <w:tc>
          <w:tcPr>
            <w:tcBorders/>
          </w:tcPr>
          <w:p>
            <w:pPr>
              <w:pStyle w:val="964"/>
              <w:pBdr/>
              <w:spacing/>
              <w:ind/>
              <w:rPr/>
            </w:pPr>
            <w:r>
              <w:t xml:space="preserve">No fake accounts or bots</w:t>
            </w:r>
            <w:r/>
          </w:p>
        </w:tc>
        <w:tc>
          <w:tcPr>
            <w:tcBorders/>
          </w:tcPr>
          <w:p>
            <w:pPr>
              <w:pStyle w:val="964"/>
              <w:pBdr/>
              <w:spacing/>
              <w:ind/>
              <w:rPr/>
            </w:pPr>
            <w:r>
              <w:t xml:space="preserve">Sidq</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3" o:spid="_x0000_s163" o:spt="1" type="#_x0000_t1" style="width:0.00pt;height:1.50pt;mso-wrap-distance-left:0.00pt;mso-wrap-distance-top:0.00pt;mso-wrap-distance-right:0.00pt;mso-wrap-distance-bottom:0.00pt;visibility:visible;" fillcolor="#FFFFFF" strokecolor="#000000"/>
            </w:pict>
          </mc:Fallback>
        </mc:AlternateContent>
      </w:r>
      <w:bookmarkEnd w:id="239"/>
      <w:r/>
    </w:p>
    <w:p>
      <w:pPr>
        <w:pStyle w:val="977"/>
        <w:pBdr/>
        <w:spacing/>
        <w:ind/>
        <w:rPr/>
      </w:pPr>
      <w:r/>
      <w:bookmarkStart w:id="240" w:name="a.5-aiml-implementation-framework"/>
      <w:r>
        <w:t xml:space="preserve">A.5 AI/ML Implementation Framework</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Transparency</w:t>
            </w:r>
            <w:r/>
          </w:p>
        </w:tc>
        <w:tc>
          <w:tcPr>
            <w:tcBorders/>
          </w:tcPr>
          <w:p>
            <w:pPr>
              <w:pStyle w:val="964"/>
              <w:pBdr/>
              <w:spacing/>
              <w:ind/>
              <w:rPr/>
            </w:pPr>
            <w:r>
              <w:t xml:space="preserve">AI-generated content labeled</w:t>
            </w:r>
            <w:r/>
          </w:p>
        </w:tc>
        <w:tc>
          <w:tcPr>
            <w:tcBorders/>
          </w:tcPr>
          <w:p>
            <w:pPr>
              <w:pStyle w:val="964"/>
              <w:pBdr/>
              <w:spacing/>
              <w:ind/>
              <w:rPr/>
            </w:pPr>
            <w:r>
              <w:t xml:space="preserve">Sidq (Truthfulness)</w:t>
            </w:r>
            <w:r/>
          </w:p>
        </w:tc>
      </w:tr>
      <w:tr>
        <w:trPr/>
        <w:tc>
          <w:tcPr>
            <w:tcBorders/>
          </w:tcPr>
          <w:p>
            <w:pPr>
              <w:pStyle w:val="964"/>
              <w:pBdr/>
              <w:spacing/>
              <w:ind/>
              <w:rPr/>
            </w:pPr>
            <w:r/>
            <w:r/>
          </w:p>
        </w:tc>
        <w:tc>
          <w:tcPr>
            <w:tcBorders/>
          </w:tcPr>
          <w:p>
            <w:pPr>
              <w:pStyle w:val="964"/>
              <w:pBdr/>
              <w:spacing/>
              <w:ind/>
              <w:rPr/>
            </w:pPr>
            <w:r>
              <w:t xml:space="preserve">Limitations disclosed</w:t>
            </w:r>
            <w:r/>
          </w:p>
        </w:tc>
        <w:tc>
          <w:tcPr>
            <w:tcBorders/>
          </w:tcPr>
          <w:p>
            <w:pPr>
              <w:pStyle w:val="964"/>
              <w:pBdr/>
              <w:spacing/>
              <w:ind/>
              <w:rPr/>
            </w:pPr>
            <w:r>
              <w:t xml:space="preserve">Honest about capabilities</w:t>
            </w:r>
            <w:r/>
          </w:p>
        </w:tc>
      </w:tr>
      <w:tr>
        <w:trPr/>
        <w:tc>
          <w:tcPr>
            <w:tcBorders/>
          </w:tcPr>
          <w:p>
            <w:pPr>
              <w:pStyle w:val="964"/>
              <w:pBdr/>
              <w:spacing/>
              <w:ind/>
              <w:rPr/>
            </w:pPr>
            <w:r>
              <w:rPr>
                <w:b/>
                <w:bCs/>
              </w:rPr>
              <w:t xml:space="preserve">Training Data</w:t>
            </w:r>
            <w:r/>
          </w:p>
        </w:tc>
        <w:tc>
          <w:tcPr>
            <w:tcBorders/>
          </w:tcPr>
          <w:p>
            <w:pPr>
              <w:pStyle w:val="964"/>
              <w:pBdr/>
              <w:spacing/>
              <w:ind/>
              <w:rPr/>
            </w:pPr>
            <w:r>
              <w:t xml:space="preserve">Audited for bias</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Diverse, balanced sources</w:t>
            </w:r>
            <w:r/>
          </w:p>
        </w:tc>
        <w:tc>
          <w:tcPr>
            <w:tcBorders/>
          </w:tcPr>
          <w:p>
            <w:pPr>
              <w:pStyle w:val="964"/>
              <w:pBdr/>
              <w:spacing/>
              <w:ind/>
              <w:rPr/>
            </w:pPr>
            <w:r>
              <w:t xml:space="preserve">Fairness</w:t>
            </w:r>
            <w:r/>
          </w:p>
        </w:tc>
      </w:tr>
      <w:tr>
        <w:trPr/>
        <w:tc>
          <w:tcPr>
            <w:tcBorders/>
          </w:tcPr>
          <w:p>
            <w:pPr>
              <w:pStyle w:val="964"/>
              <w:pBdr/>
              <w:spacing/>
              <w:ind/>
              <w:rPr/>
            </w:pPr>
            <w:r>
              <w:rPr>
                <w:b/>
                <w:bCs/>
              </w:rPr>
              <w:t xml:space="preserve">Safety</w:t>
            </w:r>
            <w:r/>
          </w:p>
        </w:tc>
        <w:tc>
          <w:tcPr>
            <w:tcBorders/>
          </w:tcPr>
          <w:p>
            <w:pPr>
              <w:pStyle w:val="964"/>
              <w:pBdr/>
              <w:spacing/>
              <w:ind/>
              <w:rPr/>
            </w:pPr>
            <w:r>
              <w:t xml:space="preserve">Safeguards against misuse</w:t>
            </w:r>
            <w:r/>
          </w:p>
        </w:tc>
        <w:tc>
          <w:tcPr>
            <w:tcBorders/>
          </w:tcPr>
          <w:p>
            <w:pPr>
              <w:pStyle w:val="964"/>
              <w:pBdr/>
              <w:spacing/>
              <w:ind/>
              <w:rPr/>
            </w:pPr>
            <w:r>
              <w:t xml:space="preserve">La Darar</w:t>
            </w:r>
            <w:r/>
          </w:p>
        </w:tc>
      </w:tr>
      <w:tr>
        <w:trPr/>
        <w:tc>
          <w:tcPr>
            <w:tcBorders/>
          </w:tcPr>
          <w:p>
            <w:pPr>
              <w:pStyle w:val="964"/>
              <w:pBdr/>
              <w:spacing/>
              <w:ind/>
              <w:rPr/>
            </w:pPr>
            <w:r/>
            <w:r/>
          </w:p>
        </w:tc>
        <w:tc>
          <w:tcPr>
            <w:tcBorders/>
          </w:tcPr>
          <w:p>
            <w:pPr>
              <w:pStyle w:val="964"/>
              <w:pBdr/>
              <w:spacing/>
              <w:ind/>
              <w:rPr/>
            </w:pPr>
            <w:r>
              <w:t xml:space="preserve">Appropriate content filters</w:t>
            </w:r>
            <w:r/>
          </w:p>
        </w:tc>
        <w:tc>
          <w:tcPr>
            <w:tcBorders/>
          </w:tcPr>
          <w:p>
            <w:pPr>
              <w:pStyle w:val="964"/>
              <w:pBdr/>
              <w:spacing/>
              <w:ind/>
              <w:rPr/>
            </w:pPr>
            <w:r>
              <w:t xml:space="preserve">Haya (Modesty)</w:t>
            </w:r>
            <w:r/>
          </w:p>
        </w:tc>
      </w:tr>
      <w:tr>
        <w:trPr/>
        <w:tc>
          <w:tcPr>
            <w:tcBorders/>
          </w:tcPr>
          <w:p>
            <w:pPr>
              <w:pStyle w:val="964"/>
              <w:pBdr/>
              <w:spacing/>
              <w:ind/>
              <w:rPr/>
            </w:pPr>
            <w:r>
              <w:rPr>
                <w:b/>
                <w:bCs/>
              </w:rPr>
              <w:t xml:space="preserve">Human Oversight</w:t>
            </w:r>
            <w:r/>
          </w:p>
        </w:tc>
        <w:tc>
          <w:tcPr>
            <w:tcBorders/>
          </w:tcPr>
          <w:p>
            <w:pPr>
              <w:pStyle w:val="964"/>
              <w:pBdr/>
              <w:spacing/>
              <w:ind/>
              <w:rPr/>
            </w:pPr>
            <w:r>
              <w:t xml:space="preserve">Human review for important decisions</w:t>
            </w:r>
            <w:r/>
          </w:p>
        </w:tc>
        <w:tc>
          <w:tcPr>
            <w:tcBorders/>
          </w:tcPr>
          <w:p>
            <w:pPr>
              <w:pStyle w:val="964"/>
              <w:pBdr/>
              <w:spacing/>
              <w:ind/>
              <w:rPr/>
            </w:pPr>
            <w:r>
              <w:t xml:space="preserve">Accountability</w:t>
            </w:r>
            <w:r/>
          </w:p>
        </w:tc>
      </w:tr>
      <w:tr>
        <w:trPr/>
        <w:tc>
          <w:tcPr>
            <w:tcBorders/>
          </w:tcPr>
          <w:p>
            <w:pPr>
              <w:pStyle w:val="964"/>
              <w:pBdr/>
              <w:spacing/>
              <w:ind/>
              <w:rPr/>
            </w:pPr>
            <w:r/>
            <w:r/>
          </w:p>
        </w:tc>
        <w:tc>
          <w:tcPr>
            <w:tcBorders/>
          </w:tcPr>
          <w:p>
            <w:pPr>
              <w:pStyle w:val="964"/>
              <w:pBdr/>
              <w:spacing/>
              <w:ind/>
              <w:rPr/>
            </w:pPr>
            <w:r>
              <w:t xml:space="preserve">Override capabilities available</w:t>
            </w:r>
            <w:r/>
          </w:p>
        </w:tc>
        <w:tc>
          <w:tcPr>
            <w:tcBorders/>
          </w:tcPr>
          <w:p>
            <w:pPr>
              <w:pStyle w:val="964"/>
              <w:pBdr/>
              <w:spacing/>
              <w:ind/>
              <w:rPr/>
            </w:pPr>
            <w:r>
              <w:t xml:space="preserve">Human responsibility</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4" o:spid="_x0000_s164" o:spt="1" type="#_x0000_t1" style="width:0.00pt;height:1.50pt;mso-wrap-distance-left:0.00pt;mso-wrap-distance-top:0.00pt;mso-wrap-distance-right:0.00pt;mso-wrap-distance-bottom:0.00pt;visibility:visible;" fillcolor="#FFFFFF" strokecolor="#000000"/>
            </w:pict>
          </mc:Fallback>
        </mc:AlternateContent>
      </w:r>
      <w:bookmarkEnd w:id="240"/>
      <w:r/>
    </w:p>
    <w:p>
      <w:pPr>
        <w:pStyle w:val="977"/>
        <w:pBdr/>
        <w:spacing/>
        <w:ind/>
        <w:rPr/>
      </w:pPr>
      <w:r/>
      <w:bookmarkStart w:id="241" w:name="a.6-operational-framework"/>
      <w:r>
        <w:t xml:space="preserve">A.6 Operational Framework</w:t>
      </w:r>
      <w:r/>
    </w:p>
    <w:tbl>
      <w:tblPr>
        <w:tblStyle w:val="996"/>
        <w:tblW w:w="0" w:type="auto"/>
        <w:tblBorders/>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Maintenance</w:t>
            </w:r>
            <w:r/>
          </w:p>
        </w:tc>
        <w:tc>
          <w:tcPr>
            <w:tcBorders/>
          </w:tcPr>
          <w:p>
            <w:pPr>
              <w:pStyle w:val="964"/>
              <w:pBdr/>
              <w:spacing/>
              <w:ind/>
              <w:rPr/>
            </w:pPr>
            <w:r>
              <w:t xml:space="preserve">Critical issues addressed &lt;72 hours</w:t>
            </w:r>
            <w:r/>
          </w:p>
        </w:tc>
        <w:tc>
          <w:tcPr>
            <w:tcBorders/>
          </w:tcPr>
          <w:p>
            <w:pPr>
              <w:pStyle w:val="964"/>
              <w:pBdr/>
              <w:spacing/>
              <w:ind/>
              <w:rPr/>
            </w:pPr>
            <w:r>
              <w:t xml:space="preserve">La Darar</w:t>
            </w:r>
            <w:r/>
          </w:p>
        </w:tc>
      </w:tr>
      <w:tr>
        <w:trPr/>
        <w:tc>
          <w:tcPr>
            <w:tcBorders/>
          </w:tcPr>
          <w:p>
            <w:pPr>
              <w:pStyle w:val="964"/>
              <w:pBdr/>
              <w:spacing/>
              <w:ind/>
              <w:rPr/>
            </w:pPr>
            <w:r/>
            <w:r/>
          </w:p>
        </w:tc>
        <w:tc>
          <w:tcPr>
            <w:tcBorders/>
          </w:tcPr>
          <w:p>
            <w:pPr>
              <w:pStyle w:val="964"/>
              <w:pBdr/>
              <w:spacing/>
              <w:ind/>
              <w:rPr/>
            </w:pPr>
            <w:r>
              <w:t xml:space="preserve">Regular security audits</w:t>
            </w:r>
            <w:r/>
          </w:p>
        </w:tc>
        <w:tc>
          <w:tcPr>
            <w:tcBorders/>
          </w:tcPr>
          <w:p>
            <w:pPr>
              <w:pStyle w:val="964"/>
              <w:pBdr/>
              <w:spacing/>
              <w:ind/>
              <w:rPr/>
            </w:pPr>
            <w:r>
              <w:t xml:space="preserve">Due diligence</w:t>
            </w:r>
            <w:r/>
          </w:p>
        </w:tc>
      </w:tr>
      <w:tr>
        <w:trPr/>
        <w:tc>
          <w:tcPr>
            <w:tcBorders/>
          </w:tcPr>
          <w:p>
            <w:pPr>
              <w:pStyle w:val="964"/>
              <w:pBdr/>
              <w:spacing/>
              <w:ind/>
              <w:rPr/>
            </w:pPr>
            <w:r>
              <w:rPr>
                <w:b/>
                <w:bCs/>
              </w:rPr>
              <w:t xml:space="preserve">Support</w:t>
            </w:r>
            <w:r/>
          </w:p>
        </w:tc>
        <w:tc>
          <w:tcPr>
            <w:tcBorders/>
          </w:tcPr>
          <w:p>
            <w:pPr>
              <w:pStyle w:val="964"/>
              <w:pBdr/>
              <w:spacing/>
              <w:ind/>
              <w:rPr/>
            </w:pPr>
            <w:r>
              <w:t xml:space="preserve">Reasonable response timeframe</w:t>
            </w:r>
            <w:r/>
          </w:p>
        </w:tc>
        <w:tc>
          <w:tcPr>
            <w:tcBorders/>
          </w:tcPr>
          <w:p>
            <w:pPr>
              <w:pStyle w:val="964"/>
              <w:pBdr/>
              <w:spacing/>
              <w:ind/>
              <w:rPr/>
            </w:pPr>
            <w:r>
              <w:t xml:space="preserve">Ihsan (Excellence)</w:t>
            </w:r>
            <w:r/>
          </w:p>
        </w:tc>
      </w:tr>
      <w:tr>
        <w:trPr/>
        <w:tc>
          <w:tcPr>
            <w:tcBorders/>
          </w:tcPr>
          <w:p>
            <w:pPr>
              <w:pStyle w:val="964"/>
              <w:pBdr/>
              <w:spacing/>
              <w:ind/>
              <w:rPr/>
            </w:pPr>
            <w:r/>
            <w:r/>
          </w:p>
        </w:tc>
        <w:tc>
          <w:tcPr>
            <w:tcBorders/>
          </w:tcPr>
          <w:p>
            <w:pPr>
              <w:pStyle w:val="964"/>
              <w:pBdr/>
              <w:spacing/>
              <w:ind/>
              <w:rPr/>
            </w:pPr>
            <w:r>
              <w:t xml:space="preserve">Helpful, respectful communication</w:t>
            </w:r>
            <w:r/>
          </w:p>
        </w:tc>
        <w:tc>
          <w:tcPr>
            <w:tcBorders/>
          </w:tcPr>
          <w:p>
            <w:pPr>
              <w:pStyle w:val="964"/>
              <w:pBdr/>
              <w:spacing/>
              <w:ind/>
              <w:rPr/>
            </w:pPr>
            <w:r>
              <w:t xml:space="preserve">Adab</w:t>
            </w:r>
            <w:r/>
          </w:p>
        </w:tc>
      </w:tr>
      <w:tr>
        <w:trPr/>
        <w:tc>
          <w:tcPr>
            <w:tcBorders/>
          </w:tcPr>
          <w:p>
            <w:pPr>
              <w:pStyle w:val="964"/>
              <w:pBdr/>
              <w:spacing/>
              <w:ind/>
              <w:rPr/>
            </w:pPr>
            <w:r>
              <w:rPr>
                <w:b/>
                <w:bCs/>
              </w:rPr>
              <w:t xml:space="preserve">Terms Changes</w:t>
            </w:r>
            <w:r/>
          </w:p>
        </w:tc>
        <w:tc>
          <w:tcPr>
            <w:tcBorders/>
          </w:tcPr>
          <w:p>
            <w:pPr>
              <w:pStyle w:val="964"/>
              <w:pBdr/>
              <w:spacing/>
              <w:ind/>
              <w:rPr/>
            </w:pPr>
            <w:r>
              <w:t xml:space="preserve">Existing users grandfathered</w:t>
            </w:r>
            <w:r/>
          </w:p>
        </w:tc>
        <w:tc>
          <w:tcPr>
            <w:tcBorders/>
          </w:tcPr>
          <w:p>
            <w:pPr>
              <w:pStyle w:val="964"/>
              <w:pBdr/>
              <w:spacing/>
              <w:ind/>
              <w:rPr/>
            </w:pPr>
            <w:r>
              <w:t xml:space="preserve">Wafa (Keeping promises)</w:t>
            </w:r>
            <w:r/>
          </w:p>
        </w:tc>
      </w:tr>
      <w:tr>
        <w:trPr/>
        <w:tc>
          <w:tcPr>
            <w:tcBorders/>
          </w:tcPr>
          <w:p>
            <w:pPr>
              <w:pStyle w:val="964"/>
              <w:pBdr/>
              <w:spacing/>
              <w:ind/>
              <w:rPr/>
            </w:pPr>
            <w:r/>
            <w:r/>
          </w:p>
        </w:tc>
        <w:tc>
          <w:tcPr>
            <w:tcBorders/>
          </w:tcPr>
          <w:p>
            <w:pPr>
              <w:pStyle w:val="964"/>
              <w:pBdr/>
              <w:spacing/>
              <w:ind/>
              <w:rPr/>
            </w:pPr>
            <w:r>
              <w:t xml:space="preserve">Lifetime commitments honored</w:t>
            </w:r>
            <w:r/>
          </w:p>
        </w:tc>
        <w:tc>
          <w:tcPr>
            <w:tcBorders/>
          </w:tcPr>
          <w:p>
            <w:pPr>
              <w:pStyle w:val="964"/>
              <w:pBdr/>
              <w:spacing/>
              <w:ind/>
              <w:rPr/>
            </w:pPr>
            <w:r>
              <w:t xml:space="preserve">Contract fulfillment</w:t>
            </w:r>
            <w:r/>
          </w:p>
        </w:tc>
      </w:tr>
      <w:tr>
        <w:trPr/>
        <w:tc>
          <w:tcPr>
            <w:tcBorders/>
          </w:tcPr>
          <w:p>
            <w:pPr>
              <w:pStyle w:val="964"/>
              <w:pBdr/>
              <w:spacing/>
              <w:ind/>
              <w:rPr/>
            </w:pPr>
            <w:r>
              <w:rPr>
                <w:b/>
                <w:bCs/>
              </w:rPr>
              <w:t xml:space="preserve">End-of-Life</w:t>
            </w:r>
            <w:r/>
          </w:p>
        </w:tc>
        <w:tc>
          <w:tcPr>
            <w:tcBorders/>
          </w:tcPr>
          <w:p>
            <w:pPr>
              <w:pStyle w:val="964"/>
              <w:pBdr/>
              <w:spacing/>
              <w:ind/>
              <w:rPr/>
            </w:pPr>
            <w:r>
              <w:t xml:space="preserve">Clear advance communication</w:t>
            </w:r>
            <w:r/>
          </w:p>
        </w:tc>
        <w:tc>
          <w:tcPr>
            <w:tcBorders/>
          </w:tcPr>
          <w:p>
            <w:pPr>
              <w:pStyle w:val="964"/>
              <w:pBdr/>
              <w:spacing/>
              <w:ind/>
              <w:rPr/>
            </w:pPr>
            <w:r>
              <w:t xml:space="preserve">Fairness</w:t>
            </w:r>
            <w:r/>
          </w:p>
        </w:tc>
      </w:tr>
      <w:tr>
        <w:trPr/>
        <w:tc>
          <w:tcPr>
            <w:tcBorders/>
          </w:tcPr>
          <w:p>
            <w:pPr>
              <w:pStyle w:val="964"/>
              <w:pBdr/>
              <w:spacing/>
              <w:ind/>
              <w:rPr/>
            </w:pPr>
            <w:r/>
            <w:r/>
          </w:p>
        </w:tc>
        <w:tc>
          <w:tcPr>
            <w:tcBorders/>
          </w:tcPr>
          <w:p>
            <w:pPr>
              <w:pStyle w:val="964"/>
              <w:pBdr/>
              <w:spacing/>
              <w:ind/>
              <w:rPr/>
            </w:pPr>
            <w:r>
              <w:t xml:space="preserve">Migration tools provided</w:t>
            </w:r>
            <w:r/>
          </w:p>
        </w:tc>
        <w:tc>
          <w:tcPr>
            <w:tcBorders/>
          </w:tcPr>
          <w:p>
            <w:pPr>
              <w:pStyle w:val="964"/>
              <w:pBdr/>
              <w:spacing/>
              <w:ind/>
              <w:rPr/>
            </w:pPr>
            <w:r>
              <w:t xml:space="preserve">Respecting user investment</w:t>
            </w:r>
            <w:r/>
          </w:p>
        </w:tc>
      </w:tr>
      <w:tr>
        <w:trPr/>
        <w:tc>
          <w:tcPr>
            <w:tcBorders/>
          </w:tcPr>
          <w:p>
            <w:pPr>
              <w:pStyle w:val="964"/>
              <w:pBdr/>
              <w:spacing/>
              <w:ind/>
              <w:rPr/>
            </w:pPr>
            <w:r/>
            <w:r/>
          </w:p>
        </w:tc>
        <w:tc>
          <w:tcPr>
            <w:tcBorders/>
          </w:tcPr>
          <w:p>
            <w:pPr>
              <w:pStyle w:val="964"/>
              <w:pBdr/>
              <w:spacing/>
              <w:ind/>
              <w:rPr/>
            </w:pPr>
            <w:r>
              <w:t xml:space="preserve">Open-sourcing considered</w:t>
            </w:r>
            <w:r/>
          </w:p>
        </w:tc>
        <w:tc>
          <w:tcPr>
            <w:tcBorders/>
          </w:tcPr>
          <w:p>
            <w:pPr>
              <w:pStyle w:val="964"/>
              <w:pBdr/>
              <w:spacing/>
              <w:ind/>
              <w:rPr/>
            </w:pPr>
            <w:r>
              <w:t xml:space="preserve">Knowledge sharing</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5" o:spid="_x0000_s165" o:spt="1" type="#_x0000_t1" style="width:0.00pt;height:1.50pt;mso-wrap-distance-left:0.00pt;mso-wrap-distance-top:0.00pt;mso-wrap-distance-right:0.00pt;mso-wrap-distance-bottom:0.00pt;visibility:visible;" fillcolor="#FFFFFF" strokecolor="#000000"/>
            </w:pict>
          </mc:Fallback>
        </mc:AlternateContent>
      </w:r>
      <w:bookmarkEnd w:id="241"/>
      <w:r/>
    </w:p>
    <w:p>
      <w:pPr>
        <w:pStyle w:val="977"/>
        <w:pBdr/>
        <w:spacing/>
        <w:ind/>
        <w:rPr/>
      </w:pPr>
      <w:r/>
      <w:bookmarkStart w:id="242" w:name="a.7-legal-and-compliance-framework"/>
      <w:r>
        <w:t xml:space="preserve">A.7 Legal and Compliance Framework</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Category</w:t>
            </w:r>
            <w:r/>
          </w:p>
        </w:tc>
        <w:tc>
          <w:tcPr>
            <w:tcBorders/>
          </w:tcPr>
          <w:p>
            <w:pPr>
              <w:pStyle w:val="964"/>
              <w:pBdr/>
              <w:spacing/>
              <w:ind/>
              <w:rPr/>
            </w:pPr>
            <w:r>
              <w:t xml:space="preserve">Requirement</w:t>
            </w:r>
            <w:r/>
          </w:p>
        </w:tc>
        <w:tc>
          <w:tcPr>
            <w:tcBorders/>
          </w:tcPr>
          <w:p>
            <w:pPr>
              <w:pStyle w:val="964"/>
              <w:pBdr/>
              <w:spacing/>
              <w:ind/>
              <w:rPr/>
            </w:pPr>
            <w:r>
              <w:t xml:space="preserve">Islamic Principle</w:t>
            </w:r>
            <w:r/>
          </w:p>
        </w:tc>
      </w:tr>
      <w:tr>
        <w:trPr/>
        <w:tc>
          <w:tcPr>
            <w:tcBorders/>
          </w:tcPr>
          <w:p>
            <w:pPr>
              <w:pStyle w:val="964"/>
              <w:pBdr/>
              <w:spacing/>
              <w:ind/>
              <w:rPr/>
            </w:pPr>
            <w:r>
              <w:rPr>
                <w:b/>
                <w:bCs/>
              </w:rPr>
              <w:t xml:space="preserve">Data Protection</w:t>
            </w:r>
            <w:r/>
          </w:p>
        </w:tc>
        <w:tc>
          <w:tcPr>
            <w:tcBorders/>
          </w:tcPr>
          <w:p>
            <w:pPr>
              <w:pStyle w:val="964"/>
              <w:pBdr/>
              <w:spacing/>
              <w:ind/>
              <w:rPr/>
            </w:pPr>
            <w:r>
              <w:t xml:space="preserve">GDPR compliance (or equivalent)</w:t>
            </w:r>
            <w:r/>
          </w:p>
        </w:tc>
        <w:tc>
          <w:tcPr>
            <w:tcBorders/>
          </w:tcPr>
          <w:p>
            <w:pPr>
              <w:pStyle w:val="964"/>
              <w:pBdr/>
              <w:spacing/>
              <w:ind/>
              <w:rPr/>
            </w:pPr>
            <w:r>
              <w:t xml:space="preserve">User rights protection</w:t>
            </w:r>
            <w:r/>
          </w:p>
        </w:tc>
      </w:tr>
      <w:tr>
        <w:trPr/>
        <w:tc>
          <w:tcPr>
            <w:tcBorders/>
          </w:tcPr>
          <w:p>
            <w:pPr>
              <w:pStyle w:val="964"/>
              <w:pBdr/>
              <w:spacing/>
              <w:ind/>
              <w:rPr/>
            </w:pPr>
            <w:r/>
            <w:r/>
          </w:p>
        </w:tc>
        <w:tc>
          <w:tcPr>
            <w:tcBorders/>
          </w:tcPr>
          <w:p>
            <w:pPr>
              <w:pStyle w:val="964"/>
              <w:pBdr/>
              <w:spacing/>
              <w:ind/>
              <w:rPr/>
            </w:pPr>
            <w:r>
              <w:t xml:space="preserve">Right to access implemented</w:t>
            </w:r>
            <w:r/>
          </w:p>
        </w:tc>
        <w:tc>
          <w:tcPr>
            <w:tcBorders/>
          </w:tcPr>
          <w:p>
            <w:pPr>
              <w:pStyle w:val="964"/>
              <w:pBdr/>
              <w:spacing/>
              <w:ind/>
              <w:rPr/>
            </w:pPr>
            <w:r>
              <w:t xml:space="preserve">Transparency</w:t>
            </w:r>
            <w:r/>
          </w:p>
        </w:tc>
      </w:tr>
      <w:tr>
        <w:trPr/>
        <w:tc>
          <w:tcPr>
            <w:tcBorders/>
          </w:tcPr>
          <w:p>
            <w:pPr>
              <w:pStyle w:val="964"/>
              <w:pBdr/>
              <w:spacing/>
              <w:ind/>
              <w:rPr/>
            </w:pPr>
            <w:r/>
            <w:r/>
          </w:p>
        </w:tc>
        <w:tc>
          <w:tcPr>
            <w:tcBorders/>
          </w:tcPr>
          <w:p>
            <w:pPr>
              <w:pStyle w:val="964"/>
              <w:pBdr/>
              <w:spacing/>
              <w:ind/>
              <w:rPr/>
            </w:pPr>
            <w:r>
              <w:t xml:space="preserve">Right to deletion implemented</w:t>
            </w:r>
            <w:r/>
          </w:p>
        </w:tc>
        <w:tc>
          <w:tcPr>
            <w:tcBorders/>
          </w:tcPr>
          <w:p>
            <w:pPr>
              <w:pStyle w:val="964"/>
              <w:pBdr/>
              <w:spacing/>
              <w:ind/>
              <w:rPr/>
            </w:pPr>
            <w:r>
              <w:t xml:space="preserve">User control</w:t>
            </w:r>
            <w:r/>
          </w:p>
        </w:tc>
      </w:tr>
      <w:tr>
        <w:trPr/>
        <w:tc>
          <w:tcPr>
            <w:tcBorders/>
          </w:tcPr>
          <w:p>
            <w:pPr>
              <w:pStyle w:val="964"/>
              <w:pBdr/>
              <w:spacing/>
              <w:ind/>
              <w:rPr/>
            </w:pPr>
            <w:r>
              <w:rPr>
                <w:b/>
                <w:bCs/>
              </w:rPr>
              <w:t xml:space="preserve">Terms of Service</w:t>
            </w:r>
            <w:r/>
          </w:p>
        </w:tc>
        <w:tc>
          <w:tcPr>
            <w:tcBorders/>
          </w:tcPr>
          <w:p>
            <w:pPr>
              <w:pStyle w:val="964"/>
              <w:pBdr/>
              <w:spacing/>
              <w:ind/>
              <w:rPr/>
            </w:pPr>
            <w:r>
              <w:t xml:space="preserve">Written in plain language</w:t>
            </w:r>
            <w:r/>
          </w:p>
        </w:tc>
        <w:tc>
          <w:tcPr>
            <w:tcBorders/>
          </w:tcPr>
          <w:p>
            <w:pPr>
              <w:pStyle w:val="964"/>
              <w:pBdr/>
              <w:spacing/>
              <w:ind/>
              <w:rPr/>
            </w:pPr>
            <w:r>
              <w:t xml:space="preserve">Clarity</w:t>
            </w:r>
            <w:r/>
          </w:p>
        </w:tc>
      </w:tr>
      <w:tr>
        <w:trPr/>
        <w:tc>
          <w:tcPr>
            <w:tcBorders/>
          </w:tcPr>
          <w:p>
            <w:pPr>
              <w:pStyle w:val="964"/>
              <w:pBdr/>
              <w:spacing/>
              <w:ind/>
              <w:rPr/>
            </w:pPr>
            <w:r/>
            <w:r/>
          </w:p>
        </w:tc>
        <w:tc>
          <w:tcPr>
            <w:tcBorders/>
          </w:tcPr>
          <w:p>
            <w:pPr>
              <w:pStyle w:val="964"/>
              <w:pBdr/>
              <w:spacing/>
              <w:ind/>
              <w:rPr/>
            </w:pPr>
            <w:r>
              <w:t xml:space="preserve">Reasonable length</w:t>
            </w:r>
            <w:r/>
          </w:p>
        </w:tc>
        <w:tc>
          <w:tcPr>
            <w:tcBorders/>
          </w:tcPr>
          <w:p>
            <w:pPr>
              <w:pStyle w:val="964"/>
              <w:pBdr/>
              <w:spacing/>
              <w:ind/>
              <w:rPr/>
            </w:pPr>
            <w:r>
              <w:t xml:space="preserve">Accessibility</w:t>
            </w:r>
            <w:r/>
          </w:p>
        </w:tc>
      </w:tr>
      <w:tr>
        <w:trPr/>
        <w:tc>
          <w:tcPr>
            <w:tcBorders/>
          </w:tcPr>
          <w:p>
            <w:pPr>
              <w:pStyle w:val="964"/>
              <w:pBdr/>
              <w:spacing/>
              <w:ind/>
              <w:rPr/>
            </w:pPr>
            <w:r/>
            <w:r/>
          </w:p>
        </w:tc>
        <w:tc>
          <w:tcPr>
            <w:tcBorders/>
          </w:tcPr>
          <w:p>
            <w:pPr>
              <w:pStyle w:val="964"/>
              <w:pBdr/>
              <w:spacing/>
              <w:ind/>
              <w:rPr/>
            </w:pPr>
            <w:r>
              <w:t xml:space="preserve">Changes communicated clearly</w:t>
            </w:r>
            <w:r/>
          </w:p>
        </w:tc>
        <w:tc>
          <w:tcPr>
            <w:tcBorders/>
          </w:tcPr>
          <w:p>
            <w:pPr>
              <w:pStyle w:val="964"/>
              <w:pBdr/>
              <w:spacing/>
              <w:ind/>
              <w:rPr/>
            </w:pPr>
            <w:r>
              <w:t xml:space="preserve">No hidden changes</w:t>
            </w:r>
            <w:r/>
          </w:p>
        </w:tc>
      </w:tr>
      <w:tr>
        <w:trPr/>
        <w:tc>
          <w:tcPr>
            <w:tcBorders/>
          </w:tcPr>
          <w:p>
            <w:pPr>
              <w:pStyle w:val="964"/>
              <w:pBdr/>
              <w:spacing/>
              <w:ind/>
              <w:rPr/>
            </w:pPr>
            <w:r>
              <w:rPr>
                <w:b/>
                <w:bCs/>
              </w:rPr>
              <w:t xml:space="preserve">Transparency</w:t>
            </w:r>
            <w:r/>
          </w:p>
        </w:tc>
        <w:tc>
          <w:tcPr>
            <w:tcBorders/>
          </w:tcPr>
          <w:p>
            <w:pPr>
              <w:pStyle w:val="964"/>
              <w:pBdr/>
              <w:spacing/>
              <w:ind/>
              <w:rPr/>
            </w:pPr>
            <w:r>
              <w:t xml:space="preserve">No hidden terms</w:t>
            </w:r>
            <w:r/>
          </w:p>
        </w:tc>
        <w:tc>
          <w:tcPr>
            <w:tcBorders/>
          </w:tcPr>
          <w:p>
            <w:pPr>
              <w:pStyle w:val="964"/>
              <w:pBdr/>
              <w:spacing/>
              <w:ind/>
              <w:rPr/>
            </w:pPr>
            <w:r>
              <w:t xml:space="preserve">No Gharar</w:t>
            </w:r>
            <w:r/>
          </w:p>
        </w:tc>
      </w:tr>
      <w:tr>
        <w:trPr/>
        <w:tc>
          <w:tcPr>
            <w:tcBorders/>
          </w:tcPr>
          <w:p>
            <w:pPr>
              <w:pStyle w:val="964"/>
              <w:pBdr/>
              <w:spacing/>
              <w:ind/>
              <w:rPr/>
            </w:pPr>
            <w:r/>
            <w:r/>
          </w:p>
        </w:tc>
        <w:tc>
          <w:tcPr>
            <w:tcBorders/>
          </w:tcPr>
          <w:p>
            <w:pPr>
              <w:pStyle w:val="964"/>
              <w:pBdr/>
              <w:spacing/>
              <w:ind/>
              <w:rPr/>
            </w:pPr>
            <w:r>
              <w:t xml:space="preserve">Clear data usage disclosure</w:t>
            </w:r>
            <w:r/>
          </w:p>
        </w:tc>
        <w:tc>
          <w:tcPr>
            <w:tcBorders/>
          </w:tcPr>
          <w:p>
            <w:pPr>
              <w:pStyle w:val="964"/>
              <w:pBdr/>
              <w:spacing/>
              <w:ind/>
              <w:rPr/>
            </w:pPr>
            <w:r>
              <w:t xml:space="preserve">Sidq</w:t>
            </w:r>
            <w:r/>
          </w:p>
        </w:tc>
      </w:tr>
    </w:tbl>
    <w:p>
      <w:pPr>
        <w:pBdr/>
        <w:spacing/>
        <w:ind/>
        <w:rPr/>
      </w:pPr>
      <w:r>
        <mc:AlternateContent>
          <mc:Choice Requires="wpg">
            <w:drawing>
              <wp:inline xmlns:wp="http://schemas.openxmlformats.org/drawingml/2006/wordprocessingDrawing" distT="0" distB="0" distL="0" distR="0">
                <wp:extent cx="0" cy="19050"/>
                <wp:effectExtent l="0" t="0" r="0" b="0"/>
                <wp:docPr id="16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6" o:spid="_x0000_s166" o:spt="1" type="#_x0000_t1" style="width:0.00pt;height:1.50pt;mso-wrap-distance-left:0.00pt;mso-wrap-distance-top:0.00pt;mso-wrap-distance-right:0.00pt;mso-wrap-distance-bottom:0.00pt;visibility:visible;" fillcolor="#FFFFFF" strokecolor="#000000"/>
            </w:pict>
          </mc:Fallback>
        </mc:AlternateContent>
      </w:r>
      <w:bookmarkEnd w:id="242"/>
      <w:bookmarkEnd w:id="243"/>
      <w:r/>
    </w:p>
    <w:p>
      <w:pPr>
        <w:pStyle w:val="976"/>
        <w:pBdr/>
        <w:spacing/>
        <w:ind/>
        <w:rPr/>
      </w:pPr>
      <w:r/>
      <w:bookmarkStart w:id="244" w:name="appendix-b-islamu-organization-context"/>
      <w:r>
        <w:t xml:space="preserve">Appendix B: ISLAMU Organization Context</w:t>
      </w:r>
      <w:r/>
    </w:p>
    <w:p>
      <w:pPr>
        <w:pStyle w:val="963"/>
        <w:pBdr/>
        <w:spacing/>
        <w:ind/>
        <w:rPr/>
      </w:pPr>
      <w:r>
        <w:t xml:space="preserve">This appendix summarizes the foundational documents and commitments that guide the ISLAMU organization, as referenced throughout this thesis:</w:t>
      </w:r>
      <w:r/>
    </w:p>
    <w:p>
      <w:pPr>
        <w:pStyle w:val="962"/>
        <w:pBdr/>
        <w:spacing/>
        <w:ind/>
        <w:rPr/>
      </w:pPr>
      <w:r>
        <w:rPr>
          <w:b/>
          <w:bCs/>
        </w:rPr>
        <w:t xml:space="preserve">B.1 State of Muslim Communities Analysis</w:t>
      </w:r>
      <w:r>
        <w:br/>
      </w:r>
      <w:r>
        <w:t xml:space="preserve">An internal research document analyzing the current challenges facing Muslim communities in the digital sphere, including lack of representation, exploitation by mainstream platforms, and the need for community-owned digital infrastructure.</w:t>
      </w:r>
      <w:r/>
    </w:p>
    <w:p>
      <w:pPr>
        <w:pStyle w:val="962"/>
        <w:pBdr/>
        <w:spacing/>
        <w:ind/>
        <w:rPr/>
      </w:pPr>
      <w:r>
        <w:rPr>
          <w:b/>
          <w:bCs/>
        </w:rPr>
        <w:t xml:space="preserve">B.2 Dark Side of Social Media Position Statement</w:t>
      </w:r>
      <w:r>
        <w:br/>
      </w:r>
      <w:r>
        <w:t xml:space="preserve">A commitment document outlining ISLAMU’s stance against exploitative social media practices, including engagement manipulation, attention harvesting, and psychological exploitation.</w:t>
      </w:r>
      <w:r/>
    </w:p>
    <w:p>
      <w:pPr>
        <w:pStyle w:val="962"/>
        <w:pBdr/>
        <w:spacing/>
        <w:ind/>
        <w:rPr/>
      </w:pPr>
      <w:r>
        <w:rPr>
          <w:b/>
          <w:bCs/>
        </w:rPr>
        <w:t xml:space="preserve">B.3 Transparency Commitment</w:t>
      </w:r>
      <w:r>
        <w:br/>
      </w:r>
      <w:r>
        <w:t xml:space="preserve">A formal organizational commitment to maintain transparency in all operations, including open-source development, public decision-making processes, and honest communication with users.</w:t>
      </w:r>
      <w:r/>
    </w:p>
    <w:p>
      <w:pPr>
        <w:pStyle w:val="962"/>
        <w:pBdr/>
        <w:spacing/>
        <w:ind/>
        <w:rPr/>
      </w:pPr>
      <w:r>
        <w:rPr>
          <w:b/>
          <w:bCs/>
        </w:rPr>
        <w:t xml:space="preserve">B.4 The Purpose of ISLAMU</w:t>
      </w:r>
      <w:r>
        <w:br/>
      </w:r>
      <w:r>
        <w:t xml:space="preserve">The organizational mission statement: to serve the Muslim Ummah through ethical, value-aligned technology that respects Islamic principles while meeting modern digital needs.</w:t>
      </w:r>
      <w:r/>
    </w:p>
    <w:p>
      <w:pPr>
        <w:pStyle w:val="962"/>
        <w:pBdr/>
        <w:spacing/>
        <w:ind/>
        <w:rPr/>
      </w:pPr>
      <w:r>
        <w:rPr>
          <w:b/>
          <w:bCs/>
        </w:rPr>
        <w:t xml:space="preserve">B.5 No Capital Investors Commitment</w:t>
      </w:r>
      <w:r>
        <w:br/>
      </w:r>
      <w:r>
        <w:t xml:space="preserve">A binding commitment to refuse venture capital or interest-bearing financing, ensuring organizational independence and alignment with Islamic financial principles (prohibition of riba).</w:t>
      </w:r>
      <w:r/>
    </w:p>
    <w:p>
      <w:pPr>
        <w:pStyle w:val="962"/>
        <w:pBdr/>
        <w:spacing/>
        <w:ind/>
        <w:rPr/>
      </w:pPr>
      <w:r>
        <w:rPr>
          <w:b/>
          <w:bCs/>
        </w:rPr>
        <w:t xml:space="preserve">B.6 Free Isn’t Enough Philosophy</w:t>
      </w:r>
      <w:r>
        <w:br/>
      </w:r>
      <w:r>
        <w:t xml:space="preserve">A position paper explaining why</w:t>
      </w:r>
      <w:r>
        <w:t xml:space="preserve"> </w:t>
      </w:r>
      <w:r>
        <w:t xml:space="preserve">“free as in beer”</w:t>
      </w:r>
      <w:r>
        <w:t xml:space="preserve"> </w:t>
      </w:r>
      <w:r>
        <w:t xml:space="preserve">software is insufficient—true digital freedom requires free as in freedom, open source, community ownership, and protection from enshittification.</w:t>
      </w:r>
      <w:r/>
    </w:p>
    <w:p>
      <w:pPr>
        <w:pStyle w:val="962"/>
        <w:pBdr/>
        <w:spacing/>
        <w:ind/>
        <w:rPr/>
      </w:pPr>
      <w:r>
        <w:rPr>
          <w:b/>
          <w:bCs/>
        </w:rPr>
        <w:t xml:space="preserve">B.7 Against Enshittification Commitment</w:t>
      </w:r>
      <w:r>
        <w:br/>
      </w:r>
      <w:r>
        <w:t xml:space="preserve">A formal commitment to resist the enshittification cycle by maintaining sustainable business models that prioritize user welfare over extraction, even at the cost of slower growth.</w:t>
      </w:r>
      <w:r/>
    </w:p>
    <w:p>
      <w:pPr>
        <w:pStyle w:val="962"/>
        <w:pBdr/>
        <w:spacing/>
        <w:ind/>
        <w:rPr/>
      </w:pPr>
      <w:r>
        <w:rPr>
          <w:b/>
          <w:bCs/>
        </w:rPr>
        <w:t xml:space="preserve">B.8 Values Statement: Open Source, Free, Privacy, Ethical and Moral</w:t>
      </w:r>
      <w:r>
        <w:br/>
      </w:r>
      <w:r>
        <w:t xml:space="preserve">The core values document articulating ISLAMU’s commitment to open-source development, privacy protection, ethical conduct, and Islamic moral principles in all technology decisions.</w:t>
      </w:r>
      <w:r/>
    </w:p>
    <w:p>
      <w:pPr>
        <w:pStyle w:val="962"/>
        <w:pBdr/>
        <w:spacing/>
        <w:ind/>
        <w:rPr/>
      </w:pPr>
      <w:r>
        <w:t xml:space="preserve">These documents are available in full upon request from ISLAMU ASBL.</w:t>
      </w:r>
      <w:r/>
    </w:p>
    <w:p>
      <w:pPr>
        <w:pStyle w:val="962"/>
        <w:pBdr/>
        <w:spacing/>
        <w:ind/>
        <w:rPr/>
      </w:pPr>
      <w:r>
        <w:rPr>
          <w:b/>
          <w:bCs/>
        </w:rPr>
        <w:t xml:space="preserve">B.9 Transparent Donation and Operational Funding Principle</w:t>
      </w:r>
      <w:r>
        <w:br/>
      </w:r>
      <w:r>
        <w:t xml:space="preserve">ISLAMU’s organizational context includes a commitment that donat</w:t>
      </w:r>
      <w:r>
        <w:t xml:space="preserve">ions, sponsorships, and operational shares should be explained in plain language. The goal is not to sell moral status through subscriptions, but to show how funds support the stated cause while allowing reasonable and disclosed operational sustainability.</w:t>
      </w:r>
      <w:r/>
    </w:p>
    <w:p>
      <w:pPr>
        <w:pStyle w:val="962"/>
        <w:pBdr/>
        <w:spacing/>
        <w:ind/>
        <w:rPr/>
      </w:pPr>
      <w:r>
        <w:rPr>
          <w:b/>
          <w:bCs/>
        </w:rPr>
        <w:t xml:space="preserve">B.10 Thesis-Derived Manifesto Draft</w:t>
      </w:r>
      <w:r>
        <w:br/>
      </w:r>
      <w:r>
        <w:t xml:space="preserve">A future public-facing manifesto may be</w:t>
      </w:r>
      <w:r>
        <w:t xml:space="preserve"> derived from this thesis, but it should remain separate from the academic argument until drafted, reviewed, and checked for privacy/source integrity. The current inbox note is preserved as an inspiration seed rather than treated as completed thesis prose.</w:t>
      </w:r>
      <w:r/>
    </w:p>
    <w:p>
      <w:pPr>
        <w:pStyle w:val="962"/>
        <w:pBdr/>
        <w:spacing/>
        <w:ind/>
        <w:rPr/>
      </w:pPr>
      <w:r>
        <w:rPr>
          <w:b/>
          <w:bCs/>
        </w:rPr>
        <w:t xml:space="preserve">B.11 Stewardship and Manifesto Boundaries</w:t>
      </w:r>
      <w:r>
        <w:br/>
      </w:r>
      <w:r>
        <w:t xml:space="preserve">ISLAMU’s organizational documentation should distinguish academic analysis, operational policy, and public manifesto language. The thesis can inform a future manifesto, but any public-facing version should be reviewed separately for privac</w:t>
      </w:r>
      <w:r>
        <w:t xml:space="preserve">y, source integrity, and overclaiming. Likewise, donation and subscription language should emphasize transparent stewardship rather than moral-status signaling: funds should be traceable to community benefit, infrastructure, and reasonable operating needs.</w:t>
      </w:r>
      <w:r/>
    </w:p>
    <w:p>
      <w:pPr>
        <w:pBdr/>
        <w:spacing/>
        <w:ind/>
        <w:rPr/>
      </w:pPr>
      <w:r>
        <mc:AlternateContent>
          <mc:Choice Requires="wpg">
            <w:drawing>
              <wp:inline xmlns:wp="http://schemas.openxmlformats.org/drawingml/2006/wordprocessingDrawing" distT="0" distB="0" distL="0" distR="0">
                <wp:extent cx="0" cy="19050"/>
                <wp:effectExtent l="0" t="0" r="0" b="0"/>
                <wp:docPr id="16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7" o:spid="_x0000_s167" o:spt="1" type="#_x0000_t1" style="width:0.00pt;height:1.50pt;mso-wrap-distance-left:0.00pt;mso-wrap-distance-top:0.00pt;mso-wrap-distance-right:0.00pt;mso-wrap-distance-bottom:0.00pt;visibility:visible;" fillcolor="#FFFFFF" strokecolor="#000000"/>
            </w:pict>
          </mc:Fallback>
        </mc:AlternateContent>
      </w:r>
      <w:bookmarkEnd w:id="244"/>
      <w:r/>
    </w:p>
    <w:p>
      <w:pPr>
        <w:pStyle w:val="976"/>
        <w:pBdr/>
        <w:spacing/>
        <w:ind/>
        <w:rPr/>
      </w:pPr>
      <w:r/>
      <w:bookmarkStart w:id="245" w:name="appendix-c-glossary-of-islamic-terms"/>
      <w:r>
        <w:t xml:space="preserve">Appendix C: Glossary of Islamic Terms</w:t>
      </w:r>
      <w:r/>
    </w:p>
    <w:p>
      <w:pPr>
        <w:pStyle w:val="963"/>
        <w:pBdr/>
        <w:spacing/>
        <w:ind/>
        <w:rPr/>
      </w:pPr>
      <w:r>
        <w:t xml:space="preserve">This glossary provides definitions of Islamic terms used throughout this thesis, with particular attention to their application in software development contexts.</w:t>
      </w:r>
      <w:r/>
    </w:p>
    <w:p>
      <w:pPr>
        <w:pStyle w:val="962"/>
        <w:pBdr/>
        <w:spacing/>
        <w:ind/>
        <w:rPr/>
      </w:pPr>
      <w:r>
        <w:rPr>
          <w:b/>
          <w:bCs/>
        </w:rPr>
        <w:t xml:space="preserve">Adab (أدب):</w:t>
      </w:r>
      <w:r>
        <w:t xml:space="preserve"> Islamic etiquette, manners, and proper conduct. In software contexts, Adab guides how developers should interact with users, communicate about products, and conduct business relationships. It requires treating all parties with dignity and respect.</w:t>
      </w:r>
      <w:r/>
    </w:p>
    <w:p>
      <w:pPr>
        <w:pStyle w:val="962"/>
        <w:pBdr/>
        <w:spacing/>
        <w:ind/>
        <w:rPr/>
      </w:pPr>
      <w:r>
        <w:rPr>
          <w:b/>
          <w:bCs/>
        </w:rPr>
        <w:t xml:space="preserve">Adl (عدل):</w:t>
      </w:r>
      <w:r>
        <w:t xml:space="preserve"> Justice and fairness in all dealings. Adl requires equitable treatment regardless of user status, consistent application of platform policies, fair pricing based on value provided, and proportionate consequences for violations. The Quran commands:</w:t>
      </w:r>
      <w:r>
        <w:t xml:space="preserve"> </w:t>
      </w:r>
      <w:r>
        <w:t xml:space="preserve">“Be just; that is nearer to righteousness”</w:t>
      </w:r>
      <w:r>
        <w:t xml:space="preserve"> </w:t>
      </w:r>
      <w:r>
        <w:t xml:space="preserve">(5:8).</w:t>
      </w:r>
      <w:r/>
    </w:p>
    <w:p>
      <w:pPr>
        <w:pStyle w:val="962"/>
        <w:pBdr/>
        <w:spacing/>
        <w:ind/>
        <w:rPr/>
      </w:pPr>
      <w:r>
        <w:rPr>
          <w:b/>
          <w:bCs/>
        </w:rPr>
        <w:t xml:space="preserve">Al-I’anah ’ala al-Ma’siyah:</w:t>
      </w:r>
      <w:r>
        <w:t xml:space="preserve"> The prohibition against assisting in sin or transgression. This principle is foundational for evaluating dual-use technologies and determines when providing a service becomes impermissible due to its misuse by others.</w:t>
      </w:r>
      <w:r/>
    </w:p>
    <w:p>
      <w:pPr>
        <w:pStyle w:val="962"/>
        <w:pBdr/>
        <w:spacing/>
        <w:ind/>
        <w:rPr/>
      </w:pPr>
      <w:r>
        <w:rPr>
          <w:b/>
          <w:bCs/>
        </w:rPr>
        <w:t xml:space="preserve">Al-Wasail:</w:t>
      </w:r>
      <w:r>
        <w:t xml:space="preserve"> Means or instruments, particularly in the context of dual-use items that may serve both legitimate and illegitimate purposes. Islamic jurisprudence evaluates such items based on predominant use, provider intent, and knowledge of specific misuse.</w:t>
      </w:r>
      <w:r/>
    </w:p>
    <w:p>
      <w:pPr>
        <w:pStyle w:val="962"/>
        <w:pBdr/>
        <w:spacing/>
        <w:ind/>
        <w:rPr/>
      </w:pPr>
      <w:r>
        <w:rPr>
          <w:b/>
          <w:bCs/>
        </w:rPr>
        <w:t xml:space="preserve">Amanah (أمانة):</w:t>
      </w:r>
      <w:r>
        <w:t xml:space="preserve"> Trust, trustworthiness, and the obligation to fulfill entrusted responsibilities. When users provide personal data to a software service, the provider assumes Amanah obligations for that data’s protection and appropriate use. The Quran states:</w:t>
      </w:r>
      <w:r>
        <w:t xml:space="preserve"> </w:t>
      </w:r>
      <w:r>
        <w:t xml:space="preserve">“Indeed, Allah commands you to render trusts to whom they are due”</w:t>
      </w:r>
      <w:r>
        <w:t xml:space="preserve"> </w:t>
      </w:r>
      <w:r>
        <w:t xml:space="preserve">(4:58).</w:t>
      </w:r>
      <w:r/>
    </w:p>
    <w:p>
      <w:pPr>
        <w:pStyle w:val="962"/>
        <w:pBdr/>
        <w:spacing/>
        <w:ind/>
        <w:rPr/>
      </w:pPr>
      <w:r>
        <w:rPr>
          <w:b/>
          <w:bCs/>
        </w:rPr>
        <w:t xml:space="preserve">Barakah (بركة):</w:t>
      </w:r>
      <w:r>
        <w:t xml:space="preserve"> Divine blessing that multiplies benefit beyond quantitative measure. Halal income pursued through ethical means is believed to contain Barakah that provides satisfaction and benefit exceeding mere monetary value.</w:t>
      </w:r>
      <w:r/>
    </w:p>
    <w:p>
      <w:pPr>
        <w:pStyle w:val="962"/>
        <w:pBdr/>
        <w:spacing/>
        <w:ind/>
        <w:rPr/>
      </w:pPr>
      <w:r>
        <w:rPr>
          <w:b/>
          <w:bCs/>
        </w:rPr>
        <w:t xml:space="preserve">Fiqh (فقه):</w:t>
      </w:r>
      <w:r>
        <w:t xml:space="preserve"> Islamic jurisprudence—the scholarly discipline of deriving practical rulings from Islamic sources. Fiqh methodology provides tools for applying classical principles to novel technological contexts.</w:t>
      </w:r>
      <w:r/>
    </w:p>
    <w:p>
      <w:pPr>
        <w:pStyle w:val="962"/>
        <w:pBdr/>
        <w:spacing/>
        <w:ind/>
        <w:rPr/>
      </w:pPr>
      <w:r>
        <w:rPr>
          <w:b/>
          <w:bCs/>
        </w:rPr>
        <w:t xml:space="preserve">Ghalib al-Zann (غالب الظن):</w:t>
      </w:r>
      <w:r>
        <w:t xml:space="preserve"> Overwhelming likelihood or strong probability (typically &gt;50-80%). In dual-use technology evaluation, this threshold affects whether providing a service is considered permissible, disliked, or prohibited based on likelihood of misuse.</w:t>
      </w:r>
      <w:r/>
    </w:p>
    <w:p>
      <w:pPr>
        <w:pStyle w:val="962"/>
        <w:pBdr/>
        <w:spacing/>
        <w:ind/>
        <w:rPr/>
      </w:pPr>
      <w:r>
        <w:rPr>
          <w:b/>
          <w:bCs/>
        </w:rPr>
        <w:t xml:space="preserve">Gharar (غرر):</w:t>
      </w:r>
      <w:r>
        <w:t xml:space="preserve"> </w:t>
      </w:r>
      <w:r>
        <w:t xml:space="preserve">Excessive uncertainty or ambiguity in transactions that is prohibited in Islamic commerce. In software contexts, Gharar is violated by unclear pricing, opaque terms of service, unpredictable feature availability, and hidden costs revealed only at checkout.</w:t>
      </w:r>
      <w:r/>
    </w:p>
    <w:p>
      <w:pPr>
        <w:pStyle w:val="962"/>
        <w:pBdr/>
        <w:spacing/>
        <w:ind/>
        <w:rPr/>
      </w:pPr>
      <w:r>
        <w:rPr>
          <w:b/>
          <w:bCs/>
        </w:rPr>
        <w:t xml:space="preserve">Ghish (غش):</w:t>
      </w:r>
      <w:r>
        <w:t xml:space="preserve"> Deception and fraud in commercial dealings. The Prophet Muhammad (peace be upon him) declared:</w:t>
      </w:r>
      <w:r>
        <w:t xml:space="preserve"> </w:t>
      </w:r>
      <w:r>
        <w:t xml:space="preserve">“Whoever deceives is not one of us”</w:t>
      </w:r>
      <w:r>
        <w:t xml:space="preserve"> </w:t>
      </w:r>
      <w:r>
        <w:t xml:space="preserve">(Sahih Muslim). Ghish encompasses dark patterns, false advertising, fake reviews, and any design that misleads users.</w:t>
      </w:r>
      <w:r/>
    </w:p>
    <w:p>
      <w:pPr>
        <w:pStyle w:val="962"/>
        <w:pBdr/>
        <w:spacing/>
        <w:ind/>
        <w:rPr/>
      </w:pPr>
      <w:r>
        <w:rPr>
          <w:b/>
          <w:bCs/>
        </w:rPr>
        <w:t xml:space="preserve">Halal (حلال):</w:t>
      </w:r>
      <w:r>
        <w:t xml:space="preserve"> Permissible accord</w:t>
      </w:r>
      <w:r>
        <w:t xml:space="preserve">ing to Islamic law. Within this thesis framework, software services may be evaluated as halal-aligned when their business model, technical implementation, and operational practices comply with the selected Islamic ethical requirements used in the analysis.</w:t>
      </w:r>
      <w:r/>
    </w:p>
    <w:p>
      <w:pPr>
        <w:pStyle w:val="962"/>
        <w:pBdr/>
        <w:spacing/>
        <w:ind/>
        <w:rPr/>
      </w:pPr>
      <w:r>
        <w:rPr>
          <w:b/>
          <w:bCs/>
        </w:rPr>
        <w:t xml:space="preserve">Haram (حرام):</w:t>
      </w:r>
      <w:r>
        <w:t xml:space="preserve"> Forbidden according to Islamic law. Within this thesis framework, software serv</w:t>
      </w:r>
      <w:r>
        <w:t xml:space="preserve">ices may be evaluated as ethically impermissible when they involve prohibited content, facilitate prohibited activities, employ deceptive practices, or systematically violate user trust; final legal-theological judgments require qualified scholarly review.</w:t>
      </w:r>
      <w:r/>
    </w:p>
    <w:p>
      <w:pPr>
        <w:pStyle w:val="962"/>
        <w:pBdr/>
        <w:spacing/>
        <w:ind/>
        <w:rPr/>
      </w:pPr>
      <w:r>
        <w:rPr>
          <w:b/>
          <w:bCs/>
        </w:rPr>
        <w:t xml:space="preserve">Haya (حياء):</w:t>
      </w:r>
      <w:r>
        <w:t xml:space="preserve"> Modesty and the sense of shame that prevents wrongdoing. In software contexts, Haya guides content moderation policies, marketing approaches, and the dignified treatment of users that avoids exploitation of vulnerabilities.</w:t>
      </w:r>
      <w:r/>
    </w:p>
    <w:p>
      <w:pPr>
        <w:pStyle w:val="962"/>
        <w:pBdr/>
        <w:spacing/>
        <w:ind/>
        <w:rPr/>
      </w:pPr>
      <w:r>
        <w:rPr>
          <w:b/>
          <w:bCs/>
        </w:rPr>
        <w:t xml:space="preserve">Ihsan (إحسان):</w:t>
      </w:r>
      <w:r>
        <w:t xml:space="preserve"> Excellence and perfection in conduct—doing things in the best possible manner. Ihsan requires software developers to pursue quality beyond minimum compliance, treating their work as worship performed with awareness of divine observation.</w:t>
      </w:r>
      <w:r/>
    </w:p>
    <w:p>
      <w:pPr>
        <w:pStyle w:val="962"/>
        <w:pBdr/>
        <w:spacing/>
        <w:ind/>
        <w:rPr/>
      </w:pPr>
      <w:r>
        <w:rPr>
          <w:b/>
          <w:bCs/>
        </w:rPr>
        <w:t xml:space="preserve">Ijma (إجماع):</w:t>
      </w:r>
      <w:r>
        <w:t xml:space="preserve"> Scholarly consensus—agreement among qualified Islamic scholars on specific rulings. Principles enjoying Ijma carry greater authority and certainty in I-VSD application.</w:t>
      </w:r>
      <w:r/>
    </w:p>
    <w:p>
      <w:pPr>
        <w:pStyle w:val="962"/>
        <w:pBdr/>
        <w:spacing/>
        <w:ind/>
        <w:rPr/>
      </w:pPr>
      <w:r>
        <w:rPr>
          <w:b/>
          <w:bCs/>
        </w:rPr>
        <w:t xml:space="preserve">Khidmah (خدمة):</w:t>
      </w:r>
      <w:r>
        <w:t xml:space="preserve"> Service to others, particularly to the Muslim community. Khidmah motivates organizational structures that prioritize user benefit over profit extraction.</w:t>
      </w:r>
      <w:r/>
    </w:p>
    <w:p>
      <w:pPr>
        <w:pStyle w:val="962"/>
        <w:pBdr/>
        <w:spacing/>
        <w:ind/>
        <w:rPr/>
      </w:pPr>
      <w:r>
        <w:rPr>
          <w:b/>
          <w:bCs/>
        </w:rPr>
        <w:t xml:space="preserve">La Darar wa la Dirar (لا ضرر ولا ضرار):</w:t>
      </w:r>
      <w:r>
        <w:t xml:space="preserve"> The principle that harm should neither be inflicted nor reciprocated. This foundational maxim prohibits software designs that cause psychological, financial, or social harm to users, regardless of business justification.</w:t>
      </w:r>
      <w:r/>
    </w:p>
    <w:p>
      <w:pPr>
        <w:pStyle w:val="962"/>
        <w:pBdr/>
        <w:spacing/>
        <w:ind/>
        <w:rPr/>
      </w:pPr>
      <w:r>
        <w:rPr>
          <w:b/>
          <w:bCs/>
        </w:rPr>
        <w:t xml:space="preserve">Maslahah (مصلحة):</w:t>
      </w:r>
      <w:r>
        <w:t xml:space="preserve"> Public interest and benefit. Maslahah guides decisions when specific rulings are unclear, favoring outcomes that benefit the broader community.</w:t>
      </w:r>
      <w:r/>
    </w:p>
    <w:p>
      <w:pPr>
        <w:pStyle w:val="962"/>
        <w:pBdr/>
        <w:spacing/>
        <w:ind/>
        <w:rPr/>
      </w:pPr>
      <w:r>
        <w:rPr>
          <w:b/>
          <w:bCs/>
        </w:rPr>
        <w:t xml:space="preserve">Maqasid al-Shariah:</w:t>
      </w:r>
      <w:r>
        <w:t xml:space="preserve"> The objectives of Islamic law, traditionally identified as protecting religion, life, intellect, lineage, and property. These objectives provide meta-level guidance for evaluating software impacts.</w:t>
      </w:r>
      <w:r/>
    </w:p>
    <w:p>
      <w:pPr>
        <w:pStyle w:val="962"/>
        <w:pBdr/>
        <w:spacing/>
        <w:ind/>
        <w:rPr/>
      </w:pPr>
      <w:r>
        <w:rPr>
          <w:b/>
          <w:bCs/>
        </w:rPr>
        <w:t xml:space="preserve">Makruh (مكروه):</w:t>
      </w:r>
      <w:r>
        <w:t xml:space="preserve"> Disliked or discouraged though not strictly forbidden. Practices that are Makruh should be avoided when possible but do not render a business impermissible.</w:t>
      </w:r>
      <w:r/>
    </w:p>
    <w:p>
      <w:pPr>
        <w:pStyle w:val="962"/>
        <w:pBdr/>
        <w:spacing/>
        <w:ind/>
        <w:rPr/>
      </w:pPr>
      <w:r>
        <w:rPr>
          <w:b/>
          <w:bCs/>
        </w:rPr>
        <w:t xml:space="preserve">Nasihah (نصيحة):</w:t>
      </w:r>
      <w:r>
        <w:t xml:space="preserve"> Sincere counsel—advising people toward what genuinely benefits them rather than merely what pleases them. Nasihah requires software design that protects user interests even when users might prefer more convenient but harmful options.</w:t>
      </w:r>
      <w:r/>
    </w:p>
    <w:p>
      <w:pPr>
        <w:pStyle w:val="962"/>
        <w:pBdr/>
        <w:spacing/>
        <w:ind/>
        <w:rPr/>
      </w:pPr>
      <w:r>
        <w:rPr>
          <w:b/>
          <w:bCs/>
        </w:rPr>
        <w:t xml:space="preserve">Qiyas (قياس):</w:t>
      </w:r>
      <w:r>
        <w:t xml:space="preserve"> Analogical reasoning in Islamic jurisprudence, applying established principles to novel situations. Qiyas is essential for addressing technological contexts not directly addressed in classical sources.</w:t>
      </w:r>
      <w:r/>
    </w:p>
    <w:p>
      <w:pPr>
        <w:pStyle w:val="962"/>
        <w:pBdr/>
        <w:spacing/>
        <w:ind/>
        <w:rPr/>
      </w:pPr>
      <w:r>
        <w:rPr>
          <w:b/>
          <w:bCs/>
        </w:rPr>
        <w:t xml:space="preserve">Riba (ربا):</w:t>
      </w:r>
      <w:r>
        <w:t xml:space="preserve"> Interest or usury, strictly prohibited in Islam. Riba prohibition affects funding sources for I-VSD-compliant organizations, excluding interest-bearing loans and requiring alternative financing arrangements.</w:t>
      </w:r>
      <w:r/>
    </w:p>
    <w:p>
      <w:pPr>
        <w:pStyle w:val="962"/>
        <w:pBdr/>
        <w:spacing/>
        <w:ind/>
        <w:rPr/>
      </w:pPr>
      <w:r>
        <w:rPr>
          <w:b/>
          <w:bCs/>
        </w:rPr>
        <w:t xml:space="preserve">Shakk (شك):</w:t>
      </w:r>
      <w:r>
        <w:t xml:space="preserve"> Doubt or uncertainty. In dual-use technology evaluation, Shakk about potential misuse (as opposed to certainty) generally permits providing the service while responsibility for misuse falls on the misuser.</w:t>
      </w:r>
      <w:r/>
    </w:p>
    <w:p>
      <w:pPr>
        <w:pStyle w:val="962"/>
        <w:pBdr/>
        <w:spacing/>
        <w:ind/>
        <w:rPr/>
      </w:pPr>
      <w:r>
        <w:rPr>
          <w:b/>
          <w:bCs/>
        </w:rPr>
        <w:t xml:space="preserve">Sidq (صدق):</w:t>
      </w:r>
      <w:r>
        <w:t xml:space="preserve"> Truthfulness and honesty in speech and action. Sidq requires accurate marketing, honest representation of software capabilities, transparent pricing, and refusal to employ deceptive design patterns. The Quran commands:</w:t>
      </w:r>
      <w:r>
        <w:t xml:space="preserve"> </w:t>
      </w:r>
      <w:r>
        <w:t xml:space="preserve">“O you who believe! Be conscious of Allah and be with the truthful”</w:t>
      </w:r>
      <w:r>
        <w:t xml:space="preserve"> </w:t>
      </w:r>
      <w:r>
        <w:t xml:space="preserve">(9:119).</w:t>
      </w:r>
      <w:r/>
    </w:p>
    <w:p>
      <w:pPr>
        <w:pStyle w:val="962"/>
        <w:pBdr/>
        <w:spacing/>
        <w:ind/>
        <w:rPr/>
      </w:pPr>
      <w:r>
        <w:rPr>
          <w:b/>
          <w:bCs/>
        </w:rPr>
        <w:t xml:space="preserve">Sunnah (سنة):</w:t>
      </w:r>
      <w:r>
        <w:t xml:space="preserve"> The way of Prophet Muhammad (peace be upon him), encompassing his teachings, actions, approvals, and character. The Sunnah provides detailed ethical guidance supplementing Quranic principles, particularly rich regarding commercial ethics.</w:t>
      </w:r>
      <w:r/>
    </w:p>
    <w:p>
      <w:pPr>
        <w:pStyle w:val="962"/>
        <w:pBdr/>
        <w:spacing/>
        <w:ind/>
        <w:rPr/>
      </w:pPr>
      <w:r>
        <w:rPr>
          <w:b/>
          <w:bCs/>
        </w:rPr>
        <w:t xml:space="preserve">Tajassus (تجسس):</w:t>
      </w:r>
      <w:r>
        <w:t xml:space="preserve"> Spying or unauthorized intrusion into private matters. The Quranic prohibition</w:t>
      </w:r>
      <w:r>
        <w:t xml:space="preserve"> </w:t>
      </w:r>
      <w:r>
        <w:t xml:space="preserve">“And do not spy”</w:t>
      </w:r>
      <w:r>
        <w:t xml:space="preserve"> </w:t>
      </w:r>
      <w:r>
        <w:t xml:space="preserve">(49:12) directly addresses surveillance practices, data collection beyond necessity, and privacy violations in software services.</w:t>
      </w:r>
      <w:r/>
    </w:p>
    <w:p>
      <w:pPr>
        <w:pStyle w:val="962"/>
        <w:pBdr/>
        <w:spacing/>
        <w:ind/>
        <w:rPr/>
      </w:pPr>
      <w:r>
        <w:rPr>
          <w:b/>
          <w:bCs/>
        </w:rPr>
        <w:t xml:space="preserve">Tawakkul (توكل):</w:t>
      </w:r>
      <w:r>
        <w:t xml:space="preserve"> Reliance on Allah after taking proper action. Tawakkul allows I-VSD practitioners to make ethical decisions without excessive concern about business outcomes, trusting that consequences are ultimately in Allah’s hands.</w:t>
      </w:r>
      <w:r/>
    </w:p>
    <w:p>
      <w:pPr>
        <w:pStyle w:val="962"/>
        <w:pBdr/>
        <w:spacing/>
        <w:ind/>
        <w:rPr/>
      </w:pPr>
      <w:r>
        <w:rPr>
          <w:b/>
          <w:bCs/>
        </w:rPr>
        <w:t xml:space="preserve">Ummah (أمة):</w:t>
      </w:r>
      <w:r>
        <w:t xml:space="preserve"> The global Muslim community considered as a single body. I-VSD-compliant software serves the Ummah’s benefit, considering impacts on Muslims worldwide rather than narrow organizational interests.</w:t>
      </w:r>
      <w:r/>
    </w:p>
    <w:p>
      <w:pPr>
        <w:pStyle w:val="962"/>
        <w:pBdr/>
        <w:spacing/>
        <w:ind/>
        <w:rPr/>
      </w:pPr>
      <w:r>
        <w:rPr>
          <w:b/>
          <w:bCs/>
        </w:rPr>
        <w:t xml:space="preserve">Usul al-Fiqh (أصول الفقه):</w:t>
      </w:r>
      <w:r>
        <w:t xml:space="preserve"> Principles of Islamic jurisprudence—the methodology for deriving rulings from sources. Understanding Usul al-Fiqh enables principled application of Islamic ethics to novel technological contexts.</w:t>
      </w:r>
      <w:r/>
    </w:p>
    <w:p>
      <w:pPr>
        <w:pStyle w:val="962"/>
        <w:pBdr/>
        <w:spacing/>
        <w:ind/>
        <w:rPr/>
      </w:pPr>
      <w:r>
        <w:rPr>
          <w:b/>
          <w:bCs/>
        </w:rPr>
        <w:t xml:space="preserve">Wafa (وفاء):</w:t>
      </w:r>
      <w:r>
        <w:t xml:space="preserve"> Fulfillment of promises and commitments. Wafa requires honoring terms of service, maintaining lifetime commitments, grandfathering existing users when terms change, and delivering promised features.</w:t>
      </w:r>
      <w:r/>
    </w:p>
    <w:p>
      <w:pPr>
        <w:pStyle w:val="962"/>
        <w:pBdr/>
        <w:spacing/>
        <w:ind/>
        <w:rPr/>
      </w:pPr>
      <w:r>
        <w:rPr>
          <w:b/>
          <w:bCs/>
        </w:rPr>
        <w:t xml:space="preserve">Wahm (وهم):</w:t>
      </w:r>
      <w:r>
        <w:t xml:space="preserve"> Mere possibility or conjecture (typically &lt;30% likelihood). When misuse of a service is only Wahm, the service remains permissible since responsibility for speculative misuse cannot be assigned to the provider.</w:t>
      </w:r>
      <w:r/>
    </w:p>
    <w:p>
      <w:pPr>
        <w:pStyle w:val="962"/>
        <w:pBdr/>
        <w:spacing/>
        <w:ind/>
        <w:rPr/>
      </w:pPr>
      <w:r>
        <w:rPr>
          <w:b/>
          <w:bCs/>
        </w:rPr>
        <w:t xml:space="preserve">Yaqin (يقين):</w:t>
      </w:r>
      <w:r>
        <w:t xml:space="preserve"> Certainty or definitive knowledge. In the thes</w:t>
      </w:r>
      <w:r>
        <w:t xml:space="preserve">is framework, when there is Yaqin that a service will be used for prohibited purposes, providing that service should be treated as ethically impermissible regardless of its legitimate potential uses; applied rulings require appropriate scholarly authority.</w:t>
      </w:r>
      <w:r/>
    </w:p>
    <w:p>
      <w:pPr>
        <w:pBdr/>
        <w:spacing/>
        <w:ind/>
        <w:rPr/>
      </w:pPr>
      <w:r>
        <mc:AlternateContent>
          <mc:Choice Requires="wpg">
            <w:drawing>
              <wp:inline xmlns:wp="http://schemas.openxmlformats.org/drawingml/2006/wordprocessingDrawing" distT="0" distB="0" distL="0" distR="0">
                <wp:extent cx="0" cy="19050"/>
                <wp:effectExtent l="0" t="0" r="0" b="0"/>
                <wp:docPr id="16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8" o:spid="_x0000_s168" o:spt="1" type="#_x0000_t1" style="width:0.00pt;height:1.50pt;mso-wrap-distance-left:0.00pt;mso-wrap-distance-top:0.00pt;mso-wrap-distance-right:0.00pt;mso-wrap-distance-bottom:0.00pt;visibility:visible;" fillcolor="#FFFFFF" strokecolor="#000000"/>
            </w:pict>
          </mc:Fallback>
        </mc:AlternateContent>
      </w:r>
      <w:bookmarkEnd w:id="245"/>
      <w:r/>
    </w:p>
    <w:p>
      <w:pPr>
        <w:pStyle w:val="976"/>
        <w:pBdr/>
        <w:spacing/>
        <w:ind/>
        <w:rPr/>
      </w:pPr>
      <w:r/>
      <w:bookmarkStart w:id="279" w:name="appendix-d-extended-evidence-catalogue"/>
      <w:r>
        <w:t xml:space="preserve">Appendix D: Extended Evidence Catalogue</w:t>
      </w:r>
      <w:r/>
    </w:p>
    <w:p>
      <w:pPr>
        <w:pStyle w:val="963"/>
        <w:pBdr/>
        <w:spacing/>
        <w:ind/>
        <w:rPr/>
      </w:pPr>
      <w:r>
        <w:t xml:space="preserve">This appendix preserves the detailed industry examples, harm catalogue material, and extended source notes that support the concise harm typology in Chapter 2. The main chapter now carries the argument; this appendix carries the concrete ca</w:t>
      </w:r>
      <w:r>
        <w:t xml:space="preserve">talogue. Nothing in this appendix should be read as a complete empirical survey of the software industry or as a legal or scholarly ruling. Its purpose is to keep the hard-worked examples available for inspection, source verification, and later refinement.</w:t>
      </w:r>
      <w:r/>
    </w:p>
    <w:p>
      <w:pPr>
        <w:pStyle w:val="962"/>
        <w:pBdr/>
        <w:spacing/>
        <w:ind/>
        <w:rPr/>
      </w:pPr>
      <w:r>
        <w:t xml:space="preserve">The catalogue is intentionally long. It is allowed to remain long because its function is reference and evidence preservation, not thesis-spine argumentation.</w:t>
      </w:r>
      <w:r/>
    </w:p>
    <w:p>
      <w:pPr>
        <w:pStyle w:val="977"/>
        <w:pBdr/>
        <w:spacing/>
        <w:ind/>
        <w:rPr/>
      </w:pPr>
      <w:r/>
      <w:bookmarkStart w:id="246" w:name="d.1-quick-anti-pattern-index"/>
      <w:r>
        <w:t xml:space="preserve">D.1 Quick Anti-Pattern Index</w:t>
      </w:r>
      <w:r/>
    </w:p>
    <w:p>
      <w:pPr>
        <w:pStyle w:val="963"/>
        <w:pBdr/>
        <w:spacing/>
        <w:ind/>
        <w:rPr/>
      </w:pPr>
      <w:r>
        <w:t xml:space="preserve">This appendix provides a consolidated reference of the industry anti-patterns documented in Section 2.1, organized by category for quick reference.</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Category</w:t>
            </w:r>
            <w:r/>
          </w:p>
        </w:tc>
        <w:tc>
          <w:tcPr>
            <w:tcBorders/>
          </w:tcPr>
          <w:p>
            <w:pPr>
              <w:pStyle w:val="964"/>
              <w:pBdr/>
              <w:spacing/>
              <w:ind/>
              <w:rPr/>
            </w:pPr>
            <w:r>
              <w:t xml:space="preserve">Anti-Pattern</w:t>
            </w:r>
            <w:r/>
          </w:p>
        </w:tc>
        <w:tc>
          <w:tcPr>
            <w:tcBorders/>
          </w:tcPr>
          <w:p>
            <w:pPr>
              <w:pStyle w:val="964"/>
              <w:pBdr/>
              <w:spacing/>
              <w:ind/>
              <w:rPr/>
            </w:pPr>
            <w:r>
              <w:t xml:space="preserve">Section</w:t>
            </w:r>
            <w:r/>
          </w:p>
        </w:tc>
        <w:tc>
          <w:tcPr>
            <w:tcBorders/>
          </w:tcPr>
          <w:p>
            <w:pPr>
              <w:pStyle w:val="964"/>
              <w:pBdr/>
              <w:spacing/>
              <w:ind/>
              <w:rPr/>
            </w:pPr>
            <w:r>
              <w:t xml:space="preserve">Islamic Principle Violated</w:t>
            </w:r>
            <w:r/>
          </w:p>
        </w:tc>
      </w:tr>
      <w:tr>
        <w:trPr/>
        <w:tc>
          <w:tcPr>
            <w:tcBorders/>
          </w:tcPr>
          <w:p>
            <w:pPr>
              <w:pStyle w:val="964"/>
              <w:pBdr/>
              <w:spacing/>
              <w:ind/>
              <w:rPr/>
            </w:pPr>
            <w:r>
              <w:rPr>
                <w:b/>
                <w:bCs/>
              </w:rPr>
              <w:t xml:space="preserve">Deception</w:t>
            </w:r>
            <w:r/>
          </w:p>
        </w:tc>
        <w:tc>
          <w:tcPr>
            <w:tcBorders/>
          </w:tcPr>
          <w:p>
            <w:pPr>
              <w:pStyle w:val="964"/>
              <w:pBdr/>
              <w:spacing/>
              <w:ind/>
              <w:rPr/>
            </w:pPr>
            <w:r>
              <w:t xml:space="preserve">False advertising and AI washing</w:t>
            </w:r>
            <w:r/>
          </w:p>
        </w:tc>
        <w:tc>
          <w:tcPr>
            <w:tcBorders/>
          </w:tcPr>
          <w:p>
            <w:pPr>
              <w:pStyle w:val="964"/>
              <w:pBdr/>
              <w:spacing/>
              <w:ind/>
              <w:rPr/>
            </w:pPr>
            <w:r>
              <w:t xml:space="preserve">2.1.3.1</w:t>
            </w:r>
            <w:r/>
          </w:p>
        </w:tc>
        <w:tc>
          <w:tcPr>
            <w:tcBorders/>
          </w:tcPr>
          <w:p>
            <w:pPr>
              <w:pStyle w:val="964"/>
              <w:pBdr/>
              <w:spacing/>
              <w:ind/>
              <w:rPr/>
            </w:pPr>
            <w:r>
              <w:t xml:space="preserve">Sidq (Truthfulness)</w:t>
            </w:r>
            <w:r/>
          </w:p>
        </w:tc>
      </w:tr>
      <w:tr>
        <w:trPr/>
        <w:tc>
          <w:tcPr>
            <w:tcBorders/>
          </w:tcPr>
          <w:p>
            <w:pPr>
              <w:pStyle w:val="964"/>
              <w:pBdr/>
              <w:spacing/>
              <w:ind/>
              <w:rPr/>
            </w:pPr>
            <w:r/>
            <w:r/>
          </w:p>
        </w:tc>
        <w:tc>
          <w:tcPr>
            <w:tcBorders/>
          </w:tcPr>
          <w:p>
            <w:pPr>
              <w:pStyle w:val="964"/>
              <w:pBdr/>
              <w:spacing/>
              <w:ind/>
              <w:rPr/>
            </w:pPr>
            <w:r>
              <w:t xml:space="preserve">Fake reviews and reputation manipulation</w:t>
            </w:r>
            <w:r/>
          </w:p>
        </w:tc>
        <w:tc>
          <w:tcPr>
            <w:tcBorders/>
          </w:tcPr>
          <w:p>
            <w:pPr>
              <w:pStyle w:val="964"/>
              <w:pBdr/>
              <w:spacing/>
              <w:ind/>
              <w:rPr/>
            </w:pPr>
            <w:r>
              <w:t xml:space="preserve">2.1.3.12</w:t>
            </w:r>
            <w:r/>
          </w:p>
        </w:tc>
        <w:tc>
          <w:tcPr>
            <w:tcBorders/>
          </w:tcPr>
          <w:p>
            <w:pPr>
              <w:pStyle w:val="964"/>
              <w:pBdr/>
              <w:spacing/>
              <w:ind/>
              <w:rPr/>
            </w:pPr>
            <w:r>
              <w:t xml:space="preserve">No Ghish (No Deception)</w:t>
            </w:r>
            <w:r/>
          </w:p>
        </w:tc>
      </w:tr>
      <w:tr>
        <w:trPr/>
        <w:tc>
          <w:tcPr>
            <w:tcBorders/>
          </w:tcPr>
          <w:p>
            <w:pPr>
              <w:pStyle w:val="964"/>
              <w:pBdr/>
              <w:spacing/>
              <w:ind/>
              <w:rPr/>
            </w:pPr>
            <w:r/>
            <w:r/>
          </w:p>
        </w:tc>
        <w:tc>
          <w:tcPr>
            <w:tcBorders/>
          </w:tcPr>
          <w:p>
            <w:pPr>
              <w:pStyle w:val="964"/>
              <w:pBdr/>
              <w:spacing/>
              <w:ind/>
              <w:rPr/>
            </w:pPr>
            <w:r>
              <w:t xml:space="preserve">False association with open source</w:t>
            </w:r>
            <w:r/>
          </w:p>
        </w:tc>
        <w:tc>
          <w:tcPr>
            <w:tcBorders/>
          </w:tcPr>
          <w:p>
            <w:pPr>
              <w:pStyle w:val="964"/>
              <w:pBdr/>
              <w:spacing/>
              <w:ind/>
              <w:rPr/>
            </w:pPr>
            <w:r>
              <w:t xml:space="preserve">2.1.3.13</w:t>
            </w:r>
            <w:r/>
          </w:p>
        </w:tc>
        <w:tc>
          <w:tcPr>
            <w:tcBorders/>
          </w:tcPr>
          <w:p>
            <w:pPr>
              <w:pStyle w:val="964"/>
              <w:pBdr/>
              <w:spacing/>
              <w:ind/>
              <w:rPr/>
            </w:pPr>
            <w:r>
              <w:t xml:space="preserve">Sidq (Truthfulness)</w:t>
            </w:r>
            <w:r/>
          </w:p>
        </w:tc>
      </w:tr>
      <w:tr>
        <w:trPr/>
        <w:tc>
          <w:tcPr>
            <w:tcBorders/>
          </w:tcPr>
          <w:p>
            <w:pPr>
              <w:pStyle w:val="964"/>
              <w:pBdr/>
              <w:spacing/>
              <w:ind/>
              <w:rPr/>
            </w:pPr>
            <w:r>
              <w:rPr>
                <w:b/>
                <w:bCs/>
              </w:rPr>
              <w:t xml:space="preserve">Transparency</w:t>
            </w:r>
            <w:r/>
          </w:p>
        </w:tc>
        <w:tc>
          <w:tcPr>
            <w:tcBorders/>
          </w:tcPr>
          <w:p>
            <w:pPr>
              <w:pStyle w:val="964"/>
              <w:pBdr/>
              <w:spacing/>
              <w:ind/>
              <w:rPr/>
            </w:pPr>
            <w:r>
              <w:t xml:space="preserve">Marketing source-available or limited open-core products as if they provide full open-source freedoms</w:t>
            </w:r>
            <w:r/>
          </w:p>
        </w:tc>
        <w:tc>
          <w:tcPr>
            <w:tcBorders/>
          </w:tcPr>
          <w:p>
            <w:pPr>
              <w:pStyle w:val="964"/>
              <w:pBdr/>
              <w:spacing/>
              <w:ind/>
              <w:rPr/>
            </w:pPr>
            <w:r>
              <w:t xml:space="preserve">2.1.3.13 / 5.4.10</w:t>
            </w:r>
            <w:r/>
          </w:p>
        </w:tc>
        <w:tc>
          <w:tcPr>
            <w:tcBorders/>
          </w:tcPr>
          <w:p>
            <w:pPr>
              <w:pStyle w:val="964"/>
              <w:pBdr/>
              <w:spacing/>
              <w:ind/>
              <w:rPr/>
            </w:pPr>
            <w:r>
              <w:t xml:space="preserve">Sidq (Truthfulness), Amanah (Trust)</w:t>
            </w:r>
            <w:r/>
          </w:p>
        </w:tc>
      </w:tr>
      <w:tr>
        <w:trPr/>
        <w:tc>
          <w:tcPr>
            <w:tcBorders/>
          </w:tcPr>
          <w:p>
            <w:pPr>
              <w:pStyle w:val="964"/>
              <w:pBdr/>
              <w:spacing/>
              <w:ind/>
              <w:rPr/>
            </w:pPr>
            <w:r/>
            <w:r/>
          </w:p>
        </w:tc>
        <w:tc>
          <w:tcPr>
            <w:tcBorders/>
          </w:tcPr>
          <w:p>
            <w:pPr>
              <w:pStyle w:val="964"/>
              <w:pBdr/>
              <w:spacing/>
              <w:ind/>
              <w:rPr/>
            </w:pPr>
            <w:r>
              <w:t xml:space="preserve">Fast-moving AI vendor incident timelines used without primary-source verification</w:t>
            </w:r>
            <w:r/>
          </w:p>
        </w:tc>
        <w:tc>
          <w:tcPr>
            <w:tcBorders/>
          </w:tcPr>
          <w:p>
            <w:pPr>
              <w:pStyle w:val="964"/>
              <w:pBdr/>
              <w:spacing/>
              <w:ind/>
              <w:rPr/>
            </w:pPr>
            <w:r>
              <w:t xml:space="preserve">Appendix D / Chapter 7</w:t>
            </w:r>
            <w:r/>
          </w:p>
        </w:tc>
        <w:tc>
          <w:tcPr>
            <w:tcBorders/>
          </w:tcPr>
          <w:p>
            <w:pPr>
              <w:pStyle w:val="964"/>
              <w:pBdr/>
              <w:spacing/>
              <w:ind/>
              <w:rPr/>
            </w:pPr>
            <w:r>
              <w:t xml:space="preserve">Sidq (Truthfulness), Amanah (Trust)</w:t>
            </w:r>
            <w:r/>
          </w:p>
        </w:tc>
      </w:tr>
      <w:tr>
        <w:trPr/>
        <w:tc>
          <w:tcPr>
            <w:tcBorders/>
          </w:tcPr>
          <w:p>
            <w:pPr>
              <w:pStyle w:val="964"/>
              <w:pBdr/>
              <w:spacing/>
              <w:ind/>
              <w:rPr/>
            </w:pPr>
            <w:r>
              <w:rPr>
                <w:b/>
                <w:bCs/>
              </w:rPr>
              <w:t xml:space="preserve">Open Source Governance</w:t>
            </w:r>
            <w:r/>
          </w:p>
        </w:tc>
        <w:tc>
          <w:tcPr>
            <w:tcBorders/>
          </w:tcPr>
          <w:p>
            <w:pPr>
              <w:pStyle w:val="964"/>
              <w:pBdr/>
              <w:spacing/>
              <w:ind/>
              <w:rPr/>
            </w:pPr>
            <w:r>
              <w:t xml:space="preserve">Source-available or open-core marketing that borrows open-source trust while withholding practical parity</w:t>
            </w:r>
            <w:r/>
          </w:p>
        </w:tc>
        <w:tc>
          <w:tcPr>
            <w:tcBorders/>
          </w:tcPr>
          <w:p>
            <w:pPr>
              <w:pStyle w:val="964"/>
              <w:pBdr/>
              <w:spacing/>
              <w:ind/>
              <w:rPr/>
            </w:pPr>
            <w:r>
              <w:t xml:space="preserve">4.3.3 / 5.4.10</w:t>
            </w:r>
            <w:r/>
          </w:p>
        </w:tc>
        <w:tc>
          <w:tcPr>
            <w:tcBorders/>
          </w:tcPr>
          <w:p>
            <w:pPr>
              <w:pStyle w:val="964"/>
              <w:pBdr/>
              <w:spacing/>
              <w:ind/>
              <w:rPr/>
            </w:pPr>
            <w:r>
              <w:t xml:space="preserve">Sidq (Truthfulness), Amanah (Trust)</w:t>
            </w:r>
            <w:r/>
          </w:p>
        </w:tc>
      </w:tr>
      <w:tr>
        <w:trPr/>
        <w:tc>
          <w:tcPr>
            <w:tcBorders/>
          </w:tcPr>
          <w:p>
            <w:pPr>
              <w:pStyle w:val="964"/>
              <w:pBdr/>
              <w:spacing/>
              <w:ind/>
              <w:rPr/>
            </w:pPr>
            <w:r/>
            <w:r/>
          </w:p>
        </w:tc>
        <w:tc>
          <w:tcPr>
            <w:tcBorders/>
          </w:tcPr>
          <w:p>
            <w:pPr>
              <w:pStyle w:val="964"/>
              <w:pBdr/>
              <w:spacing/>
              <w:ind/>
              <w:rPr/>
            </w:pPr>
            <w:r>
              <w:t xml:space="preserve">Legal workarounds or AI-assisted rewrites used to avoid reciprocal license duties while still benefiting from open-source labor</w:t>
            </w:r>
            <w:r/>
          </w:p>
        </w:tc>
        <w:tc>
          <w:tcPr>
            <w:tcBorders/>
          </w:tcPr>
          <w:p>
            <w:pPr>
              <w:pStyle w:val="964"/>
              <w:pBdr/>
              <w:spacing/>
              <w:ind/>
              <w:rPr/>
            </w:pPr>
            <w:r>
              <w:t xml:space="preserve">5.4.10</w:t>
            </w:r>
            <w:r/>
          </w:p>
        </w:tc>
        <w:tc>
          <w:tcPr>
            <w:tcBorders/>
          </w:tcPr>
          <w:p>
            <w:pPr>
              <w:pStyle w:val="964"/>
              <w:pBdr/>
              <w:spacing/>
              <w:ind/>
              <w:rPr/>
            </w:pPr>
            <w:r>
              <w:t xml:space="preserve">Wafa (Keeping commitments), Adl (Justice)</w:t>
            </w:r>
            <w:r/>
          </w:p>
        </w:tc>
      </w:tr>
      <w:tr>
        <w:trPr/>
        <w:tc>
          <w:tcPr>
            <w:tcBorders/>
          </w:tcPr>
          <w:p>
            <w:pPr>
              <w:pStyle w:val="964"/>
              <w:pBdr/>
              <w:spacing/>
              <w:ind/>
              <w:rPr/>
            </w:pPr>
            <w:r/>
            <w:r/>
          </w:p>
        </w:tc>
        <w:tc>
          <w:tcPr>
            <w:tcBorders/>
          </w:tcPr>
          <w:p>
            <w:pPr>
              <w:pStyle w:val="964"/>
              <w:pBdr/>
              <w:spacing/>
              <w:ind/>
              <w:rPr/>
            </w:pPr>
            <w:r>
              <w:t xml:space="preserve">Delayed or disputed dependency-license compliance that leaves maintainers to pursue public escalation</w:t>
            </w:r>
            <w:r/>
          </w:p>
        </w:tc>
        <w:tc>
          <w:tcPr>
            <w:tcBorders/>
          </w:tcPr>
          <w:p>
            <w:pPr>
              <w:pStyle w:val="964"/>
              <w:pBdr/>
              <w:spacing/>
              <w:ind/>
              <w:rPr/>
            </w:pPr>
            <w:r>
              <w:t xml:space="preserve">5.4.10</w:t>
            </w:r>
            <w:r/>
          </w:p>
        </w:tc>
        <w:tc>
          <w:tcPr>
            <w:tcBorders/>
          </w:tcPr>
          <w:p>
            <w:pPr>
              <w:pStyle w:val="964"/>
              <w:pBdr/>
              <w:spacing/>
              <w:ind/>
              <w:rPr/>
            </w:pPr>
            <w:r>
              <w:t xml:space="preserve">Amanah (Trust), Adl (Justice)</w:t>
            </w:r>
            <w:r/>
          </w:p>
        </w:tc>
      </w:tr>
      <w:tr>
        <w:trPr/>
        <w:tc>
          <w:tcPr>
            <w:tcBorders/>
          </w:tcPr>
          <w:p>
            <w:pPr>
              <w:pStyle w:val="964"/>
              <w:pBdr/>
              <w:spacing/>
              <w:ind/>
              <w:rPr/>
            </w:pPr>
            <w:r/>
            <w:r/>
          </w:p>
        </w:tc>
        <w:tc>
          <w:tcPr>
            <w:tcBorders/>
          </w:tcPr>
          <w:p>
            <w:pPr>
              <w:pStyle w:val="964"/>
              <w:pBdr/>
              <w:spacing/>
              <w:ind/>
              <w:rPr/>
            </w:pPr>
            <w:r>
              <w:t xml:space="preserve">Greenwashing environmental claims</w:t>
            </w:r>
            <w:r/>
          </w:p>
        </w:tc>
        <w:tc>
          <w:tcPr>
            <w:tcBorders/>
          </w:tcPr>
          <w:p>
            <w:pPr>
              <w:pStyle w:val="964"/>
              <w:pBdr/>
              <w:spacing/>
              <w:ind/>
              <w:rPr/>
            </w:pPr>
            <w:r>
              <w:t xml:space="preserve">2.1.3.13</w:t>
            </w:r>
            <w:r/>
          </w:p>
        </w:tc>
        <w:tc>
          <w:tcPr>
            <w:tcBorders/>
          </w:tcPr>
          <w:p>
            <w:pPr>
              <w:pStyle w:val="964"/>
              <w:pBdr/>
              <w:spacing/>
              <w:ind/>
              <w:rPr/>
            </w:pPr>
            <w:r>
              <w:t xml:space="preserve">Sidq (Truthfulness)</w:t>
            </w:r>
            <w:r/>
          </w:p>
        </w:tc>
      </w:tr>
      <w:tr>
        <w:trPr/>
        <w:tc>
          <w:tcPr>
            <w:tcBorders/>
          </w:tcPr>
          <w:p>
            <w:pPr>
              <w:pStyle w:val="964"/>
              <w:pBdr/>
              <w:spacing/>
              <w:ind/>
              <w:rPr/>
            </w:pPr>
            <w:r>
              <w:rPr>
                <w:b/>
                <w:bCs/>
              </w:rPr>
              <w:t xml:space="preserve">Security</w:t>
            </w:r>
            <w:r/>
          </w:p>
        </w:tc>
        <w:tc>
          <w:tcPr>
            <w:tcBorders/>
          </w:tcPr>
          <w:p>
            <w:pPr>
              <w:pStyle w:val="964"/>
              <w:pBdr/>
              <w:spacing/>
              <w:ind/>
              <w:rPr/>
            </w:pPr>
            <w:r>
              <w:t xml:space="preserve">Data security failures</w:t>
            </w:r>
            <w:r/>
          </w:p>
        </w:tc>
        <w:tc>
          <w:tcPr>
            <w:tcBorders/>
          </w:tcPr>
          <w:p>
            <w:pPr>
              <w:pStyle w:val="964"/>
              <w:pBdr/>
              <w:spacing/>
              <w:ind/>
              <w:rPr/>
            </w:pPr>
            <w:r>
              <w:t xml:space="preserve">2.1.3.3</w:t>
            </w:r>
            <w:r/>
          </w:p>
        </w:tc>
        <w:tc>
          <w:tcPr>
            <w:tcBorders/>
          </w:tcPr>
          <w:p>
            <w:pPr>
              <w:pStyle w:val="964"/>
              <w:pBdr/>
              <w:spacing/>
              <w:ind/>
              <w:rPr/>
            </w:pPr>
            <w:r>
              <w:t xml:space="preserve">Amanah (Trust)</w:t>
            </w:r>
            <w:r/>
          </w:p>
        </w:tc>
      </w:tr>
      <w:tr>
        <w:trPr/>
        <w:tc>
          <w:tcPr>
            <w:tcBorders/>
          </w:tcPr>
          <w:p>
            <w:pPr>
              <w:pStyle w:val="964"/>
              <w:pBdr/>
              <w:spacing/>
              <w:ind/>
              <w:rPr/>
            </w:pPr>
            <w:r/>
            <w:r/>
          </w:p>
        </w:tc>
        <w:tc>
          <w:tcPr>
            <w:tcBorders/>
          </w:tcPr>
          <w:p>
            <w:pPr>
              <w:pStyle w:val="964"/>
              <w:pBdr/>
              <w:spacing/>
              <w:ind/>
              <w:rPr/>
            </w:pPr>
            <w:r>
              <w:t xml:space="preserve">Delayed security patching</w:t>
            </w:r>
            <w:r/>
          </w:p>
        </w:tc>
        <w:tc>
          <w:tcPr>
            <w:tcBorders/>
          </w:tcPr>
          <w:p>
            <w:pPr>
              <w:pStyle w:val="964"/>
              <w:pBdr/>
              <w:spacing/>
              <w:ind/>
              <w:rPr/>
            </w:pPr>
            <w:r>
              <w:t xml:space="preserve">2.1.3.3</w:t>
            </w:r>
            <w:r/>
          </w:p>
        </w:tc>
        <w:tc>
          <w:tcPr>
            <w:tcBorders/>
          </w:tcPr>
          <w:p>
            <w:pPr>
              <w:pStyle w:val="964"/>
              <w:pBdr/>
              <w:spacing/>
              <w:ind/>
              <w:rPr/>
            </w:pPr>
            <w:r>
              <w:t xml:space="preserve">La Darar (No Harm)</w:t>
            </w:r>
            <w:r/>
          </w:p>
        </w:tc>
      </w:tr>
      <w:tr>
        <w:trPr/>
        <w:tc>
          <w:tcPr>
            <w:tcBorders/>
          </w:tcPr>
          <w:p>
            <w:pPr>
              <w:pStyle w:val="964"/>
              <w:pBdr/>
              <w:spacing/>
              <w:ind/>
              <w:rPr/>
            </w:pPr>
            <w:r/>
            <w:r/>
          </w:p>
        </w:tc>
        <w:tc>
          <w:tcPr>
            <w:tcBorders/>
          </w:tcPr>
          <w:p>
            <w:pPr>
              <w:pStyle w:val="964"/>
              <w:pBdr/>
              <w:spacing/>
              <w:ind/>
              <w:rPr/>
            </w:pPr>
            <w:r>
              <w:t xml:space="preserve">Password storage failures</w:t>
            </w:r>
            <w:r/>
          </w:p>
        </w:tc>
        <w:tc>
          <w:tcPr>
            <w:tcBorders/>
          </w:tcPr>
          <w:p>
            <w:pPr>
              <w:pStyle w:val="964"/>
              <w:pBdr/>
              <w:spacing/>
              <w:ind/>
              <w:rPr/>
            </w:pPr>
            <w:r>
              <w:t xml:space="preserve">2.1.3.3</w:t>
            </w:r>
            <w:r/>
          </w:p>
        </w:tc>
        <w:tc>
          <w:tcPr>
            <w:tcBorders/>
          </w:tcPr>
          <w:p>
            <w:pPr>
              <w:pStyle w:val="964"/>
              <w:pBdr/>
              <w:spacing/>
              <w:ind/>
              <w:rPr/>
            </w:pPr>
            <w:r>
              <w:t xml:space="preserve">Amanah (Trust)</w:t>
            </w:r>
            <w:r/>
          </w:p>
        </w:tc>
      </w:tr>
      <w:tr>
        <w:trPr/>
        <w:tc>
          <w:tcPr>
            <w:tcBorders/>
          </w:tcPr>
          <w:p>
            <w:pPr>
              <w:pStyle w:val="964"/>
              <w:pBdr/>
              <w:spacing/>
              <w:ind/>
              <w:rPr/>
            </w:pPr>
            <w:r>
              <w:rPr>
                <w:b/>
                <w:bCs/>
              </w:rPr>
              <w:t xml:space="preserve">Privacy</w:t>
            </w:r>
            <w:r/>
          </w:p>
        </w:tc>
        <w:tc>
          <w:tcPr>
            <w:tcBorders/>
          </w:tcPr>
          <w:p>
            <w:pPr>
              <w:pStyle w:val="964"/>
              <w:pBdr/>
              <w:spacing/>
              <w:ind/>
              <w:rPr/>
            </w:pPr>
            <w:r>
              <w:t xml:space="preserve">False privacy claims</w:t>
            </w:r>
            <w:r/>
          </w:p>
        </w:tc>
        <w:tc>
          <w:tcPr>
            <w:tcBorders/>
          </w:tcPr>
          <w:p>
            <w:pPr>
              <w:pStyle w:val="964"/>
              <w:pBdr/>
              <w:spacing/>
              <w:ind/>
              <w:rPr/>
            </w:pPr>
            <w:r>
              <w:t xml:space="preserve">2.1.3.4</w:t>
            </w:r>
            <w:r/>
          </w:p>
        </w:tc>
        <w:tc>
          <w:tcPr>
            <w:tcBorders/>
          </w:tcPr>
          <w:p>
            <w:pPr>
              <w:pStyle w:val="964"/>
              <w:pBdr/>
              <w:spacing/>
              <w:ind/>
              <w:rPr/>
            </w:pPr>
            <w:r>
              <w:t xml:space="preserve">Sidq (Truthfulness)</w:t>
            </w:r>
            <w:r/>
          </w:p>
        </w:tc>
      </w:tr>
      <w:tr>
        <w:trPr/>
        <w:tc>
          <w:tcPr>
            <w:tcBorders/>
          </w:tcPr>
          <w:p>
            <w:pPr>
              <w:pStyle w:val="964"/>
              <w:pBdr/>
              <w:spacing/>
              <w:ind/>
              <w:rPr/>
            </w:pPr>
            <w:r/>
            <w:r/>
          </w:p>
        </w:tc>
        <w:tc>
          <w:tcPr>
            <w:tcBorders/>
          </w:tcPr>
          <w:p>
            <w:pPr>
              <w:pStyle w:val="964"/>
              <w:pBdr/>
              <w:spacing/>
              <w:ind/>
              <w:rPr/>
            </w:pPr>
            <w:r>
              <w:t xml:space="preserve">Unauthorized data collection</w:t>
            </w:r>
            <w:r/>
          </w:p>
        </w:tc>
        <w:tc>
          <w:tcPr>
            <w:tcBorders/>
          </w:tcPr>
          <w:p>
            <w:pPr>
              <w:pStyle w:val="964"/>
              <w:pBdr/>
              <w:spacing/>
              <w:ind/>
              <w:rPr/>
            </w:pPr>
            <w:r>
              <w:t xml:space="preserve">2.1.3.3</w:t>
            </w:r>
            <w:r/>
          </w:p>
        </w:tc>
        <w:tc>
          <w:tcPr>
            <w:tcBorders/>
          </w:tcPr>
          <w:p>
            <w:pPr>
              <w:pStyle w:val="964"/>
              <w:pBdr/>
              <w:spacing/>
              <w:ind/>
              <w:rPr/>
            </w:pPr>
            <w:r>
              <w:t xml:space="preserve">No Tajassus (No Spying)</w:t>
            </w:r>
            <w:r/>
          </w:p>
        </w:tc>
      </w:tr>
      <w:tr>
        <w:trPr/>
        <w:tc>
          <w:tcPr>
            <w:tcBorders/>
          </w:tcPr>
          <w:p>
            <w:pPr>
              <w:pStyle w:val="964"/>
              <w:pBdr/>
              <w:spacing/>
              <w:ind/>
              <w:rPr/>
            </w:pPr>
            <w:r/>
            <w:r/>
          </w:p>
        </w:tc>
        <w:tc>
          <w:tcPr>
            <w:tcBorders/>
          </w:tcPr>
          <w:p>
            <w:pPr>
              <w:pStyle w:val="964"/>
              <w:pBdr/>
              <w:spacing/>
              <w:ind/>
              <w:rPr/>
            </w:pPr>
            <w:r>
              <w:t xml:space="preserve">Surveillance capitalism</w:t>
            </w:r>
            <w:r/>
          </w:p>
        </w:tc>
        <w:tc>
          <w:tcPr>
            <w:tcBorders/>
          </w:tcPr>
          <w:p>
            <w:pPr>
              <w:pStyle w:val="964"/>
              <w:pBdr/>
              <w:spacing/>
              <w:ind/>
              <w:rPr/>
            </w:pPr>
            <w:r>
              <w:t xml:space="preserve">2.1.3.6</w:t>
            </w:r>
            <w:r/>
          </w:p>
        </w:tc>
        <w:tc>
          <w:tcPr>
            <w:tcBorders/>
          </w:tcPr>
          <w:p>
            <w:pPr>
              <w:pStyle w:val="964"/>
              <w:pBdr/>
              <w:spacing/>
              <w:ind/>
              <w:rPr/>
            </w:pPr>
            <w:r>
              <w:t xml:space="preserve">No Tajassus (No Spying)</w:t>
            </w:r>
            <w:r/>
          </w:p>
        </w:tc>
      </w:tr>
      <w:tr>
        <w:trPr/>
        <w:tc>
          <w:tcPr>
            <w:tcBorders/>
          </w:tcPr>
          <w:p>
            <w:pPr>
              <w:pStyle w:val="964"/>
              <w:pBdr/>
              <w:spacing/>
              <w:ind/>
              <w:rPr/>
            </w:pPr>
            <w:r>
              <w:rPr>
                <w:b/>
                <w:bCs/>
              </w:rPr>
              <w:t xml:space="preserve">Manipulation</w:t>
            </w:r>
            <w:r/>
          </w:p>
        </w:tc>
        <w:tc>
          <w:tcPr>
            <w:tcBorders/>
          </w:tcPr>
          <w:p>
            <w:pPr>
              <w:pStyle w:val="964"/>
              <w:pBdr/>
              <w:spacing/>
              <w:ind/>
              <w:rPr/>
            </w:pPr>
            <w:r>
              <w:t xml:space="preserve">Dark patterns in UI</w:t>
            </w:r>
            <w:r/>
          </w:p>
        </w:tc>
        <w:tc>
          <w:tcPr>
            <w:tcBorders/>
          </w:tcPr>
          <w:p>
            <w:pPr>
              <w:pStyle w:val="964"/>
              <w:pBdr/>
              <w:spacing/>
              <w:ind/>
              <w:rPr/>
            </w:pPr>
            <w:r>
              <w:t xml:space="preserve">2.1.3.11</w:t>
            </w:r>
            <w:r/>
          </w:p>
        </w:tc>
        <w:tc>
          <w:tcPr>
            <w:tcBorders/>
          </w:tcPr>
          <w:p>
            <w:pPr>
              <w:pStyle w:val="964"/>
              <w:pBdr/>
              <w:spacing/>
              <w:ind/>
              <w:rPr/>
            </w:pPr>
            <w:r>
              <w:t xml:space="preserve">No Ghish (No Deception)</w:t>
            </w:r>
            <w:r/>
          </w:p>
        </w:tc>
      </w:tr>
      <w:tr>
        <w:trPr/>
        <w:tc>
          <w:tcPr>
            <w:tcBorders/>
          </w:tcPr>
          <w:p>
            <w:pPr>
              <w:pStyle w:val="964"/>
              <w:pBdr/>
              <w:spacing/>
              <w:ind/>
              <w:rPr/>
            </w:pPr>
            <w:r/>
            <w:r/>
          </w:p>
        </w:tc>
        <w:tc>
          <w:tcPr>
            <w:tcBorders/>
          </w:tcPr>
          <w:p>
            <w:pPr>
              <w:pStyle w:val="964"/>
              <w:pBdr/>
              <w:spacing/>
              <w:ind/>
              <w:rPr/>
            </w:pPr>
            <w:r>
              <w:t xml:space="preserve">Psychological exploitation</w:t>
            </w:r>
            <w:r/>
          </w:p>
        </w:tc>
        <w:tc>
          <w:tcPr>
            <w:tcBorders/>
          </w:tcPr>
          <w:p>
            <w:pPr>
              <w:pStyle w:val="964"/>
              <w:pBdr/>
              <w:spacing/>
              <w:ind/>
              <w:rPr/>
            </w:pPr>
            <w:r>
              <w:t xml:space="preserve">2.1.3.10</w:t>
            </w:r>
            <w:r/>
          </w:p>
        </w:tc>
        <w:tc>
          <w:tcPr>
            <w:tcBorders/>
          </w:tcPr>
          <w:p>
            <w:pPr>
              <w:pStyle w:val="964"/>
              <w:pBdr/>
              <w:spacing/>
              <w:ind/>
              <w:rPr/>
            </w:pPr>
            <w:r>
              <w:t xml:space="preserve">La Darar (No Harm)</w:t>
            </w:r>
            <w:r/>
          </w:p>
        </w:tc>
      </w:tr>
      <w:tr>
        <w:trPr/>
        <w:tc>
          <w:tcPr>
            <w:tcBorders/>
          </w:tcPr>
          <w:p>
            <w:pPr>
              <w:pStyle w:val="964"/>
              <w:pBdr/>
              <w:spacing/>
              <w:ind/>
              <w:rPr/>
            </w:pPr>
            <w:r/>
            <w:r/>
          </w:p>
        </w:tc>
        <w:tc>
          <w:tcPr>
            <w:tcBorders/>
          </w:tcPr>
          <w:p>
            <w:pPr>
              <w:pStyle w:val="964"/>
              <w:pBdr/>
              <w:spacing/>
              <w:ind/>
              <w:rPr/>
            </w:pPr>
            <w:r>
              <w:t xml:space="preserve">Engagement maximization</w:t>
            </w:r>
            <w:r/>
          </w:p>
        </w:tc>
        <w:tc>
          <w:tcPr>
            <w:tcBorders/>
          </w:tcPr>
          <w:p>
            <w:pPr>
              <w:pStyle w:val="964"/>
              <w:pBdr/>
              <w:spacing/>
              <w:ind/>
              <w:rPr/>
            </w:pPr>
            <w:r>
              <w:t xml:space="preserve">2.1.3.21</w:t>
            </w:r>
            <w:r/>
          </w:p>
        </w:tc>
        <w:tc>
          <w:tcPr>
            <w:tcBorders/>
          </w:tcPr>
          <w:p>
            <w:pPr>
              <w:pStyle w:val="964"/>
              <w:pBdr/>
              <w:spacing/>
              <w:ind/>
              <w:rPr/>
            </w:pPr>
            <w:r>
              <w:t xml:space="preserve">Adab (Good Conduct)</w:t>
            </w:r>
            <w:r/>
          </w:p>
        </w:tc>
      </w:tr>
      <w:tr>
        <w:trPr/>
        <w:tc>
          <w:tcPr>
            <w:tcBorders/>
          </w:tcPr>
          <w:p>
            <w:pPr>
              <w:pStyle w:val="964"/>
              <w:pBdr/>
              <w:spacing/>
              <w:ind/>
              <w:rPr/>
            </w:pPr>
            <w:r>
              <w:rPr>
                <w:b/>
                <w:bCs/>
              </w:rPr>
              <w:t xml:space="preserve">Business</w:t>
            </w:r>
            <w:r/>
          </w:p>
        </w:tc>
        <w:tc>
          <w:tcPr>
            <w:tcBorders/>
          </w:tcPr>
          <w:p>
            <w:pPr>
              <w:pStyle w:val="964"/>
              <w:pBdr/>
              <w:spacing/>
              <w:ind/>
              <w:rPr/>
            </w:pPr>
            <w:r>
              <w:t xml:space="preserve">Enshittification cycle</w:t>
            </w:r>
            <w:r/>
          </w:p>
        </w:tc>
        <w:tc>
          <w:tcPr>
            <w:tcBorders/>
          </w:tcPr>
          <w:p>
            <w:pPr>
              <w:pStyle w:val="964"/>
              <w:pBdr/>
              <w:spacing/>
              <w:ind/>
              <w:rPr/>
            </w:pPr>
            <w:r>
              <w:t xml:space="preserve">2.1.3.17</w:t>
            </w:r>
            <w:r/>
          </w:p>
        </w:tc>
        <w:tc>
          <w:tcPr>
            <w:tcBorders/>
          </w:tcPr>
          <w:p>
            <w:pPr>
              <w:pStyle w:val="964"/>
              <w:pBdr/>
              <w:spacing/>
              <w:ind/>
              <w:rPr/>
            </w:pPr>
            <w:r>
              <w:t xml:space="preserve">Wafa (Keeping Promises)</w:t>
            </w:r>
            <w:r/>
          </w:p>
        </w:tc>
      </w:tr>
      <w:tr>
        <w:trPr/>
        <w:tc>
          <w:tcPr>
            <w:tcBorders/>
          </w:tcPr>
          <w:p>
            <w:pPr>
              <w:pStyle w:val="964"/>
              <w:pBdr/>
              <w:spacing/>
              <w:ind/>
              <w:rPr/>
            </w:pPr>
            <w:r/>
            <w:r/>
          </w:p>
        </w:tc>
        <w:tc>
          <w:tcPr>
            <w:tcBorders/>
          </w:tcPr>
          <w:p>
            <w:pPr>
              <w:pStyle w:val="964"/>
              <w:pBdr/>
              <w:spacing/>
              <w:ind/>
              <w:rPr/>
            </w:pPr>
            <w:r>
              <w:t xml:space="preserve">Clean-room or specification-based license circumvention used to capture open-source benefits without reciprocal duties</w:t>
            </w:r>
            <w:r/>
          </w:p>
        </w:tc>
        <w:tc>
          <w:tcPr>
            <w:tcBorders/>
          </w:tcPr>
          <w:p>
            <w:pPr>
              <w:pStyle w:val="964"/>
              <w:pBdr/>
              <w:spacing/>
              <w:ind/>
              <w:rPr/>
            </w:pPr>
            <w:r>
              <w:t xml:space="preserve">5.4.10 / Appendix D</w:t>
            </w:r>
            <w:r/>
          </w:p>
        </w:tc>
        <w:tc>
          <w:tcPr>
            <w:tcBorders/>
          </w:tcPr>
          <w:p>
            <w:pPr>
              <w:pStyle w:val="964"/>
              <w:pBdr/>
              <w:spacing/>
              <w:ind/>
              <w:rPr/>
            </w:pPr>
            <w:r>
              <w:t xml:space="preserve">Sidq (Truthfulness), Amanah (Trust)</w:t>
            </w:r>
            <w:r/>
          </w:p>
        </w:tc>
      </w:tr>
      <w:tr>
        <w:trPr/>
        <w:tc>
          <w:tcPr>
            <w:tcBorders/>
          </w:tcPr>
          <w:p>
            <w:pPr>
              <w:pStyle w:val="964"/>
              <w:pBdr/>
              <w:spacing/>
              <w:ind/>
              <w:rPr/>
            </w:pPr>
            <w:r/>
            <w:r/>
          </w:p>
        </w:tc>
        <w:tc>
          <w:tcPr>
            <w:tcBorders/>
          </w:tcPr>
          <w:p>
            <w:pPr>
              <w:pStyle w:val="964"/>
              <w:pBdr/>
              <w:spacing/>
              <w:ind/>
              <w:rPr/>
            </w:pPr>
            <w:r>
              <w:t xml:space="preserve">Vendor lock-in practices</w:t>
            </w:r>
            <w:r/>
          </w:p>
        </w:tc>
        <w:tc>
          <w:tcPr>
            <w:tcBorders/>
          </w:tcPr>
          <w:p>
            <w:pPr>
              <w:pStyle w:val="964"/>
              <w:pBdr/>
              <w:spacing/>
              <w:ind/>
              <w:rPr/>
            </w:pPr>
            <w:r>
              <w:t xml:space="preserve">2.1.3.18</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Predatory pricing</w:t>
            </w:r>
            <w:r/>
          </w:p>
        </w:tc>
        <w:tc>
          <w:tcPr>
            <w:tcBorders/>
          </w:tcPr>
          <w:p>
            <w:pPr>
              <w:pStyle w:val="964"/>
              <w:pBdr/>
              <w:spacing/>
              <w:ind/>
              <w:rPr/>
            </w:pPr>
            <w:r>
              <w:t xml:space="preserve">2.1.3.19</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Lifetime deal violations</w:t>
            </w:r>
            <w:r/>
          </w:p>
        </w:tc>
        <w:tc>
          <w:tcPr>
            <w:tcBorders/>
          </w:tcPr>
          <w:p>
            <w:pPr>
              <w:pStyle w:val="964"/>
              <w:pBdr/>
              <w:spacing/>
              <w:ind/>
              <w:rPr/>
            </w:pPr>
            <w:r>
              <w:t xml:space="preserve">2.1.3.12</w:t>
            </w:r>
            <w:r/>
          </w:p>
        </w:tc>
        <w:tc>
          <w:tcPr>
            <w:tcBorders/>
          </w:tcPr>
          <w:p>
            <w:pPr>
              <w:pStyle w:val="964"/>
              <w:pBdr/>
              <w:spacing/>
              <w:ind/>
              <w:rPr/>
            </w:pPr>
            <w:r>
              <w:t xml:space="preserve">Wafa (Keeping Promises)</w:t>
            </w:r>
            <w:r/>
          </w:p>
        </w:tc>
      </w:tr>
      <w:tr>
        <w:trPr/>
        <w:tc>
          <w:tcPr>
            <w:tcBorders/>
          </w:tcPr>
          <w:p>
            <w:pPr>
              <w:pStyle w:val="964"/>
              <w:pBdr/>
              <w:spacing/>
              <w:ind/>
              <w:rPr/>
            </w:pPr>
            <w:r>
              <w:rPr>
                <w:b/>
                <w:bCs/>
              </w:rPr>
              <w:t xml:space="preserve">Competition</w:t>
            </w:r>
            <w:r/>
          </w:p>
        </w:tc>
        <w:tc>
          <w:tcPr>
            <w:tcBorders/>
          </w:tcPr>
          <w:p>
            <w:pPr>
              <w:pStyle w:val="964"/>
              <w:pBdr/>
              <w:spacing/>
              <w:ind/>
              <w:rPr/>
            </w:pPr>
            <w:r>
              <w:t xml:space="preserve">Unfair competition practices</w:t>
            </w:r>
            <w:r/>
          </w:p>
        </w:tc>
        <w:tc>
          <w:tcPr>
            <w:tcBorders/>
          </w:tcPr>
          <w:p>
            <w:pPr>
              <w:pStyle w:val="964"/>
              <w:pBdr/>
              <w:spacing/>
              <w:ind/>
              <w:rPr/>
            </w:pPr>
            <w:r>
              <w:t xml:space="preserve">2.1.3.16</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Trademark abuse</w:t>
            </w:r>
            <w:r/>
          </w:p>
        </w:tc>
        <w:tc>
          <w:tcPr>
            <w:tcBorders/>
          </w:tcPr>
          <w:p>
            <w:pPr>
              <w:pStyle w:val="964"/>
              <w:pBdr/>
              <w:spacing/>
              <w:ind/>
              <w:rPr/>
            </w:pPr>
            <w:r>
              <w:t xml:space="preserve">2.1.3.16</w:t>
            </w:r>
            <w:r/>
          </w:p>
        </w:tc>
        <w:tc>
          <w:tcPr>
            <w:tcBorders/>
          </w:tcPr>
          <w:p>
            <w:pPr>
              <w:pStyle w:val="964"/>
              <w:pBdr/>
              <w:spacing/>
              <w:ind/>
              <w:rPr/>
            </w:pPr>
            <w:r>
              <w:t xml:space="preserve">Adl (Justice)</w:t>
            </w:r>
            <w:r/>
          </w:p>
        </w:tc>
      </w:tr>
      <w:tr>
        <w:trPr/>
        <w:tc>
          <w:tcPr>
            <w:tcBorders/>
          </w:tcPr>
          <w:p>
            <w:pPr>
              <w:pStyle w:val="964"/>
              <w:pBdr/>
              <w:spacing/>
              <w:ind/>
              <w:rPr/>
            </w:pPr>
            <w:r/>
            <w:r/>
          </w:p>
        </w:tc>
        <w:tc>
          <w:tcPr>
            <w:tcBorders/>
          </w:tcPr>
          <w:p>
            <w:pPr>
              <w:pStyle w:val="964"/>
              <w:pBdr/>
              <w:spacing/>
              <w:ind/>
              <w:rPr/>
            </w:pPr>
            <w:r>
              <w:t xml:space="preserve">Reputation attacks</w:t>
            </w:r>
            <w:r/>
          </w:p>
        </w:tc>
        <w:tc>
          <w:tcPr>
            <w:tcBorders/>
          </w:tcPr>
          <w:p>
            <w:pPr>
              <w:pStyle w:val="964"/>
              <w:pBdr/>
              <w:spacing/>
              <w:ind/>
              <w:rPr/>
            </w:pPr>
            <w:r>
              <w:t xml:space="preserve">2.1.3.16</w:t>
            </w:r>
            <w:r/>
          </w:p>
        </w:tc>
        <w:tc>
          <w:tcPr>
            <w:tcBorders/>
          </w:tcPr>
          <w:p>
            <w:pPr>
              <w:pStyle w:val="964"/>
              <w:pBdr/>
              <w:spacing/>
              <w:ind/>
              <w:rPr/>
            </w:pPr>
            <w:r>
              <w:t xml:space="preserve">La Darar (No Harm)</w:t>
            </w:r>
            <w:r/>
          </w:p>
        </w:tc>
      </w:tr>
    </w:tbl>
    <w:p>
      <w:pPr>
        <w:pStyle w:val="962"/>
        <w:pBdr/>
        <w:spacing/>
        <w:ind/>
        <w:rPr/>
      </w:pPr>
      <w:r>
        <w:t xml:space="preserve">This table provides a quick reference for practitioners evaluating whether specific practices violate I-VSD principles. For detailed discussion of each anti-pattern, refer to the corresponding section in Chapter 2.</w:t>
      </w:r>
      <w:r/>
    </w:p>
    <w:p>
      <w:pPr>
        <w:pStyle w:val="962"/>
        <w:pBdr/>
        <w:spacing/>
        <w:ind/>
        <w:rPr/>
      </w:pPr>
      <w:r>
        <w:t xml:space="preserve">The open-source marketing row should be read as an anti-pattern category, not as a judg</w:t>
      </w:r>
      <w:r>
        <w:t xml:space="preserve">ment on every open-core business model. The ethical problem arises when marketing borrows the trust, auditability, and community symbolism of open source while withholding the practical freedoms or parity that users reasonably associate with that language.</w:t>
      </w:r>
      <w:r/>
    </w:p>
    <w:p>
      <w:pPr>
        <w:pStyle w:val="962"/>
        <w:pBdr/>
        <w:spacing/>
        <w:ind/>
        <w:rPr/>
      </w:pPr>
      <w:r>
        <w:rPr>
          <w:b/>
          <w:bCs/>
        </w:rPr>
        <w:t xml:space="preserve">Expanded open-source governance caution:</w:t>
      </w:r>
      <w:r>
        <w:t xml:space="preserve"> A product may publish source code while withholding th</w:t>
      </w:r>
      <w:r>
        <w:t xml:space="preserve">e operational wrapper that makes the hosted service practically reproducible: provisioning, multi-tenancy, billing, metering, administration, and deployment documentation. I-VSD should evaluate whether this difference is honestly disclosed and morally just</w:t>
      </w:r>
      <w:r>
        <w:t xml:space="preserve">ified. Similarly, license-compatibility tactics should not be treated as automatically ethical merely because they may be legally defensible. The moral question is whether the organization respects the reciprocal ecosystem that made the software available.</w:t>
      </w:r>
      <w:r/>
    </w:p>
    <w:p>
      <w:pPr>
        <w:pStyle w:val="962"/>
        <w:pBdr/>
        <w:spacing/>
        <w:ind/>
        <w:rPr/>
      </w:pPr>
      <w:r>
        <w:t xml:space="preserve">License-bypass and AI-vendor incident notes require especially cautious handling. License-</w:t>
      </w:r>
      <w:r>
        <w:t xml:space="preserve">bypass scenarios are useful as a moral distinction between legal compatibility strategies and value-aligned reciprocity, but they should not be treated as legal advice. Fast-moving AI vendor incident timelines are useful only when claims are checked agains</w:t>
      </w:r>
      <w:r>
        <w:t xml:space="preserve">t primary sources such as official postmortems, status records, or public issue trackers. Public license-violation and DMCA disputes should be phrased as an alleged/license-compliance dispute unless quoting the DMCA notice or maintainer responses directly.</w:t>
      </w:r>
      <w:r/>
    </w:p>
    <w:p>
      <w:pPr>
        <w:pStyle w:val="962"/>
        <w:pBdr/>
        <w:spacing/>
        <w:ind/>
        <w:rPr/>
      </w:pPr>
      <w:r>
        <w:t xml:space="preserve">Additional source-integration cautions from the recovered inbox notes:</w:t>
      </w:r>
      <w:r/>
    </w:p>
    <w:p>
      <w:pPr>
        <w:pStyle w:val="964"/>
        <w:numPr>
          <w:ilvl w:val="0"/>
          <w:numId w:val="254"/>
        </w:numPr>
        <w:pBdr/>
        <w:spacing/>
        <w:ind/>
        <w:rPr/>
      </w:pPr>
      <w:r>
        <w:rPr>
          <w:b/>
          <w:bCs/>
        </w:rPr>
        <w:t xml:space="preserve">Open-source association versus practical freedom:</w:t>
      </w:r>
      <w:r>
        <w:t xml:space="preserve"> A product can be source-visible while still denying practical f</w:t>
      </w:r>
      <w:r>
        <w:t xml:space="preserve">reedom through missing SaaS wrappers, proprietary multi-tenancy, undocumented billing systems, or intentionally weak self-hosting parity. The anti-pattern is borrowing the trust of open source while withholding the freedoms that made that trust meaningful.</w:t>
      </w:r>
      <w:r/>
    </w:p>
    <w:p>
      <w:pPr>
        <w:pStyle w:val="964"/>
        <w:numPr>
          <w:ilvl w:val="0"/>
          <w:numId w:val="254"/>
        </w:numPr>
        <w:pBdr/>
        <w:spacing/>
        <w:ind/>
        <w:rPr/>
      </w:pPr>
      <w:r>
        <w:rPr>
          <w:b/>
          <w:bCs/>
        </w:rPr>
        <w:t xml:space="preserve">License loophole ethics:</w:t>
      </w:r>
      <w:r>
        <w:t xml:space="preserve"> A technically legal compatibility or clean-room strategy can still be morally questionable if it deliberately avoids reciprocal duties while depending on the labor of an open community. This should be framed as an ethical caution, not as legal advice.</w:t>
      </w:r>
      <w:r/>
    </w:p>
    <w:p>
      <w:pPr>
        <w:pStyle w:val="964"/>
        <w:numPr>
          <w:ilvl w:val="0"/>
          <w:numId w:val="254"/>
        </w:numPr>
        <w:pBdr/>
        <w:spacing/>
        <w:ind/>
        <w:rPr/>
      </w:pPr>
      <w:r>
        <w:rPr>
          <w:b/>
          <w:bCs/>
        </w:rPr>
        <w:t xml:space="preserve">Alleged compliance disputes:</w:t>
      </w:r>
      <w:r>
        <w:t xml:space="preserve"> Public disputes such as reported DMCA takedowns, AGPL</w:t>
      </w:r>
      <w:r>
        <w:t xml:space="preserve"> interpretation disagreements, or attribution conflicts should be described as alleged or contested unless primary documents are quoted directly. The thesis can still use them as examples of why unclear licensing and poor provenance practices damage trust.</w:t>
      </w:r>
      <w:r/>
    </w:p>
    <w:p>
      <w:pPr>
        <w:pStyle w:val="964"/>
        <w:numPr>
          <w:ilvl w:val="0"/>
          <w:numId w:val="254"/>
        </w:numPr>
        <w:pBdr/>
        <w:spacing/>
        <w:ind/>
        <w:rPr/>
      </w:pPr>
      <w:r>
        <w:rPr>
          <w:b/>
          <w:bCs/>
        </w:rPr>
        <w:t xml:space="preserve">AI vendor and infrastructure incidents:</w:t>
      </w:r>
      <w:r>
        <w:t xml:space="preserve"> Fast-moving incident timelines should not become broad verdicts on a vendor. Their thesis value is to identify risk categories: destructive permissions, backup isolation, token scoping, postmortem transparency, and operational governance.</w:t>
      </w:r>
      <w:r/>
    </w:p>
    <w:p>
      <w:pPr>
        <w:pStyle w:val="964"/>
        <w:numPr>
          <w:ilvl w:val="0"/>
          <w:numId w:val="254"/>
        </w:numPr>
        <w:pBdr/>
        <w:spacing/>
        <w:ind/>
        <w:rPr/>
      </w:pPr>
      <w:r>
        <w:rPr>
          <w:b/>
          <w:bCs/>
        </w:rPr>
        <w:t xml:space="preserve">Closed source nuance:</w:t>
      </w:r>
      <w:r>
        <w:t xml:space="preserve"> Closed source is not automatically immoral. The moral</w:t>
      </w:r>
      <w:r>
        <w:t xml:space="preserve"> problem appears when organizations use openness as marketing when useful, hide practical freedoms when profitable, or justify closure with misleading reasons rather than honest constraints such as security, maintenance capacity, or responsible disclosure.</w:t>
      </w:r>
      <w:r/>
    </w:p>
    <w:p>
      <w:pPr>
        <w:pBdr/>
        <w:spacing/>
        <w:ind/>
        <w:rPr/>
      </w:pPr>
      <w:r>
        <mc:AlternateContent>
          <mc:Choice Requires="wpg">
            <w:drawing>
              <wp:inline xmlns:wp="http://schemas.openxmlformats.org/drawingml/2006/wordprocessingDrawing" distT="0" distB="0" distL="0" distR="0">
                <wp:extent cx="0" cy="19050"/>
                <wp:effectExtent l="0" t="0" r="0" b="0"/>
                <wp:docPr id="17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69" o:spid="_x0000_s169" o:spt="1" type="#_x0000_t1" style="width:0.00pt;height:1.50pt;mso-wrap-distance-left:0.00pt;mso-wrap-distance-top:0.00pt;mso-wrap-distance-right:0.00pt;mso-wrap-distance-bottom:0.00pt;visibility:visible;" fillcolor="#FFFFFF" strokecolor="#000000"/>
            </w:pict>
          </mc:Fallback>
        </mc:AlternateContent>
      </w:r>
      <w:bookmarkEnd w:id="246"/>
      <w:r/>
    </w:p>
    <w:p>
      <w:pPr>
        <w:pStyle w:val="977"/>
        <w:pBdr/>
        <w:spacing/>
        <w:ind/>
        <w:rPr/>
      </w:pPr>
      <w:r/>
      <w:bookmarkStart w:id="276" w:name="Xeb9aaa7945a5b6faa0c3a82cd322f5e423470c6"/>
      <w:r>
        <w:t xml:space="preserve">D.2 Preserved Extended Industry Harm Catalogue</w:t>
      </w:r>
      <w:r/>
    </w:p>
    <w:p>
      <w:pPr>
        <w:pStyle w:val="963"/>
        <w:pBdr/>
        <w:spacing/>
        <w:ind/>
        <w:rPr/>
      </w:pPr>
      <w:r>
        <w:t xml:space="preserve">The following subsections restore the detailed pre-refactor Chapter 2 harm catalogue into the appendix. Headings are preserved for traceability; wording has only been lightly normalized where necessary to avoid overstating empirical claims.</w:t>
      </w:r>
      <w:r/>
    </w:p>
    <w:p>
      <w:pPr>
        <w:pStyle w:val="978"/>
        <w:pBdr/>
        <w:spacing/>
        <w:ind/>
        <w:rPr/>
      </w:pPr>
      <w:r/>
      <w:bookmarkStart w:id="247" w:name="Xffcb8376d8d821904fb1ba6412193f4f09979b4"/>
      <w:r>
        <w:t xml:space="preserve">Restored original notes from 2.1.3.A-Labor-and-Exploitation-Violations</w:t>
      </w:r>
      <w:bookmarkEnd w:id="247"/>
      <w:r/>
    </w:p>
    <w:p>
      <w:pPr>
        <w:pStyle w:val="978"/>
        <w:pBdr/>
        <w:spacing/>
        <w:ind/>
        <w:rPr/>
      </w:pPr>
      <w:r/>
      <w:bookmarkStart w:id="250" w:name="a-labor-and-exploitation-violations"/>
      <w:r>
        <w:t xml:space="preserve">2.1.3.A Labor and Exploitation Violations</w:t>
      </w:r>
      <w:r/>
    </w:p>
    <w:p>
      <w:pPr>
        <w:pStyle w:val="963"/>
        <w:pBdr/>
        <w:spacing/>
        <w:ind/>
        <w:rPr/>
      </w:pPr>
      <w:r>
        <w:rPr>
          <w:b/>
          <w:bCs/>
        </w:rPr>
        <w:t xml:space="preserve">2.1.3.1 Unpaid Labor and Exploitation</w:t>
      </w:r>
      <w:r/>
    </w:p>
    <w:p>
      <w:pPr>
        <w:pStyle w:val="962"/>
        <w:pBdr/>
        <w:spacing/>
        <w:ind/>
        <w:rPr/>
      </w:pPr>
      <w:r>
        <w:t xml:space="preserve">Software companies fr</w:t>
      </w:r>
      <w:r>
        <w:t xml:space="preserve">equently exploit contributors through unpaid labor accompanied by false promises of employment, recruiting developers under false pretenses primarily to enhance investor perception, and using open-source contributions without proper compensation or credit.</w:t>
      </w:r>
      <w:r/>
    </w:p>
    <w:p>
      <w:pPr>
        <w:pStyle w:val="962"/>
        <w:pBdr/>
        <w:spacing/>
        <w:ind/>
        <w:rPr/>
      </w:pPr>
      <w:r>
        <w:t xml:space="preserve">Meta (</w:t>
      </w:r>
      <w:r>
        <w:t xml:space="preserve">Facebook) provides a stark example of intern exploitation, having provided verbal return offers to interns only to rescind them while attempting to hide this betrayal from the affected individuals. This practice shows deception in employment practices, dis</w:t>
      </w:r>
      <w:r>
        <w:t xml:space="preserve">regard for employee welfare, and prioritization of company interests over moral obligations. Google engaged in similar behavior by providing verbal offers followed by contracts arriving 1.5 years later, forcing candidates into unacceptable waiting periods.</w:t>
      </w:r>
      <w:r/>
    </w:p>
    <w:p>
      <w:pPr>
        <w:pStyle w:val="962"/>
        <w:pBdr/>
        <w:spacing/>
        <w:ind/>
        <w:rPr/>
      </w:pPr>
      <w:r>
        <w:t xml:space="preserve">Open source exploitation follows similar patterns. One</w:t>
      </w:r>
      <w:r>
        <w:t xml:space="preserve"> developer created a marketplace application that Microsoft contacted him about, expressing interest in partnership. Microsoft proceeded to use his open-source project but failed to follow through on the partnership and did not provide credit for his work.</w:t>
      </w:r>
      <w:r/>
    </w:p>
    <w:p>
      <w:pPr>
        <w:pStyle w:val="962"/>
        <w:pBdr/>
        <w:spacing/>
        <w:ind/>
        <w:rPr/>
      </w:pPr>
      <w:r>
        <w:t xml:space="preserve">These practices violate the Islamic principles of Amanah (trust), honesty in employment contracts, and the prohibition against consuming the rights of workers.</w:t>
      </w:r>
      <w:r/>
    </w:p>
    <w:p>
      <w:pPr>
        <w:pStyle w:val="962"/>
        <w:pBdr/>
        <w:spacing/>
        <w:ind/>
        <w:rPr/>
      </w:pPr>
      <w:r>
        <w:rPr>
          <w:b/>
          <w:bCs/>
        </w:rPr>
        <w:t xml:space="preserve">Sources:</w:t>
      </w:r>
      <w:r/>
    </w:p>
    <w:p>
      <w:pPr>
        <w:pStyle w:val="964"/>
        <w:numPr>
          <w:ilvl w:val="0"/>
          <w:numId w:val="255"/>
        </w:numPr>
        <w:pBdr/>
        <w:spacing/>
        <w:ind/>
        <w:rPr/>
      </w:pPr>
      <w:r>
        <w:t xml:space="preserve">YouTube analysis: </w:t>
      </w:r>
      <w:hyperlink r:id="rId71" w:tooltip="https://youtu.be/KVyCKFk4hcQ?si=Q7DUVHVdIxhmYV9h" w:history="1">
        <w:r>
          <w:rPr>
            <w:rStyle w:val="1008"/>
          </w:rPr>
          <w:t xml:space="preserve">https://youtu.be/KVyCKFk4hcQ?si=Q7DUVHVdIxhmYV9h</w:t>
        </w:r>
      </w:hyperlink>
      <w:r/>
      <w:r/>
    </w:p>
    <w:p>
      <w:pPr>
        <w:pStyle w:val="964"/>
        <w:numPr>
          <w:ilvl w:val="0"/>
          <w:numId w:val="255"/>
        </w:numPr>
        <w:pBdr/>
        <w:spacing/>
        <w:ind/>
        <w:rPr/>
      </w:pPr>
      <w:r>
        <w:t xml:space="preserve">The New York Times coverage of internship exploitation</w:t>
      </w:r>
      <w:r/>
    </w:p>
    <w:p>
      <w:pPr>
        <w:pStyle w:val="963"/>
        <w:pBdr/>
        <w:spacing/>
        <w:ind/>
        <w:rPr/>
      </w:pPr>
      <w:r>
        <w:rPr>
          <w:b/>
          <w:bCs/>
        </w:rPr>
        <w:t xml:space="preserve">2.1.3.2 Malware and Deceptive Software</w:t>
      </w:r>
      <w:r/>
    </w:p>
    <w:p>
      <w:pPr>
        <w:pStyle w:val="962"/>
        <w:pBdr/>
        <w:spacing/>
        <w:ind/>
        <w:rPr/>
      </w:pPr>
      <w:r>
        <w:t xml:space="preserve">Deceptiv</w:t>
      </w:r>
      <w:r>
        <w:t xml:space="preserve">e software services operate by exploiting user trust through software that cannot be uninstalled after installation, that lies to users about detected threats to convert them to paid users, and that operates as malware while claiming to protect against it.</w:t>
      </w:r>
      <w:r/>
    </w:p>
    <w:p>
      <w:pPr>
        <w:pStyle w:val="962"/>
        <w:pBdr/>
        <w:spacing/>
        <w:ind/>
        <w:rPr/>
      </w:pPr>
      <w:r>
        <w:t xml:space="preserve">A documented personal e</w:t>
      </w:r>
      <w:r>
        <w:t xml:space="preserve">xperience illustrates this pattern: a malware protection tool claimed to detect Trojan viruses on a brand new laptop, yet multiple other security tools including Malwarebytes and Windows Defender detected no threats whatsoever. The software only offered to</w:t>
      </w:r>
      <w:r>
        <w:t xml:space="preserve"> </w:t>
      </w:r>
      <w:r>
        <w:t xml:space="preserve">“remove”</w:t>
      </w:r>
      <w:r>
        <w:t xml:space="preserve"> </w:t>
      </w:r>
      <w:r>
        <w:t xml:space="preserve">the non-existent virus if the user purchased a paid license, and user forums confirmed this was a scam operation designed to extract payment through fear.</w:t>
      </w:r>
      <w:r/>
    </w:p>
    <w:p>
      <w:pPr>
        <w:pStyle w:val="962"/>
        <w:pBdr/>
        <w:spacing/>
        <w:ind/>
        <w:rPr/>
      </w:pPr>
      <w:r>
        <w:t xml:space="preserve">TLauncher presents another example of deceptive software behavior by blocking users from visiting competitor websites, constituting both malware behavior and anti-competitive practices.</w:t>
      </w:r>
      <w:r/>
    </w:p>
    <w:p>
      <w:pPr>
        <w:pStyle w:val="962"/>
        <w:pBdr/>
        <w:spacing/>
        <w:ind/>
        <w:rPr/>
      </w:pPr>
      <w:r>
        <w:rPr>
          <w:i/>
          <w:iCs/>
        </w:rPr>
        <w:t xml:space="preserve">Islamic Perspective: See Section 2.1.3.Z for consolidated Islamic guidance on deception and fraudulent software.</w:t>
      </w:r>
      <w:r/>
    </w:p>
    <w:p>
      <w:pPr>
        <w:pStyle w:val="962"/>
        <w:pBdr/>
        <w:spacing/>
        <w:ind/>
        <w:rPr/>
      </w:pPr>
      <w:r>
        <w:rPr>
          <w:b/>
          <w:bCs/>
        </w:rPr>
        <w:t xml:space="preserve">2.1.3.3 Data Security, Privacy, and Trust Violations</w:t>
      </w:r>
      <w:r/>
    </w:p>
    <w:p>
      <w:pPr>
        <w:pStyle w:val="962"/>
        <w:pBdr/>
        <w:spacing/>
        <w:ind/>
        <w:rPr/>
      </w:pPr>
      <w:r>
        <w:t xml:space="preserve">Consumers trust software service providers with their personal data, creating a moral obligation for proper stewardship. Unfortunately, violations of this trust are widespread across both security and privacy dimensions.</w:t>
      </w:r>
      <w:r/>
    </w:p>
    <w:p>
      <w:pPr>
        <w:pStyle w:val="962"/>
        <w:pBdr/>
        <w:spacing/>
        <w:ind/>
        <w:rPr/>
      </w:pPr>
      <w:r>
        <w:t xml:space="preserve">Security failures in software services include inadequat</w:t>
      </w:r>
      <w:r>
        <w:t xml:space="preserve">e backup systems leading to irreversible data loss, weak password protection that fails to implement proper hashing, salting, or peppering, data breaches that expose user information on the dark web, and systematic failure to comply with GDPR requirements.</w:t>
      </w:r>
      <w:r/>
    </w:p>
    <w:p>
      <w:pPr>
        <w:pStyle w:val="962"/>
        <w:pBdr/>
        <w:spacing/>
        <w:ind/>
        <w:rPr/>
      </w:pPr>
      <w:r>
        <w:rPr>
          <w:b/>
          <w:bCs/>
        </w:rPr>
        <w:t xml:space="preserve">Delayed Security Patching: The Keycloak 2FA Bypass Case</w:t>
      </w:r>
      <w:r/>
    </w:p>
    <w:p>
      <w:pPr>
        <w:pStyle w:val="962"/>
        <w:pBdr/>
        <w:spacing/>
        <w:ind/>
        <w:rPr/>
      </w:pPr>
      <w:r>
        <w:t xml:space="preserve">A particularly egregious pattern involves companies leaving known security </w:t>
      </w:r>
      <w:r>
        <w:t xml:space="preserve">vulnerabilities unpatched for extended periods. The Keycloak two-factor authentication bypass vulnerability exemplifies this problem. When a security researcher discovered a method to bypass Keycloak’s 2FA protections—potentially exposing all accounts usin</w:t>
      </w:r>
      <w:r>
        <w:t xml:space="preserve">g this widely-deployed open-source identity and access management solution—the vulnerability remained unpatched for months despite being reported. During this period, organizations relying on Keycloak’s security remained vulnerable without their knowledge.</w:t>
      </w:r>
      <w:r/>
    </w:p>
    <w:p>
      <w:pPr>
        <w:pStyle w:val="962"/>
        <w:pBdr/>
        <w:spacing/>
        <w:ind/>
        <w:rPr/>
      </w:pPr>
      <w:r>
        <w:t xml:space="preserve">This pattern of delayed security response reveals a systemic failure: even when companies are informed of critical vulnerabilities, other priorities (feature development, cost red</w:t>
      </w:r>
      <w:r>
        <w:t xml:space="preserve">uction, scheduled release cycles) often take precedence over user protection. Users who trust that their accounts are protected by two-factor authentication have no way to know that this protection has been compromised while the company delays remediation.</w:t>
      </w:r>
      <w:r/>
    </w:p>
    <w:p>
      <w:pPr>
        <w:pStyle w:val="962"/>
        <w:pBdr/>
        <w:spacing/>
        <w:ind/>
        <w:rPr/>
      </w:pPr>
      <w:r>
        <w:t xml:space="preserve">Privacy violations compound these security failures through unauthorized </w:t>
      </w:r>
      <w:r>
        <w:t xml:space="preserve">tracking cookies and third-party analytics, selling user data to undisclosed parties, transferring user data to new owners without verification of their trustworthiness, and conducting surveillance through IoT devices that users believed were serving them.</w:t>
      </w:r>
      <w:r/>
    </w:p>
    <w:p>
      <w:pPr>
        <w:pStyle w:val="962"/>
        <w:pBdr/>
        <w:spacing/>
        <w:ind/>
        <w:rPr/>
      </w:pPr>
      <w:r>
        <w:t xml:space="preserve">One programmer discovered his smart vacuum was filming and scanning his home while transmitting Wi-Fi passwords, telemetry, and audio/video data to company servers without proper disclosure (Source: </w:t>
      </w:r>
      <w:hyperlink r:id="rId72" w:tooltip="https://80.lv/articles/programmer-discovers-his-smart-vacuum-was-spying-on-him?ref=dailydev" w:history="1">
        <w:r>
          <w:rPr>
            <w:rStyle w:val="1008"/>
          </w:rPr>
          <w:t xml:space="preserve">https://80.lv/articles/programmer-discovers-his-smart-vacuum-was-spying-on-him?ref=dailydev</w:t>
        </w:r>
      </w:hyperlink>
      <w:r>
        <w:t xml:space="preserve">). In a more complex case, law enforcement created a fake ultra-privacy phone OS based on GrapheneOS with hidden backdoors. While this operation caught criminals, it raised profound moral questions about contributing to tools</w:t>
      </w:r>
      <w:r>
        <w:t xml:space="preserve"> that enable evil by allowing planned crimes to proceed in order to catch more criminals, the moral calculus of allowing harm to innocents versus stopping more harm later, and the ethics of deception and betrayal of trust even for ostensibly good purposes.</w:t>
      </w:r>
      <w:r/>
    </w:p>
    <w:p>
      <w:pPr>
        <w:pStyle w:val="962"/>
        <w:pBdr/>
        <w:spacing/>
        <w:ind/>
        <w:rPr/>
      </w:pPr>
      <w:r>
        <w:t xml:space="preserve">From an Islamic perspective, these matters require clear guidance. Amanah (trustworthiness) with user data is obligatory. Transparency about data collection an</w:t>
      </w:r>
      <w:r>
        <w:t xml:space="preserve">d usage is required. Proper security measures constitute part of maintaining trust. Selling or sharing data without explicit, informed consent is prohibited. When companies change ownership, new owners must be verified as trustworthy stewards of user data.</w:t>
      </w:r>
      <w:r/>
    </w:p>
    <w:p>
      <w:pPr>
        <w:pBdr/>
        <w:spacing/>
        <w:ind/>
        <w:rPr/>
      </w:pPr>
      <w:r>
        <mc:AlternateContent>
          <mc:Choice Requires="wpg">
            <w:drawing>
              <wp:inline xmlns:wp="http://schemas.openxmlformats.org/drawingml/2006/wordprocessingDrawing" distT="0" distB="0" distL="0" distR="0">
                <wp:extent cx="0" cy="19050"/>
                <wp:effectExtent l="0" t="0" r="0" b="0"/>
                <wp:docPr id="17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0" o:spid="_x0000_s170" o:spt="1" type="#_x0000_t1" style="width:0.00pt;height:1.50pt;mso-wrap-distance-left:0.00pt;mso-wrap-distance-top:0.00pt;mso-wrap-distance-right:0.00pt;mso-wrap-distance-bottom:0.00pt;visibility:visible;" fillcolor="#FFFFFF" strokecolor="#000000"/>
            </w:pict>
          </mc:Fallback>
        </mc:AlternateContent>
      </w:r>
      <w:bookmarkEnd w:id="250"/>
      <w:r/>
    </w:p>
    <w:p>
      <w:pPr>
        <w:pStyle w:val="978"/>
        <w:pBdr/>
        <w:spacing/>
        <w:ind/>
        <w:rPr/>
      </w:pPr>
      <w:r/>
      <w:bookmarkStart w:id="251" w:name="X40b3bc8a16ca9f3dd1edba384a60e46a41903dd"/>
      <w:r>
        <w:t xml:space="preserve">Restored original notes from 2.1.3.B-Deception-and-Fraud</w:t>
      </w:r>
      <w:bookmarkEnd w:id="251"/>
      <w:r/>
    </w:p>
    <w:p>
      <w:pPr>
        <w:pStyle w:val="978"/>
        <w:pBdr/>
        <w:spacing/>
        <w:ind/>
        <w:rPr/>
      </w:pPr>
      <w:r/>
      <w:bookmarkStart w:id="255" w:name="b-deception-and-fraud"/>
      <w:r>
        <w:t xml:space="preserve">2.1.3.B Deception and Fraud</w:t>
      </w:r>
      <w:r/>
    </w:p>
    <w:p>
      <w:pPr>
        <w:pStyle w:val="963"/>
        <w:pBdr/>
        <w:spacing/>
        <w:ind/>
        <w:rPr/>
      </w:pPr>
      <w:r>
        <w:rPr>
          <w:b/>
          <w:bCs/>
        </w:rPr>
        <w:t xml:space="preserve">2.1.3.4 VPN Services and False Privacy Claims</w:t>
      </w:r>
      <w:r/>
    </w:p>
    <w:p>
      <w:pPr>
        <w:pStyle w:val="962"/>
        <w:pBdr/>
        <w:spacing/>
        <w:ind/>
        <w:rPr/>
      </w:pPr>
      <w:r>
        <w:t xml:space="preserve">VPN services promote privacy and </w:t>
      </w:r>
      <w:r>
        <w:t xml:space="preserve">safety while many show the opposite through logging user data despite claims otherwise, cooperating with authorities without disclosure, selling user data to third parties, and employing untrustworthy practices particularly common among free VPN providers.</w:t>
      </w:r>
      <w:r/>
    </w:p>
    <w:p>
      <w:pPr>
        <w:pStyle w:val="962"/>
        <w:pBdr/>
        <w:spacing/>
        <w:ind/>
        <w:rPr/>
      </w:pPr>
      <w:r>
        <w:t xml:space="preserve">All companies that market absolute privacy are hiding a fundamental truth: nothing can guarantee 100% privacy. Technical limitations that un</w:t>
      </w:r>
      <w:r>
        <w:t xml:space="preserve">dermine privacy claims include AI-guided traffic analysis, fingerprinting through OS, browser, window size, WebGL rendering, and processor/GPU information, VPN providers that log details or cooperate with authorities, Tor network vulnerabilities when the s</w:t>
      </w:r>
      <w:r>
        <w:t xml:space="preserve">ame entity owns entry and exit nodes, user errors that break anonymity such as inputting identifiable information, malware or spyware on user devices, and behavioral patterns unique to individual users. (Sources: Mullvad VPN on AI-guided Traffic Analysis: </w:t>
      </w:r>
      <w:hyperlink r:id="rId73" w:tooltip="https://mullvad.net/en/vpn/daita" w:history="1">
        <w:r>
          <w:rPr>
            <w:rStyle w:val="1008"/>
          </w:rPr>
          <w:t xml:space="preserve">https://mullvad.net/en/vpn/daita</w:t>
        </w:r>
      </w:hyperlink>
      <w:r>
        <w:t xml:space="preserve">; Browser Fingerprinting explanation: </w:t>
      </w:r>
      <w:hyperlink r:id="rId74" w:tooltip="https://youtu.be/piftpgsZE9g?si=aZrpaREWEnB1qdZQ" w:history="1">
        <w:r>
          <w:rPr>
            <w:rStyle w:val="1008"/>
          </w:rPr>
          <w:t xml:space="preserve">https://youtu.be/piftpgsZE9g?si=aZrpaREWEnB1qdZQ</w:t>
        </w:r>
      </w:hyperlink>
      <w:r>
        <w:t xml:space="preserve">)</w:t>
      </w:r>
      <w:r/>
    </w:p>
    <w:p>
      <w:pPr>
        <w:pStyle w:val="962"/>
        <w:pBdr/>
        <w:spacing/>
        <w:ind/>
        <w:rPr/>
      </w:pPr>
      <w:r>
        <w:t xml:space="preserve">Case studies show these vulnerabilities in practice. In one case, a criminal used both VPN and Tor, and the VPN provider didn’t own exit nodes, which seemed like ultimate privacy. However, he was caught by correlating connection durat</w:t>
      </w:r>
      <w:r>
        <w:t xml:space="preserve">ion timing with VPN provider logs. In another case, a person faked their death by drowning, prompting an inspector to create a website about the death as bait. Repeated visits from a single IP address led to the discovery of the supposedly deceased person.</w:t>
      </w:r>
      <w:r/>
    </w:p>
    <w:p>
      <w:pPr>
        <w:pStyle w:val="962"/>
        <w:pBdr/>
        <w:spacing/>
        <w:ind/>
        <w:rPr/>
      </w:pPr>
      <w:r>
        <w:t xml:space="preserve">From an Islamic perspective, marketing absolute privacy when it is impossible constitutes false advertisement and deception, both prohibited in Islam. Companies must be transparent about limitations and vulnerabilities.</w:t>
      </w:r>
      <w:r/>
    </w:p>
    <w:p>
      <w:pPr>
        <w:pStyle w:val="962"/>
        <w:pBdr/>
        <w:spacing/>
        <w:ind/>
        <w:rPr/>
      </w:pPr>
      <w:r>
        <w:rPr>
          <w:b/>
          <w:bCs/>
        </w:rPr>
        <w:t xml:space="preserve">2.1.3.5 Hidden Agendas and Political Motivations</w:t>
      </w:r>
      <w:r/>
    </w:p>
    <w:p>
      <w:pPr>
        <w:pStyle w:val="962"/>
        <w:pBdr/>
        <w:spacing/>
        <w:ind/>
        <w:rPr/>
      </w:pPr>
      <w:r>
        <w:t xml:space="preserve">VPN and privacy services may harbor hidden agendas, including operating as exit node</w:t>
      </w:r>
      <w:r>
        <w:t xml:space="preserve"> owners to correlate Tor traffic and deanonymize users, promoting VPN use with Tor specifically to maximize the efficiency of surveillance operations, and serving political motivations such as intelligence operations conducted through technology companies.</w:t>
      </w:r>
      <w:r/>
    </w:p>
    <w:p>
      <w:pPr>
        <w:pStyle w:val="962"/>
        <w:pBdr/>
        <w:spacing/>
        <w:ind/>
        <w:rPr/>
      </w:pPr>
      <w:r>
        <w:t xml:space="preserve">From an Islamic perspective, hidden agendas that betray user trust violate the core principle of Amanah and constitute deception.</w:t>
      </w:r>
      <w:r/>
    </w:p>
    <w:p>
      <w:pPr>
        <w:pStyle w:val="962"/>
        <w:pBdr/>
        <w:spacing/>
        <w:ind/>
        <w:rPr/>
      </w:pPr>
      <w:r>
        <w:rPr>
          <w:b/>
          <w:bCs/>
        </w:rPr>
        <w:t xml:space="preserve">2.1.3.6 Content Filtering and Censorship Issues</w:t>
      </w:r>
      <w:r/>
    </w:p>
    <w:p>
      <w:pPr>
        <w:pStyle w:val="962"/>
        <w:pBdr/>
        <w:spacing/>
        <w:ind/>
        <w:rPr/>
      </w:pPr>
      <w:r>
        <w:t xml:space="preserve">Software platforms exhibit two problematic patterns regarding content moderati</w:t>
      </w:r>
      <w:r>
        <w:t xml:space="preserve">on. First, many platforms fail to implement appropriate censorship, allowing prohibited content including adult material and other inappropriate content to remain accessible. Second, and perhaps more insidiously, platforms engage in biased censorship by se</w:t>
      </w:r>
      <w:r>
        <w:t xml:space="preserve">lectively moderating content based on political bias—for example, blocking antisemitic posts while allowing Islamophobic ones, or censoring criticism of specific political entities like Israel’s actions in Gaza while permitting similar criticism of others.</w:t>
      </w:r>
      <w:r/>
    </w:p>
    <w:p>
      <w:pPr>
        <w:pStyle w:val="962"/>
        <w:pBdr/>
        <w:spacing/>
        <w:ind/>
        <w:rPr/>
      </w:pPr>
      <w:r>
        <w:t xml:space="preserve">From an Islamic perspective, justice requires consistent application of community standards. Selective censorship based on political bias violates the Islamic principle of justice (Adl).</w:t>
      </w:r>
      <w:r/>
    </w:p>
    <w:p>
      <w:pPr>
        <w:pStyle w:val="962"/>
        <w:pBdr/>
        <w:spacing/>
        <w:ind/>
        <w:rPr/>
      </w:pPr>
      <w:r>
        <w:rPr>
          <w:b/>
          <w:bCs/>
        </w:rPr>
        <w:t xml:space="preserve">2.1.3.7 AI Systems: Hallucinations and Biased Training Data</w:t>
      </w:r>
      <w:r/>
    </w:p>
    <w:p>
      <w:pPr>
        <w:pStyle w:val="962"/>
        <w:pBdr/>
        <w:spacing/>
        <w:ind/>
        <w:rPr/>
      </w:pPr>
      <w:r>
        <w:t xml:space="preserve">AI-powered software services present inherent ethical challenges including hallucinations where false information is generated and presented as f</w:t>
      </w:r>
      <w:r>
        <w:t xml:space="preserve">act, bias that reflects problematic training data leading to Islamophobic outputs from Islamophobic inputs, inadequate safety measures that allow jailbreaking, and the potential for providing dangerous information such as instructions for creating weapons.</w:t>
      </w:r>
      <w:r/>
    </w:p>
    <w:p>
      <w:pPr>
        <w:pStyle w:val="962"/>
        <w:pBdr/>
        <w:spacing/>
        <w:ind/>
        <w:rPr/>
      </w:pPr>
      <w:r>
        <w:t xml:space="preserve">The health sector illustrates these concerns particularly well. AI used for health diagnosis m</w:t>
      </w:r>
      <w:r>
        <w:t xml:space="preserve">ust clearly specify that it serves as a tool to assist rather than replace professional medical diagnosis, that its data can be wrong or incomplete, and that it cannot prescribe medication since only doctors and pharmacists can legally and ethically do so.</w:t>
      </w:r>
      <w:r/>
    </w:p>
    <w:p>
      <w:pPr>
        <w:pStyle w:val="962"/>
        <w:pBdr/>
        <w:spacing/>
        <w:ind/>
        <w:rPr/>
      </w:pPr>
      <w:r>
        <w:t xml:space="preserve">From an Islamic perspective, providing false information or informatio</w:t>
      </w:r>
      <w:r>
        <w:t xml:space="preserve">n that could lead to harm violates fundamental principles. AI developers bear responsibility to clearly communicate limitations, implement appropriate safeguards, ensure training data is balanced and free from bias, and prevent misuse for harmful purposes.</w:t>
      </w:r>
      <w:r/>
    </w:p>
    <w:p>
      <w:pPr>
        <w:pStyle w:val="962"/>
        <w:pBdr/>
        <w:spacing/>
        <w:ind/>
        <w:rPr/>
      </w:pPr>
      <w:r>
        <w:rPr>
          <w:b/>
          <w:bCs/>
        </w:rPr>
        <w:t xml:space="preserve">2.1.3.8 Advertising Practices</w:t>
      </w:r>
      <w:r/>
    </w:p>
    <w:p>
      <w:pPr>
        <w:pStyle w:val="962"/>
        <w:pBdr/>
        <w:spacing/>
        <w:ind/>
        <w:rPr/>
      </w:pPr>
      <w:r>
        <w:t xml:space="preserve">Unethical advertising practices in software services include advertisements that</w:t>
      </w:r>
      <w:r>
        <w:t xml:space="preserve"> </w:t>
      </w:r>
      <w:r>
        <w:t xml:space="preserve">“destroy the customer”</w:t>
      </w:r>
      <w:r>
        <w:t xml:space="preserve"> </w:t>
      </w:r>
      <w:r>
        <w:t xml:space="preserve">through aggressive, deceptive, or manipulative tactics, failure to curate ethical </w:t>
      </w:r>
      <w:r>
        <w:t xml:space="preserve">advertisements on platforms, and displaying inappropriate or immoral advertising content. Personal observation of immoral advertisements appearing as top search results shows the pervasiveness of this problem and the need for ethical advertising standards.</w:t>
      </w:r>
      <w:r/>
    </w:p>
    <w:p>
      <w:pPr>
        <w:pStyle w:val="962"/>
        <w:pBdr/>
        <w:spacing/>
        <w:ind/>
        <w:rPr/>
      </w:pPr>
      <w:r>
        <w:t xml:space="preserve">Positive examples do exist. Organizations like the Acceptable Ads Committee establish ethical advertising standards (</w:t>
      </w:r>
      <w:hyperlink r:id="rId75" w:tooltip="https://acceptableads.com/" w:history="1">
        <w:r>
          <w:rPr>
            <w:rStyle w:val="1008"/>
          </w:rPr>
          <w:t xml:space="preserve">https://acceptableads.com/</w:t>
        </w:r>
      </w:hyperlink>
      <w:r>
        <w:t xml:space="preserve"> and </w:t>
      </w:r>
      <w:hyperlink r:id="rId76" w:tooltip="https://adblockplus.org/en/acceptable-ads#criteria" w:history="1">
        <w:r>
          <w:rPr>
            <w:rStyle w:val="1008"/>
          </w:rPr>
          <w:t xml:space="preserve">https://adblockplus.org/en/acceptable-ads#criteria</w:t>
        </w:r>
      </w:hyperlink>
      <w:r>
        <w:t xml:space="preserve">), showing that alternative approaches are possible.</w:t>
      </w:r>
      <w:r/>
    </w:p>
    <w:p>
      <w:pPr>
        <w:pStyle w:val="962"/>
        <w:pBdr/>
        <w:spacing/>
        <w:ind/>
        <w:rPr/>
      </w:pPr>
      <w:r>
        <w:t xml:space="preserve">From an Islamic perspective, platform owners bear responsibility for the advertisements they display. Allowing harmful or immoral ads violates the principle of preventing harm.</w:t>
      </w:r>
      <w:r/>
    </w:p>
    <w:p>
      <w:pPr>
        <w:pStyle w:val="962"/>
        <w:pBdr/>
        <w:spacing/>
        <w:ind/>
        <w:rPr/>
      </w:pPr>
      <w:r>
        <w:rPr>
          <w:b/>
          <w:bCs/>
        </w:rPr>
        <w:t xml:space="preserve">2.1.3.9 Data Accuracy and Updates</w:t>
      </w:r>
      <w:r/>
    </w:p>
    <w:p>
      <w:pPr>
        <w:pStyle w:val="962"/>
        <w:pBdr/>
        <w:spacing/>
        <w:ind/>
        <w:rPr/>
      </w:pPr>
      <w:r>
        <w:t xml:space="preserve">Software services frequently fail to maintain accurate and current information.</w:t>
      </w:r>
      <w:r>
        <w:t xml:space="preserve"> Common violations include displaying expired certifications such as SOC 2 that are no longer valid, leaving job postings active after positions are filled, failing to update articles when evidence shows previous information was incorrect, and not removing</w:t>
      </w:r>
      <w:r>
        <w:t xml:space="preserve"> </w:t>
      </w:r>
      <w:r>
        <w:t xml:space="preserve">“Coming Soon”</w:t>
      </w:r>
      <w:r>
        <w:t xml:space="preserve"> </w:t>
      </w:r>
      <w:r>
        <w:t xml:space="preserve">features that never materialize.</w:t>
      </w:r>
      <w:r/>
    </w:p>
    <w:p>
      <w:pPr>
        <w:pStyle w:val="962"/>
        <w:pBdr/>
        <w:spacing/>
        <w:ind/>
        <w:rPr/>
      </w:pPr>
      <w:r>
        <w:t xml:space="preserve">The underlying principle is that all dynamic data requires dynamic implementation or ultra-fast updates. Users rely on displayed information being current and accurate.</w:t>
      </w:r>
      <w:r/>
    </w:p>
    <w:p>
      <w:pPr>
        <w:pStyle w:val="962"/>
        <w:pBdr/>
        <w:spacing/>
        <w:ind/>
        <w:rPr/>
      </w:pPr>
      <w:r>
        <w:t xml:space="preserve">From an Islamic perspective, displaying false or outdated information—even through neglect rather than malice—constitutes a form of deception that violates Islamic honesty requirements.</w:t>
      </w:r>
      <w:r/>
    </w:p>
    <w:p>
      <w:pPr>
        <w:pStyle w:val="962"/>
        <w:pBdr/>
        <w:spacing/>
        <w:ind/>
        <w:rPr/>
      </w:pPr>
      <w:r>
        <w:rPr>
          <w:b/>
          <w:bCs/>
        </w:rPr>
        <w:t xml:space="preserve">2.1.3.10 Verification and Regulation Failures</w:t>
      </w:r>
      <w:r/>
    </w:p>
    <w:p>
      <w:pPr>
        <w:pStyle w:val="962"/>
        <w:pBdr/>
        <w:spacing/>
        <w:ind/>
        <w:rPr/>
      </w:pPr>
      <w:r>
        <w:t xml:space="preserve">Platforms that allow organizational accounts without proper verification enable serious harms including false identity claims, reputation damage through impersonation, and service disruption.</w:t>
      </w:r>
      <w:r/>
    </w:p>
    <w:p>
      <w:pPr>
        <w:pStyle w:val="962"/>
        <w:pBdr/>
        <w:spacing/>
        <w:ind/>
        <w:rPr/>
      </w:pPr>
      <w:r>
        <w:t xml:space="preserve">Google Maps provides a documented example of this failure. In the past, Google did not verify whether business account creators actually owned the businesses they claimed, allowing competitors to alter the opening hours of rival businesses to damage them.</w:t>
      </w:r>
      <w:r/>
    </w:p>
    <w:p>
      <w:pPr>
        <w:pStyle w:val="962"/>
        <w:pBdr/>
        <w:spacing/>
        <w:ind/>
        <w:rPr/>
      </w:pPr>
      <w:r>
        <w:t xml:space="preserve">From an Islamic perspective, platforms have a duty to implement reasonable verification to prevent harm and deception.</w:t>
      </w:r>
      <w:r/>
    </w:p>
    <w:p>
      <w:pPr>
        <w:pStyle w:val="962"/>
        <w:pBdr/>
        <w:spacing/>
        <w:ind/>
        <w:rPr/>
      </w:pPr>
      <w:r>
        <w:rPr>
          <w:b/>
          <w:bCs/>
        </w:rPr>
        <w:t xml:space="preserve">2.1.3.11 Dark Patterns</w:t>
      </w:r>
      <w:r/>
    </w:p>
    <w:p>
      <w:pPr>
        <w:pStyle w:val="962"/>
        <w:pBdr/>
        <w:spacing/>
        <w:ind/>
        <w:rPr/>
      </w:pPr>
      <w:r>
        <w:t xml:space="preserve">Dark patterns are user interface design choices that manipulate users into actions they might not otherwise take. These patterns are pervasive in software services.</w:t>
      </w:r>
      <w:r/>
    </w:p>
    <w:p>
      <w:pPr>
        <w:pStyle w:val="962"/>
        <w:pBdr/>
        <w:spacing/>
        <w:ind/>
        <w:rPr/>
      </w:pPr>
      <w:r>
        <w:t xml:space="preserve">The Qooranly App exemplifies this practice: it markets itself as</w:t>
      </w:r>
      <w:r>
        <w:t xml:space="preserve"> </w:t>
      </w:r>
      <w:r>
        <w:t xml:space="preserve">“free”</w:t>
      </w:r>
      <w:r>
        <w:t xml:space="preserve"> </w:t>
      </w:r>
      <w:r>
        <w:t xml:space="preserve">but upon opening immediately shows a pricing page. The free option button is labeled</w:t>
      </w:r>
      <w:r>
        <w:t xml:space="preserve"> </w:t>
      </w:r>
      <w:r>
        <w:t xml:space="preserve">“Can’t afford”</w:t>
      </w:r>
      <w:r>
        <w:t xml:space="preserve"> </w:t>
      </w:r>
      <w:r>
        <w:t xml:space="preserve">rather than neutral language like</w:t>
      </w:r>
      <w:r>
        <w:t xml:space="preserve"> </w:t>
      </w:r>
      <w:r>
        <w:t xml:space="preserve">“Free plan,”</w:t>
      </w:r>
      <w:r>
        <w:t xml:space="preserve"> </w:t>
      </w:r>
      <w:r>
        <w:t xml:space="preserve">causing users who can afford the paid version to feel guilt-tripped into paying. This manipulates human psychology to extract payment through shame rather than value.</w:t>
      </w:r>
      <w:r/>
    </w:p>
    <w:p>
      <w:pPr>
        <w:pStyle w:val="962"/>
        <w:pBdr/>
        <w:spacing/>
        <w:ind/>
        <w:rPr/>
      </w:pPr>
      <w:r>
        <w:t xml:space="preserve">Subscription cancellation dark patterns create deliberate asymmetry between subscribing and canceling. Subscribing typically requires only one or two quick clicks, while canceling involves many steps, hidden submenus, and deliberately difficult processes.</w:t>
      </w:r>
      <w:r/>
    </w:p>
    <w:p>
      <w:pPr>
        <w:pStyle w:val="962"/>
        <w:pBdr/>
        <w:spacing/>
        <w:ind/>
        <w:rPr/>
      </w:pPr>
      <w:r>
        <w:t xml:space="preserve">False urgency represents another common dark pattern, displaying messages like</w:t>
      </w:r>
      <w:r>
        <w:t xml:space="preserve"> </w:t>
      </w:r>
      <w:r>
        <w:t xml:space="preserve">“This plan will soon end, buy now or miss out!”</w:t>
      </w:r>
      <w:r>
        <w:t xml:space="preserve"> </w:t>
      </w:r>
      <w:r>
        <w:t xml:space="preserve">to create time pressure that prevents informed decision-making. The offer continues for months afterward, proving the urgency was manufactured, with the same false urgency message shown to new users continuously.</w:t>
      </w:r>
      <w:r/>
    </w:p>
    <w:p>
      <w:pPr>
        <w:pStyle w:val="962"/>
        <w:pBdr/>
        <w:spacing/>
        <w:ind/>
        <w:rPr/>
      </w:pPr>
      <w:r>
        <w:t xml:space="preserve">From an Islamic perspective, dark patterns constitute deception and manipulation, violating principles of transparency and fair dealing. They abuse customer trust and exploit psychological vulnerabilities.</w:t>
      </w:r>
      <w:r/>
    </w:p>
    <w:p>
      <w:pPr>
        <w:pStyle w:val="962"/>
        <w:pBdr/>
        <w:spacing/>
        <w:ind/>
        <w:rPr/>
      </w:pPr>
      <w:r>
        <w:t xml:space="preserve">A 2024 global sweep by th</w:t>
      </w:r>
      <w:r>
        <w:t xml:space="preserve">e International Consumer Protection and Enforcement Network examined 642 traders that offered subscription services and reported that 75.70% used at least one dark pattern, while 66.82% used two or more. This does not establish that every trader acted ille</w:t>
      </w:r>
      <w:r>
        <w:t xml:space="preserve">gally, but it shows that manipulative subscription design is not an isolated edge case. It is a recurring market pattern in which interface choices can pressure users into subscriptions, make cancellation harder, or obscure the real terms of a transaction.</w:t>
      </w:r>
      <w:r/>
    </w:p>
    <w:tbl>
      <w:tblPr>
        <w:jc w:val="center"/>
        <w:tblW w:w="0" w:type="auto"/>
        <w:tblBorders/>
        <w:tblLook w:val="0000" w:firstRow="0" w:lastRow="0" w:firstColumn="0" w:lastColumn="0" w:noHBand="0" w:noVBand="0"/>
      </w:tblPr>
      <w:tblGrid>
        <w:gridCol w:w="7920"/>
      </w:tblGrid>
      <w:tr>
        <w:trPr/>
        <w:tc>
          <w:tcPr>
            <w:tcBorders/>
          </w:tcPr>
          <w:p>
            <w:pPr>
              <w:pStyle w:val="964"/>
              <w:pBdr/>
              <w:spacing/>
              <w:ind/>
              <w:jc w:val="center"/>
              <w:rPr/>
            </w:pPr>
            <w:r>
              <w:t xml:space="preserve">number of dark patterns found pie-chart.png</w:t>
            </w:r>
            <w:r/>
          </w:p>
        </w:tc>
      </w:tr>
    </w:tbl>
    <w:p>
      <w:pPr>
        <w:pStyle w:val="1001"/>
        <w:pBdr/>
        <w:spacing/>
        <w:ind/>
        <w:rPr/>
      </w:pPr>
      <w:r>
        <w:t xml:space="preserve">number of dark patterns found pie-chart.png</w:t>
      </w:r>
      <w:r/>
    </w:p>
    <w:p>
      <w:pPr>
        <w:pStyle w:val="962"/>
        <w:pBdr/>
        <w:spacing/>
        <w:ind/>
        <w:rPr/>
      </w:pPr>
      <w:r>
        <w:rPr>
          <w:i/>
          <w:iCs/>
        </w:rPr>
        <w:t xml:space="preserve">Figure: Distribution of traders in the 2024 ICPEN subscription-</w:t>
      </w:r>
      <w:r>
        <w:rPr>
          <w:i/>
          <w:iCs/>
        </w:rPr>
        <w:t xml:space="preserve">service sweep by number of dark patterns found (n = 642). Source: ICPEN, “ICPEN Dark Patterns Sweep Public Report,” July 2, 2024. The 8.88% one-dark-pattern share is derived from the difference between ICPEN’s reported “at least one” and “multiple” shares.</w:t>
      </w:r>
      <w:r/>
    </w:p>
    <w:p>
      <w:pPr>
        <w:pStyle w:val="962"/>
        <w:pBdr/>
        <w:spacing/>
        <w:ind/>
        <w:rPr/>
      </w:pPr>
      <w:r>
        <w:rPr>
          <w:b/>
          <w:bCs/>
        </w:rPr>
        <w:t xml:space="preserve">Source:</w:t>
      </w:r>
      <w:r>
        <w:t xml:space="preserve"> International Consumer Protection and Enforcement Network (ICPEN), “ICPEN Dark Patterns Sweep Public Report,” July 2, 2024; ICPEN news release, July 9, 2024.</w:t>
      </w:r>
      <w:r/>
    </w:p>
    <w:p>
      <w:pPr>
        <w:pStyle w:val="962"/>
        <w:pBdr/>
        <w:spacing/>
        <w:ind/>
        <w:rPr/>
      </w:pPr>
      <w:r>
        <w:rPr>
          <w:b/>
          <w:bCs/>
        </w:rPr>
        <w:t xml:space="preserve">2.1.3.11A Pricing Experiments and Trust-Breaking Tests</w:t>
      </w:r>
      <w:r/>
    </w:p>
    <w:p>
      <w:pPr>
        <w:pStyle w:val="962"/>
        <w:pBdr/>
        <w:spacing/>
        <w:ind/>
        <w:rPr/>
      </w:pPr>
      <w:r>
        <w:t xml:space="preserve">A related form of deception occurs when companies test user willingness to pay through misleading pricing pages, false plan availability, or confusing freemium claims instead of transparent research. The ethical issue is not experimentation itself</w:t>
      </w:r>
      <w:r>
        <w:t xml:space="preserve">: surveys, paid research, opt-in interviews, beta programs, and clear A/B tests can all be legitimate. The violation occurs when users are told one thing while the company is actually testing how much confusion, frustration, or pressure they will tolerate.</w:t>
      </w:r>
      <w:r/>
    </w:p>
    <w:p>
      <w:pPr>
        <w:pStyle w:val="962"/>
        <w:pBdr/>
        <w:spacing/>
        <w:ind/>
        <w:rPr/>
      </w:pPr>
      <w:r>
        <w:t xml:space="preserve">From an Islamic perspective, testing customers through misleading prices or feature claims violates Sidq because it treats truth as an optimization variable. It also damages Amanah because users learn that th</w:t>
      </w:r>
      <w:r>
        <w:t xml:space="preserve">e provider may change the meaning of “free,” “included,” or “available” whenever it benefits the business. Sustainable product research should ask users honestly, compensate research when appropriate, and avoid extracting behavioral data through deception.</w:t>
      </w:r>
      <w:r/>
    </w:p>
    <w:p>
      <w:pPr>
        <w:pStyle w:val="962"/>
        <w:pBdr/>
        <w:spacing/>
        <w:ind/>
        <w:rPr/>
      </w:pPr>
      <w:r>
        <w:rPr>
          <w:b/>
          <w:bCs/>
        </w:rPr>
        <w:t xml:space="preserve">2.1.3.12 Breaking Deals, Promises, and Lying</w:t>
      </w:r>
      <w:r/>
    </w:p>
    <w:p>
      <w:pPr>
        <w:pStyle w:val="962"/>
        <w:pBdr/>
        <w:spacing/>
        <w:ind/>
        <w:rPr/>
      </w:pPr>
      <w:r>
        <w:t xml:space="preserve">Lifetime deal violations represent a pervasive problem in software services. Companies offer</w:t>
      </w:r>
      <w:r>
        <w:t xml:space="preserve"> </w:t>
      </w:r>
      <w:r>
        <w:t xml:space="preserve">“lifetime”</w:t>
      </w:r>
      <w:r>
        <w:t xml:space="preserve"> </w:t>
      </w:r>
      <w:r>
        <w:t xml:space="preserve">deals but then sell to another company that does not honor the lifetime terms. The original company should not sell to a buyer unwilling to continue lifetime deals, and the acquiring company should honor existing customer agreements. The common excuse that</w:t>
      </w:r>
      <w:r>
        <w:t xml:space="preserve"> </w:t>
      </w:r>
      <w:r>
        <w:t xml:space="preserve">“we didn’t know about these deals when buying”</w:t>
      </w:r>
      <w:r>
        <w:t xml:space="preserve"> </w:t>
      </w:r>
      <w:r>
        <w:t xml:space="preserve">reflects an unacceptable due diligence failure.</w:t>
      </w:r>
      <w:r/>
    </w:p>
    <w:p>
      <w:pPr>
        <w:pStyle w:val="962"/>
        <w:pBdr/>
        <w:spacing/>
        <w:ind/>
        <w:rPr/>
      </w:pPr>
      <w:r>
        <w:t xml:space="preserve">The Temu Lucky Spin provides a case study in deceptive practices: it guarantees a</w:t>
      </w:r>
      <w:r>
        <w:t xml:space="preserve"> </w:t>
      </w:r>
      <w:r>
        <w:t xml:space="preserve">“best”</w:t>
      </w:r>
      <w:r>
        <w:t xml:space="preserve"> </w:t>
      </w:r>
      <w:r>
        <w:t xml:space="preserve">prize as if the user was lucky when in fact everyone receives the same result. It claims the prize is</w:t>
      </w:r>
      <w:r>
        <w:t xml:space="preserve"> </w:t>
      </w:r>
      <w:r>
        <w:t xml:space="preserve">“100% free, just invite people within limited time,”</w:t>
      </w:r>
      <w:r>
        <w:t xml:space="preserve"> </w:t>
      </w:r>
      <w:r>
        <w:t xml:space="preserve">but inviting more people yields diminishing returns as users approach the goal. The entire system is designed to extract maximum referrals through deception.</w:t>
      </w:r>
      <w:r/>
    </w:p>
    <w:p>
      <w:pPr>
        <w:pStyle w:val="962"/>
        <w:pBdr/>
        <w:spacing/>
        <w:ind/>
        <w:rPr/>
      </w:pPr>
      <w:r>
        <w:t xml:space="preserve">Fake reviews and false claims plague software services through websites with fabricated reviews and false</w:t>
      </w:r>
      <w:r>
        <w:t xml:space="preserve"> </w:t>
      </w:r>
      <w:r>
        <w:t xml:space="preserve">“Editor’s Choice”</w:t>
      </w:r>
      <w:r>
        <w:t xml:space="preserve"> </w:t>
      </w:r>
      <w:r>
        <w:t xml:space="preserve">badges. The excuse that deceptive content</w:t>
      </w:r>
      <w:r>
        <w:t xml:space="preserve"> </w:t>
      </w:r>
      <w:r>
        <w:t xml:space="preserve">“came from the template”</w:t>
      </w:r>
      <w:r>
        <w:t xml:space="preserve"> </w:t>
      </w:r>
      <w:r>
        <w:t xml:space="preserve">does not justify its continued use. These practices violate computer fraud laws (valsheid in informatica) as documented in ICT &amp; Legal Issues on Cybercrime literature.</w:t>
      </w:r>
      <w:r/>
    </w:p>
    <w:p>
      <w:pPr>
        <w:pStyle w:val="962"/>
        <w:pBdr/>
        <w:spacing/>
        <w:ind/>
        <w:rPr/>
      </w:pPr>
      <w:r>
        <w:t xml:space="preserve">Authentic review systems show bet</w:t>
      </w:r>
      <w:r>
        <w:t xml:space="preserve">ter practices by linking reviews to verifiable sources such as original Twitter/X posts and Trustpilot verified reviews, preventing single-source fabrication—though these systems remain vulnerable to coordinated fake accounts requiring additional measures.</w:t>
      </w:r>
      <w:r/>
    </w:p>
    <w:p>
      <w:pPr>
        <w:pStyle w:val="962"/>
        <w:pBdr/>
        <w:spacing/>
        <w:ind/>
        <w:rPr/>
      </w:pPr>
      <w:r>
        <w:t xml:space="preserve">Fake accounts and bots compound these problems, with companies creating multiple accounts or bots disguised as separate people leaving positive reviews for their own software or as users attacking competitors’ reputations.</w:t>
      </w:r>
      <w:r/>
    </w:p>
    <w:p>
      <w:pPr>
        <w:pStyle w:val="962"/>
        <w:pBdr/>
        <w:spacing/>
        <w:ind/>
        <w:rPr/>
      </w:pPr>
      <w:r>
        <w:t xml:space="preserve">Fr</w:t>
      </w:r>
      <w:r>
        <w:t xml:space="preserve">om an Islamic perspective, breaking promises and lying are explicitly forbidden. The Prophet Muhammad (PBUH) emphasized that keeping promises is a fundamental characteristic of a believer. Lifetime deals create contractual obligations that must be honored.</w:t>
      </w:r>
      <w:r/>
    </w:p>
    <w:p>
      <w:pPr>
        <w:pBdr/>
        <w:spacing/>
        <w:ind/>
        <w:rPr/>
      </w:pPr>
      <w:r>
        <mc:AlternateContent>
          <mc:Choice Requires="wpg">
            <w:drawing>
              <wp:inline xmlns:wp="http://schemas.openxmlformats.org/drawingml/2006/wordprocessingDrawing" distT="0" distB="0" distL="0" distR="0">
                <wp:extent cx="0" cy="19050"/>
                <wp:effectExtent l="0" t="0" r="0" b="0"/>
                <wp:docPr id="17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1" o:spid="_x0000_s171" o:spt="1" type="#_x0000_t1" style="width:0.00pt;height:1.50pt;mso-wrap-distance-left:0.00pt;mso-wrap-distance-top:0.00pt;mso-wrap-distance-right:0.00pt;mso-wrap-distance-bottom:0.00pt;visibility:visible;" fillcolor="#FFFFFF" strokecolor="#000000"/>
            </w:pict>
          </mc:Fallback>
        </mc:AlternateContent>
      </w:r>
      <w:bookmarkEnd w:id="255"/>
      <w:r/>
    </w:p>
    <w:p>
      <w:pPr>
        <w:pStyle w:val="978"/>
        <w:pBdr/>
        <w:spacing/>
        <w:ind/>
        <w:rPr/>
      </w:pPr>
      <w:r/>
      <w:bookmarkStart w:id="256" w:name="X258babffdaa9b4deef785153f2778c099fb8220"/>
      <w:r>
        <w:t xml:space="preserve">Restored original notes from 2.1.3.C-Data-Privacy-and-Security-Violations</w:t>
      </w:r>
      <w:bookmarkEnd w:id="256"/>
      <w:r/>
    </w:p>
    <w:p>
      <w:pPr>
        <w:pStyle w:val="978"/>
        <w:pBdr/>
        <w:spacing/>
        <w:ind/>
        <w:rPr/>
      </w:pPr>
      <w:r/>
      <w:bookmarkStart w:id="258" w:name="c-data-privacy-and-security-violations"/>
      <w:r>
        <w:t xml:space="preserve">2.1.3.C Data, Privacy and Security Violations</w:t>
      </w:r>
      <w:r/>
    </w:p>
    <w:p>
      <w:pPr>
        <w:pStyle w:val="963"/>
        <w:pBdr/>
        <w:spacing/>
        <w:ind/>
        <w:rPr/>
      </w:pPr>
      <w:r>
        <w:rPr>
          <w:b/>
          <w:bCs/>
        </w:rPr>
        <w:t xml:space="preserve">2.1.3.13 False Association and Misleading Branding</w:t>
      </w:r>
      <w:r/>
    </w:p>
    <w:p>
      <w:pPr>
        <w:pStyle w:val="962"/>
        <w:pBdr/>
        <w:spacing/>
        <w:ind/>
        <w:rPr/>
      </w:pPr>
      <w:r>
        <w:t xml:space="preserve">Companies disguise themselves as part of a movement or group to gain benefits without following the movement’s principles—in practice operating as wolves in sheep’s clothing.</w:t>
      </w:r>
      <w:r/>
    </w:p>
    <w:p>
      <w:pPr>
        <w:pStyle w:val="962"/>
        <w:pBdr/>
        <w:spacing/>
        <w:ind/>
        <w:rPr/>
      </w:pPr>
      <w:r>
        <w:rPr>
          <w:b/>
          <w:bCs/>
        </w:rPr>
        <w:t xml:space="preserve">The Open Source Definition</w:t>
      </w:r>
      <w:r/>
    </w:p>
    <w:p>
      <w:pPr>
        <w:pStyle w:val="962"/>
        <w:pBdr/>
        <w:spacing/>
        <w:ind/>
        <w:rPr/>
      </w:pPr>
      <w:r>
        <w:t xml:space="preserve">The term</w:t>
      </w:r>
      <w:r>
        <w:t xml:space="preserve"> </w:t>
      </w:r>
      <w:r>
        <w:t xml:space="preserve">“open source”</w:t>
      </w:r>
      <w:r>
        <w:t xml:space="preserve"> </w:t>
      </w:r>
      <w:r>
        <w:t xml:space="preserve">has a precise meaning established by the Open Source Initiative (OSI). To qualify as open source, software must meet ten criteria including: free redistribution, access to source code, permission for derived works, integrity of author’s source code, no di</w:t>
      </w:r>
      <w:r>
        <w:t xml:space="preserve">scrimination against persons or groups, no discrimination against fields of endeavor, license distribution without additional licensing, license non-specificity to a product, license non-restriction of other software, and technology neutrality (OSI, n.d.).</w:t>
      </w:r>
      <w:r/>
    </w:p>
    <w:p>
      <w:pPr>
        <w:pStyle w:val="962"/>
        <w:pBdr/>
        <w:spacing/>
        <w:ind/>
        <w:rPr/>
      </w:pPr>
      <w:r>
        <w:t xml:space="preserve">Many companies claiming</w:t>
      </w:r>
      <w:r>
        <w:t xml:space="preserve"> </w:t>
      </w:r>
      <w:r>
        <w:t xml:space="preserve">“open source”</w:t>
      </w:r>
      <w:r>
        <w:t xml:space="preserve"> </w:t>
      </w:r>
      <w:r>
        <w:t xml:space="preserve">status fail to meet these criteria. The practice of marketing software as</w:t>
      </w:r>
      <w:r>
        <w:t xml:space="preserve"> </w:t>
      </w:r>
      <w:r>
        <w:t xml:space="preserve">“open source”</w:t>
      </w:r>
      <w:r>
        <w:t xml:space="preserve"> </w:t>
      </w:r>
      <w:r>
        <w:t xml:space="preserve">while restricting core functionality </w:t>
      </w:r>
      <w:r>
        <w:t xml:space="preserve">to paid versions violates the spirit and often the letter of this definition. Such misrepresentation benefits from the positive associations of the open source movement—community, transparency, freedom—while providing none of the corresponding user rights.</w:t>
      </w:r>
      <w:r/>
    </w:p>
    <w:p>
      <w:pPr>
        <w:pStyle w:val="962"/>
        <w:pBdr/>
        <w:spacing/>
        <w:ind/>
        <w:rPr/>
      </w:pPr>
      <w:r>
        <w:rPr>
          <w:b/>
          <w:bCs/>
        </w:rPr>
        <w:t xml:space="preserve">Source:</w:t>
      </w:r>
      <w:r>
        <w:t xml:space="preserve"> Open Source Initiative. (n.d.).</w:t>
      </w:r>
      <w:r>
        <w:t xml:space="preserve"> </w:t>
      </w:r>
      <w:r>
        <w:t xml:space="preserve">“The Open Source Definition (Annotated).”</w:t>
      </w:r>
      <w:r>
        <w:t xml:space="preserve"> </w:t>
      </w:r>
      <w:hyperlink r:id="rId77" w:tooltip="https://opensource.org/osd" w:history="1">
        <w:r>
          <w:rPr>
            <w:rStyle w:val="1008"/>
          </w:rPr>
          <w:t xml:space="preserve">https://opensource.org/osd</w:t>
        </w:r>
      </w:hyperlink>
      <w:r/>
      <w:r/>
    </w:p>
    <w:p>
      <w:pPr>
        <w:pStyle w:val="962"/>
        <w:pBdr/>
        <w:spacing/>
        <w:ind/>
        <w:rPr/>
      </w:pPr>
      <w:r>
        <w:t xml:space="preserve">ChartDB presents a potential case requiring f</w:t>
      </w:r>
      <w:r>
        <w:t xml:space="preserve">urther research: it offers a self-hosted version but stores data in browser local storage instead of a database, preventing multi-device access for free or self-hosted users and in practice forcing upgrade to paid SaaS for normal self-hosted functionality.</w:t>
      </w:r>
      <w:r/>
    </w:p>
    <w:p>
      <w:pPr>
        <w:pStyle w:val="962"/>
        <w:pBdr/>
        <w:spacing/>
        <w:ind/>
        <w:rPr/>
      </w:pPr>
      <w:r>
        <w:t xml:space="preserve">PostHog markets itself as</w:t>
      </w:r>
      <w:r>
        <w:t xml:space="preserve"> </w:t>
      </w:r>
      <w:r>
        <w:t xml:space="preserve">“open source”</w:t>
      </w:r>
      <w:r>
        <w:t xml:space="preserve"> </w:t>
      </w:r>
      <w:r>
        <w:t xml:space="preserve">when it is actually</w:t>
      </w:r>
      <w:r>
        <w:t xml:space="preserve"> </w:t>
      </w:r>
      <w:r>
        <w:t xml:space="preserve">“open core,”</w:t>
      </w:r>
      <w:r>
        <w:t xml:space="preserve"> </w:t>
      </w:r>
      <w:r>
        <w:t xml:space="preserve">meaning not all features are available when self-hosted. It provides no support for self-hosting and cannot scale past 100,000 events in the self-hosted configuration, in practice forcing migration to SaaS for serious projects while taking the benefits of</w:t>
      </w:r>
      <w:r>
        <w:t xml:space="preserve"> </w:t>
      </w:r>
      <w:r>
        <w:t xml:space="preserve">“open source”</w:t>
      </w:r>
      <w:r>
        <w:t xml:space="preserve"> </w:t>
      </w:r>
      <w:r>
        <w:t xml:space="preserve">branding without full commitment.</w:t>
      </w:r>
      <w:r/>
    </w:p>
    <w:p>
      <w:pPr>
        <w:pStyle w:val="962"/>
        <w:pBdr/>
        <w:spacing/>
        <w:ind/>
        <w:rPr/>
      </w:pPr>
      <w:r>
        <w:t xml:space="preserve">Odoo follows a similar pattern, marketing itself as</w:t>
      </w:r>
      <w:r>
        <w:t xml:space="preserve"> </w:t>
      </w:r>
      <w:r>
        <w:t xml:space="preserve">“the open source ERP”</w:t>
      </w:r>
      <w:r>
        <w:t xml:space="preserve"> </w:t>
      </w:r>
      <w:r>
        <w:t xml:space="preserve">while only making some apps available free in the self-hosted plan and locking crucial apps behind paid licenses. This makes the</w:t>
      </w:r>
      <w:r>
        <w:t xml:space="preserve"> </w:t>
      </w:r>
      <w:r>
        <w:t xml:space="preserve">“open source”</w:t>
      </w:r>
      <w:r>
        <w:t xml:space="preserve"> </w:t>
      </w:r>
      <w:r>
        <w:t xml:space="preserve">claim misleading.</w:t>
      </w:r>
      <w:r/>
    </w:p>
    <w:p>
      <w:pPr>
        <w:pStyle w:val="962"/>
        <w:pBdr/>
        <w:spacing/>
        <w:ind/>
        <w:rPr/>
      </w:pPr>
      <w:r>
        <w:rPr>
          <w:b/>
          <w:bCs/>
        </w:rPr>
        <w:t xml:space="preserve">Greenwashing in Software: Environmental False Claims</w:t>
      </w:r>
      <w:r/>
    </w:p>
    <w:p>
      <w:pPr>
        <w:pStyle w:val="962"/>
        <w:pBdr/>
        <w:spacing/>
        <w:ind/>
        <w:rPr/>
      </w:pPr>
      <w:r>
        <w:t xml:space="preserve">The false association pattern extends to environmental claims.</w:t>
      </w:r>
      <w:r>
        <w:t xml:space="preserve"> </w:t>
      </w:r>
      <w:r>
        <w:t xml:space="preserve">“Greenwashing”</w:t>
      </w:r>
      <w:r>
        <w:t xml:space="preserve"> </w:t>
      </w:r>
      <w:r>
        <w:t xml:space="preserve">refers to deceptive marketing practices in which companies present their products or services as more environmentally friendly than they actually are. In the software industry, this manifests in several forms:</w:t>
      </w:r>
      <w:r/>
    </w:p>
    <w:p>
      <w:pPr>
        <w:pStyle w:val="962"/>
        <w:pBdr/>
        <w:spacing/>
        <w:ind/>
        <w:rPr/>
      </w:pPr>
      <w:r>
        <w:rPr>
          <w:b/>
          <w:bCs/>
        </w:rPr>
        <w:t xml:space="preserve">Direct Environmental Claims:</w:t>
      </w:r>
      <w:r/>
    </w:p>
    <w:p>
      <w:pPr>
        <w:pStyle w:val="964"/>
        <w:numPr>
          <w:ilvl w:val="0"/>
          <w:numId w:val="256"/>
        </w:numPr>
        <w:pBdr/>
        <w:spacing/>
        <w:ind/>
        <w:rPr/>
      </w:pPr>
      <w:r>
        <w:t xml:space="preserve">Marketing cloud services as</w:t>
      </w:r>
      <w:r>
        <w:t xml:space="preserve"> </w:t>
      </w:r>
      <w:r>
        <w:t xml:space="preserve">“green”</w:t>
      </w:r>
      <w:r>
        <w:t xml:space="preserve"> </w:t>
      </w:r>
      <w:r>
        <w:t xml:space="preserve">or</w:t>
      </w:r>
      <w:r>
        <w:t xml:space="preserve"> </w:t>
      </w:r>
      <w:r>
        <w:t xml:space="preserve">“carbon-neutral”</w:t>
      </w:r>
      <w:r>
        <w:t xml:space="preserve"> </w:t>
      </w:r>
      <w:r>
        <w:t xml:space="preserve">without substantive evidence</w:t>
      </w:r>
      <w:r/>
    </w:p>
    <w:p>
      <w:pPr>
        <w:pStyle w:val="964"/>
        <w:numPr>
          <w:ilvl w:val="0"/>
          <w:numId w:val="256"/>
        </w:numPr>
        <w:pBdr/>
        <w:spacing/>
        <w:ind/>
        <w:rPr/>
      </w:pPr>
      <w:r>
        <w:t xml:space="preserve">Claiming products reduce environmental impact without lifecycle analysis</w:t>
      </w:r>
      <w:r/>
    </w:p>
    <w:p>
      <w:pPr>
        <w:pStyle w:val="964"/>
        <w:numPr>
          <w:ilvl w:val="0"/>
          <w:numId w:val="256"/>
        </w:numPr>
        <w:pBdr/>
        <w:spacing/>
        <w:ind/>
        <w:rPr/>
      </w:pPr>
      <w:r>
        <w:t xml:space="preserve">Using nature imagery and environmental language to create false associations with sustainability</w:t>
      </w:r>
      <w:r/>
    </w:p>
    <w:p>
      <w:pPr>
        <w:pStyle w:val="963"/>
        <w:pBdr/>
        <w:spacing/>
        <w:ind/>
        <w:rPr/>
      </w:pPr>
      <w:r>
        <w:rPr>
          <w:b/>
          <w:bCs/>
        </w:rPr>
        <w:t xml:space="preserve">Indirect Greenwashing:</w:t>
      </w:r>
      <w:r/>
    </w:p>
    <w:p>
      <w:pPr>
        <w:pStyle w:val="964"/>
        <w:numPr>
          <w:ilvl w:val="0"/>
          <w:numId w:val="257"/>
        </w:numPr>
        <w:pBdr/>
        <w:spacing/>
        <w:ind/>
        <w:rPr/>
      </w:pPr>
      <w:r>
        <w:t xml:space="preserve">Hiding significant environmental costs (data center energy consumption, hardware requirements)</w:t>
      </w:r>
      <w:r/>
    </w:p>
    <w:p>
      <w:pPr>
        <w:pStyle w:val="964"/>
        <w:numPr>
          <w:ilvl w:val="0"/>
          <w:numId w:val="257"/>
        </w:numPr>
        <w:pBdr/>
        <w:spacing/>
        <w:ind/>
        <w:rPr/>
      </w:pPr>
      <w:r>
        <w:t xml:space="preserve">Emphasizing minor environmental improvements while ignoring major impacts</w:t>
      </w:r>
      <w:r/>
    </w:p>
    <w:p>
      <w:pPr>
        <w:pStyle w:val="964"/>
        <w:numPr>
          <w:ilvl w:val="0"/>
          <w:numId w:val="257"/>
        </w:numPr>
        <w:pBdr/>
        <w:spacing/>
        <w:ind/>
        <w:rPr/>
      </w:pPr>
      <w:r>
        <w:t xml:space="preserve">Claiming carbon offset purchases eliminate actual emissions</w:t>
      </w:r>
      <w:r/>
    </w:p>
    <w:p>
      <w:pPr>
        <w:pStyle w:val="963"/>
        <w:pBdr/>
        <w:spacing/>
        <w:ind/>
        <w:rPr/>
      </w:pPr>
      <w:r>
        <w:t xml:space="preserve">T</w:t>
      </w:r>
      <w:r>
        <w:t xml:space="preserve">he European Union has increasingly scrutinized such claims. The proposed Green Claims Directive would require companies to substantiate environmental marketing claims with scientific evidence and standardized methodologies. Companies making unsubstantiated</w:t>
      </w:r>
      <w:r>
        <w:t xml:space="preserve"> </w:t>
      </w:r>
      <w:r>
        <w:t xml:space="preserve">“green”</w:t>
      </w:r>
      <w:r>
        <w:t xml:space="preserve"> </w:t>
      </w:r>
      <w:r>
        <w:t xml:space="preserve">claims face potential legal consequences.</w:t>
      </w:r>
      <w:r/>
    </w:p>
    <w:p>
      <w:pPr>
        <w:pStyle w:val="962"/>
        <w:pBdr/>
        <w:spacing/>
        <w:ind/>
        <w:rPr/>
      </w:pPr>
      <w:r>
        <w:t xml:space="preserve">From an Islamic perspective, greenwashing constitutes deception (Ghish) regardless of the domain. Making false claims about envir</w:t>
      </w:r>
      <w:r>
        <w:t xml:space="preserve">onmental benefits—especially to capitalize on genuine environmental concern—violates the same principles as other forms of false advertising. The prohibition against falsehood applies equally to environmental claims as to any other business representation.</w:t>
      </w:r>
      <w:r/>
    </w:p>
    <w:p>
      <w:pPr>
        <w:pStyle w:val="962"/>
        <w:pBdr/>
        <w:spacing/>
        <w:ind/>
        <w:rPr/>
      </w:pPr>
      <w:r>
        <w:t xml:space="preserve">Pricing unfairness compounds these issues. Some services like Plane and Odoo charge the same price whether customers use their managed cloud (wher</w:t>
      </w:r>
      <w:r>
        <w:t xml:space="preserve">e the company handles infrastructure) or self-host (where customers pay for servers and maintenance). This is unfair because self-hosting customers pay twice—both the service license and their own infrastructure—for less value than cloud customers receive.</w:t>
      </w:r>
      <w:r/>
    </w:p>
    <w:p>
      <w:pPr>
        <w:pStyle w:val="962"/>
        <w:pBdr/>
        <w:spacing/>
        <w:ind/>
        <w:rPr/>
      </w:pPr>
      <w:r>
        <w:t xml:space="preserve">From an Islamic perspective, misrepresenting your product or service to gain association with a respected movement like open source while not following its principles constitutes deception.</w:t>
      </w:r>
      <w:r/>
    </w:p>
    <w:p>
      <w:pPr>
        <w:pStyle w:val="962"/>
        <w:pBdr/>
        <w:spacing/>
        <w:ind/>
        <w:rPr/>
      </w:pPr>
      <w:r>
        <w:rPr>
          <w:b/>
          <w:bCs/>
        </w:rPr>
        <w:t xml:space="preserve">2.1.3.14 Free Tier Done Wrong</w:t>
      </w:r>
      <w:r/>
    </w:p>
    <w:p>
      <w:pPr>
        <w:pStyle w:val="962"/>
        <w:pBdr/>
        <w:spacing/>
        <w:ind/>
        <w:rPr/>
      </w:pPr>
      <w:r>
        <w:t xml:space="preserve">Free tiers that fail to deliver functional value constitute false advertising. The principle should be that free tiers provide meaningful functionality rather than serving as mere demos that force upgrade for basic use.</w:t>
      </w:r>
      <w:r/>
    </w:p>
    <w:p>
      <w:pPr>
        <w:pStyle w:val="962"/>
        <w:pBdr/>
        <w:spacing/>
        <w:ind/>
        <w:rPr/>
      </w:pPr>
      <w:r>
        <w:t xml:space="preserve">Password managers illustrate this problem clearly. A password manager with a free tier allowing only 10-50 passwords creates a trap </w:t>
      </w:r>
      <w:r>
        <w:t xml:space="preserve">because users do not realize they will create hundreds of accounts over time. The core functional requirement is to store passwords, but limiting password count makes the free tier unusable. Users discover too late that they cannot continue without paying.</w:t>
      </w:r>
      <w:r/>
    </w:p>
    <w:p>
      <w:pPr>
        <w:pStyle w:val="962"/>
        <w:pBdr/>
        <w:spacing/>
        <w:ind/>
        <w:rPr/>
      </w:pPr>
      <w:r>
        <w:t xml:space="preserve">Legitimate limitation provides a useful contrast. Cloud storage services that limit free storage to 100MB show real infrastructure constraints since storage costs money. Text-ba</w:t>
      </w:r>
      <w:r>
        <w:t xml:space="preserve">sed passwords take minimal space—one could store billions of passwords in 100MB—so a password limit has no such justification. Storage limitations are honest and functional; password count limitations are artificial restrictions designed to force upgrades.</w:t>
      </w:r>
      <w:r/>
    </w:p>
    <w:p>
      <w:pPr>
        <w:pStyle w:val="962"/>
        <w:pBdr/>
        <w:spacing/>
        <w:ind/>
        <w:rPr/>
      </w:pPr>
      <w:r>
        <w:t xml:space="preserve">From an Islamic perspective, offering a</w:t>
      </w:r>
      <w:r>
        <w:t xml:space="preserve"> </w:t>
      </w:r>
      <w:r>
        <w:t xml:space="preserve">“free”</w:t>
      </w:r>
      <w:r>
        <w:t xml:space="preserve"> </w:t>
      </w:r>
      <w:r>
        <w:t xml:space="preserve">tier that can</w:t>
      </w:r>
      <w:r>
        <w:t xml:space="preserve">not fulfill the basic functional requirements of the software constitutes deceptive advertising. It creates false hope and wastes users’ time. Limitations should be based on real resource constraints, not artificial restrictions designed to force upgrades.</w:t>
      </w:r>
      <w:r/>
    </w:p>
    <w:p>
      <w:pPr>
        <w:pStyle w:val="962"/>
        <w:pBdr/>
        <w:spacing/>
        <w:ind/>
        <w:rPr/>
      </w:pPr>
      <w:r>
        <w:rPr>
          <w:b/>
          <w:bCs/>
        </w:rPr>
        <w:t xml:space="preserve">2.1.3.15 Redundancy and Backup Failures</w:t>
      </w:r>
      <w:r/>
    </w:p>
    <w:p>
      <w:pPr>
        <w:pStyle w:val="962"/>
        <w:pBdr/>
        <w:spacing/>
        <w:ind/>
        <w:rPr/>
      </w:pPr>
      <w:r>
        <w:t xml:space="preserve">Software service companies frequently fail to properly back up data that clients trust</w:t>
      </w:r>
      <w:r>
        <w:t xml:space="preserve"> them with. Google Cloud showed this catastrophically in 2024 when it accidentally deleted a customer’s entire account, causing two weeks of downtime. This incident shows failure in data redundancy and backup systems at even the largest providers (Source: </w:t>
      </w:r>
      <w:hyperlink r:id="rId78" w:tooltip="https://arstechnica.com/gadgets/2024/05/google-cloud-accidentally-nukes-customer-account-causes-two-weeks-of-downtime/" w:history="1">
        <w:r>
          <w:rPr>
            <w:rStyle w:val="1008"/>
          </w:rPr>
          <w:t xml:space="preserve">https://arstechnica.com/gadgets/2024/05/google-cloud-accidentally-nukes-customer-account-causes-two-weeks-of-downtime/</w:t>
        </w:r>
      </w:hyperlink>
      <w:r>
        <w:t xml:space="preserve">).</w:t>
      </w:r>
      <w:r/>
    </w:p>
    <w:p>
      <w:pPr>
        <w:pStyle w:val="962"/>
        <w:pBdr/>
        <w:spacing/>
        <w:ind/>
        <w:rPr/>
      </w:pPr>
      <w:r>
        <w:t xml:space="preserve">From an Islamic perspective, when clients entrust important data to a service provider, that trust (Amanah) creates an obligation to implement proper backup and redundancy systems. Failure constitutes breach of trust.</w:t>
      </w:r>
      <w:r/>
    </w:p>
    <w:p>
      <w:pPr>
        <w:pBdr/>
        <w:spacing/>
        <w:ind/>
        <w:rPr/>
      </w:pPr>
      <w:r>
        <mc:AlternateContent>
          <mc:Choice Requires="wpg">
            <w:drawing>
              <wp:inline xmlns:wp="http://schemas.openxmlformats.org/drawingml/2006/wordprocessingDrawing" distT="0" distB="0" distL="0" distR="0">
                <wp:extent cx="0" cy="19050"/>
                <wp:effectExtent l="0" t="0" r="0" b="0"/>
                <wp:docPr id="17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2" o:spid="_x0000_s172" o:spt="1" type="#_x0000_t1" style="width:0.00pt;height:1.50pt;mso-wrap-distance-left:0.00pt;mso-wrap-distance-top:0.00pt;mso-wrap-distance-right:0.00pt;mso-wrap-distance-bottom:0.00pt;visibility:visible;" fillcolor="#FFFFFF" strokecolor="#000000"/>
            </w:pict>
          </mc:Fallback>
        </mc:AlternateContent>
      </w:r>
      <w:bookmarkEnd w:id="258"/>
      <w:r/>
    </w:p>
    <w:p>
      <w:pPr>
        <w:pStyle w:val="978"/>
        <w:pBdr/>
        <w:spacing/>
        <w:ind/>
        <w:rPr/>
      </w:pPr>
      <w:r/>
      <w:bookmarkStart w:id="259" w:name="Xac40962a6abbd3a5bdc85e059bfdf29f8737ebc"/>
      <w:r>
        <w:t xml:space="preserve">Restored original notes from 2.1.3.D-Transparency-and-Business-Practice-Violations</w:t>
      </w:r>
      <w:bookmarkEnd w:id="259"/>
      <w:r/>
    </w:p>
    <w:p>
      <w:pPr>
        <w:pStyle w:val="978"/>
        <w:pBdr/>
        <w:spacing/>
        <w:ind/>
        <w:rPr/>
      </w:pPr>
      <w:r/>
      <w:bookmarkStart w:id="262" w:name="X9858499b5fb908193ab88794de926b47b3e56be"/>
      <w:r>
        <w:t xml:space="preserve">2.1.3.D Transparency and Business Practice Violations</w:t>
      </w:r>
      <w:r/>
    </w:p>
    <w:p>
      <w:pPr>
        <w:pStyle w:val="963"/>
        <w:pBdr/>
        <w:spacing/>
        <w:ind/>
        <w:rPr/>
      </w:pPr>
      <w:r>
        <w:rPr>
          <w:b/>
          <w:bCs/>
        </w:rPr>
        <w:t xml:space="preserve">2.1.3.16 Unfair Competition Practices</w:t>
      </w:r>
      <w:r/>
    </w:p>
    <w:p>
      <w:pPr>
        <w:pStyle w:val="962"/>
        <w:pBdr/>
        <w:spacing/>
        <w:ind/>
        <w:rPr/>
      </w:pPr>
      <w:r>
        <w:t xml:space="preserve">Unfair competition practices in software services take many forms, each violating principles of honest business conduct.</w:t>
      </w:r>
      <w:r/>
    </w:p>
    <w:p>
      <w:pPr>
        <w:pStyle w:val="962"/>
        <w:pBdr/>
        <w:spacing/>
        <w:ind/>
        <w:rPr/>
      </w:pPr>
      <w:r>
        <w:t xml:space="preserve">The Honey browser extension advertised itself as providing coupon codes to help users save money, but in reality it replaced affiliate links with Honey’s own affiliate links, in practice diverting affiliate commissions from content creator</w:t>
      </w:r>
      <w:r>
        <w:t xml:space="preserve">s and marketers. Particularly egregiously, Honey sponsored affiliate marketers to promote the extension, causing these marketers to unknowingly promote their own worst enemy while Honey systematically stole revenue from those who trusted and promoted them.</w:t>
      </w:r>
      <w:r/>
    </w:p>
    <w:p>
      <w:pPr>
        <w:pStyle w:val="962"/>
        <w:pBdr/>
        <w:spacing/>
        <w:ind/>
        <w:rPr/>
      </w:pPr>
      <w:r>
        <w:t xml:space="preserve">Trademark abuse represents another form of unfair competition. Someone trademarked the common word</w:t>
      </w:r>
      <w:r>
        <w:t xml:space="preserve"> </w:t>
      </w:r>
      <w:r>
        <w:t xml:space="preserve">“plumber”</w:t>
      </w:r>
      <w:r>
        <w:t xml:space="preserve"> </w:t>
      </w:r>
      <w:r>
        <w:t xml:space="preserve">in 2018 an</w:t>
      </w:r>
      <w:r>
        <w:t xml:space="preserve">d used this trademark to force removal of competitors’ apps from the Play Store. They then attempted to buy victims’ apps at low prices after damaging them. After losing a lawsuit, they partnered with another company to continue the same practice (Source: </w:t>
      </w:r>
      <w:hyperlink r:id="rId79" w:tooltip="https://www.reddit.com/r/androiddev/comments/1p2u3jo/someone_trademarked_the_word_plumber_in_2018_and/" w:history="1">
        <w:r>
          <w:rPr>
            <w:rStyle w:val="1008"/>
          </w:rPr>
          <w:t xml:space="preserve">https://www.reddit.com/r/androiddev/comments/1p2u3jo/someone_trademarked_the_word_plumber_in_2018_and/</w:t>
        </w:r>
      </w:hyperlink>
      <w:r>
        <w:t xml:space="preserve">).</w:t>
      </w:r>
      <w:r/>
    </w:p>
    <w:p>
      <w:pPr>
        <w:pStyle w:val="962"/>
        <w:pBdr/>
        <w:spacing/>
        <w:ind/>
        <w:rPr/>
      </w:pPr>
      <w:r>
        <w:t xml:space="preserve">Microsoft’s integration of Internet Explorer as the default browser in Windows exemplifies classic anti-competitive practice, leveraging operating system monopol</w:t>
      </w:r>
      <w:r>
        <w:t xml:space="preserve">y to promote a browser product and ending in practice many competing browsers. TLauncher engages in similar anti-competitive behavior by blocking users from visiting competitor websites, combining anti-competitive practices with malware-like functionality.</w:t>
      </w:r>
      <w:r/>
    </w:p>
    <w:p>
      <w:pPr>
        <w:pStyle w:val="962"/>
        <w:pBdr/>
        <w:spacing/>
        <w:ind/>
        <w:rPr/>
      </w:pPr>
      <w:r>
        <w:t xml:space="preserve">Reputation attacks constitute another unfair competition practice through coordinated negative commentary about competitors. These attacks c</w:t>
      </w:r>
      <w:r>
        <w:t xml:space="preserve">an lead AI systems and search engines to present negative information about competitors, causing massive financial damage to targeted companies based on false or misleading information. Comparative advertising that names competitors with negative framing (</w:t>
      </w:r>
      <w:r>
        <w:t xml:space="preserve">“We are cheaper than X company”</w:t>
      </w:r>
      <w:r>
        <w:t xml:space="preserve">) has established legal precedent as improper.</w:t>
      </w:r>
      <w:r/>
    </w:p>
    <w:p>
      <w:pPr>
        <w:pStyle w:val="962"/>
        <w:pBdr/>
        <w:spacing/>
        <w:ind/>
        <w:rPr/>
      </w:pPr>
      <w:r>
        <w:t xml:space="preserve">False business claims represent perhaps the most direct form of</w:t>
      </w:r>
      <w:r>
        <w:t xml:space="preserve"> harm, with competitors claiming ownership of rival businesses in directory services like Google Maps to change competitors’ opening hours and damage their business, exploiting lack of verification systems to cause customer confusion and reputation damage.</w:t>
      </w:r>
      <w:r/>
    </w:p>
    <w:p>
      <w:pPr>
        <w:pStyle w:val="962"/>
        <w:pBdr/>
        <w:spacing/>
        <w:ind/>
        <w:rPr/>
      </w:pPr>
      <w:r>
        <w:t xml:space="preserve">From an Islamic perspective, all of these practices violate principles of fair competition, honesty in business, and prohibition against causing unjust harm to others. Competition should be based on merit and value, not deception or sabotage.</w:t>
      </w:r>
      <w:r/>
    </w:p>
    <w:p>
      <w:pPr>
        <w:pStyle w:val="962"/>
        <w:pBdr/>
        <w:spacing/>
        <w:ind/>
        <w:rPr/>
      </w:pPr>
      <w:r>
        <w:rPr>
          <w:b/>
          <w:bCs/>
        </w:rPr>
        <w:t xml:space="preserve">2.1.3.17 Lack of Proper Credit and Attribution</w:t>
      </w:r>
      <w:r/>
    </w:p>
    <w:p>
      <w:pPr>
        <w:pStyle w:val="962"/>
        <w:pBdr/>
        <w:spacing/>
        <w:ind/>
        <w:rPr/>
      </w:pPr>
      <w:r>
        <w:t xml:space="preserve">A developer created a marketplace application that Microsoft contacted him about. Microsoft asked him to work on</w:t>
      </w:r>
      <w:r>
        <w:t xml:space="preserve"> </w:t>
      </w:r>
      <w:r>
        <w:t xml:space="preserve">“this,”</w:t>
      </w:r>
      <w:r>
        <w:t xml:space="preserve"> </w:t>
      </w:r>
      <w:r>
        <w:t xml:space="preserve">implying a partnership with his project. Microsoft then</w:t>
      </w:r>
      <w:r>
        <w:t xml:space="preserve"> used his open-source code in their product but failed to contact him for actual partnership and did not provide credit for his work. The company essentially appropriated his open-source project while misrepresenting their intentions regarding partnership.</w:t>
      </w:r>
      <w:r/>
    </w:p>
    <w:p>
      <w:pPr>
        <w:pStyle w:val="962"/>
        <w:pBdr/>
        <w:spacing/>
        <w:ind/>
        <w:rPr/>
      </w:pPr>
      <w:r>
        <w:t xml:space="preserve">From an Islamic perspective, failing to give credit where due violates principles of honesty and justice. Even open-source licenses typically require attribution. Beyond legal requirements, moral obligation demands acknowledgment of others’ contributions.</w:t>
      </w:r>
      <w:r/>
    </w:p>
    <w:p>
      <w:pPr>
        <w:pStyle w:val="962"/>
        <w:pBdr/>
        <w:spacing/>
        <w:ind/>
        <w:rPr/>
      </w:pPr>
      <w:r>
        <w:rPr>
          <w:b/>
          <w:bCs/>
        </w:rPr>
        <w:t xml:space="preserve">2.1.3.18 Consumer Rights and Right to Repair</w:t>
      </w:r>
      <w:r/>
    </w:p>
    <w:p>
      <w:pPr>
        <w:pStyle w:val="962"/>
        <w:pBdr/>
        <w:spacing/>
        <w:ind/>
        <w:rPr/>
      </w:pPr>
      <w:r>
        <w:t xml:space="preserve">Software services increasingly damage users through deliberate limitations and predatory practices that violate consumer rights.</w:t>
      </w:r>
      <w:r/>
    </w:p>
    <w:p>
      <w:pPr>
        <w:pStyle w:val="962"/>
        <w:pBdr/>
        <w:spacing/>
        <w:ind/>
        <w:rPr/>
      </w:pPr>
      <w:r>
        <w:t xml:space="preserve">Apple sent updates that deliberately slowed older iPhones with the purpose of pushing users to buy new phones—behavior that constitutes malware-like activity disguised as </w:t>
      </w:r>
      <w:r>
        <w:t xml:space="preserve">planned obsolescence. Manufacturers pursue legal action against customers who share methods to modify software on hardware they own, help others bypass software restrictions on purchased hardware, or remove subscription requirements for hardware functions.</w:t>
      </w:r>
      <w:r/>
    </w:p>
    <w:p>
      <w:pPr>
        <w:pStyle w:val="962"/>
        <w:pBdr/>
        <w:spacing/>
        <w:ind/>
        <w:rPr/>
      </w:pPr>
      <w:r>
        <w:t xml:space="preserve">The Yesoul exercise bike exemplifies artificial software gating: its screen casting feature requires a subscription despite the hardware being fully capable with</w:t>
      </w:r>
      <w:r>
        <w:t xml:space="preserve">out one and there being no ongoing service cost to justify the subscription. Tesla similarly restricts car features through software requiring payment to unlock—even though the customer owns the hardware and the features are already present in the vehicle.</w:t>
      </w:r>
      <w:r/>
    </w:p>
    <w:p>
      <w:pPr>
        <w:pStyle w:val="962"/>
        <w:pBdr/>
        <w:spacing/>
        <w:ind/>
        <w:rPr/>
      </w:pPr>
      <w:r>
        <w:t xml:space="preserve">Digital credits expiration represents another form of this abuse. The Augmented Code platfor</w:t>
      </w:r>
      <w:r>
        <w:t xml:space="preserve">m’s purchased credits expire in 12 months, meaning a user who purchases $10,000 in credits but uses only $5,000 in one year loses the remaining $5,000 due to arbitrary expiration with no legitimate justification, forcing repurchase of already-paid credits.</w:t>
      </w:r>
      <w:r/>
    </w:p>
    <w:p>
      <w:pPr>
        <w:pStyle w:val="962"/>
        <w:pBdr/>
        <w:spacing/>
        <w:ind/>
        <w:rPr/>
      </w:pPr>
      <w:r>
        <w:t xml:space="preserve">From an Islamic perspective, these practices violate customer ownership rights, transparency requirements, the prohibition against unjust consumption of others’ wealth, and the prohibition against creating artificial scarcity to extract additional payment.</w:t>
      </w:r>
      <w:r/>
    </w:p>
    <w:p>
      <w:pPr>
        <w:pStyle w:val="962"/>
        <w:pBdr/>
        <w:spacing/>
        <w:ind/>
        <w:rPr/>
      </w:pPr>
      <w:r>
        <w:rPr>
          <w:b/>
          <w:bCs/>
        </w:rPr>
        <w:t xml:space="preserve">Sources:</w:t>
      </w:r>
      <w:r>
        <w:t xml:space="preserve"> Louis Rossmann videos on right to repair; Consumer Rights Wiki; FULU non-profit organization; </w:t>
      </w:r>
      <w:hyperlink r:id="rId80" w:tooltip="https://www.wheresyoured.at/oracle-openai/" w:history="1">
        <w:r>
          <w:rPr>
            <w:rStyle w:val="1008"/>
          </w:rPr>
          <w:t xml:space="preserve">https://www.wheresyoured.at/oracle-openai/</w:t>
        </w:r>
      </w:hyperlink>
      <w:r/>
      <w:r/>
    </w:p>
    <w:p>
      <w:pPr>
        <w:pStyle w:val="962"/>
        <w:pBdr/>
        <w:spacing/>
        <w:ind/>
        <w:rPr/>
      </w:pPr>
      <w:r>
        <w:rPr>
          <w:b/>
          <w:bCs/>
        </w:rPr>
        <w:t xml:space="preserve">2.1.3.19 Lack of Transparency</w:t>
      </w:r>
      <w:r/>
    </w:p>
    <w:p>
      <w:pPr>
        <w:pStyle w:val="962"/>
        <w:pBdr/>
        <w:spacing/>
        <w:ind/>
        <w:rPr/>
      </w:pPr>
      <w:r>
        <w:t xml:space="preserve">Software service companies obscure pricing and terms, making informed decisions difficult or impossible. Warp’s pricing provides an illustrative example—as one commentator noted,</w:t>
      </w:r>
      <w:r>
        <w:t xml:space="preserve"> </w:t>
      </w:r>
      <w:r>
        <w:t xml:space="preserve">“you’ll need a spreadsheet, a tarot deck, and possibly divine intervention”</w:t>
      </w:r>
      <w:r>
        <w:t xml:space="preserve"> </w:t>
      </w:r>
      <w:r>
        <w:t xml:space="preserve">to understand it (Source: </w:t>
      </w:r>
      <w:hyperlink r:id="rId81" w:tooltip="https://blog.kilocode.ai/p/warps-new-pricing-still-doesnt-add" w:history="1">
        <w:r>
          <w:rPr>
            <w:rStyle w:val="1008"/>
          </w:rPr>
          <w:t xml:space="preserve">https://blog.kilocode.ai/p/warps-new-pricing-still-doesnt-add</w:t>
        </w:r>
      </w:hyperlink>
      <w:r>
        <w:t xml:space="preserve">).</w:t>
      </w:r>
      <w:r/>
    </w:p>
    <w:p>
      <w:pPr>
        <w:pStyle w:val="962"/>
        <w:pBdr/>
        <w:spacing/>
        <w:ind/>
        <w:rPr/>
      </w:pPr>
      <w:r>
        <w:t xml:space="preserve">General transparency issues include hidi</w:t>
      </w:r>
      <w:r>
        <w:t xml:space="preserve">ng information in thousand-line legal documents no one reads, creating complex pricing structures designed to obscure true costs, lacking clear disclosure about data usage, and maintaining opaque business practices that prevent informed consumer decisions.</w:t>
      </w:r>
      <w:r/>
    </w:p>
    <w:p>
      <w:pPr>
        <w:pStyle w:val="962"/>
        <w:pBdr/>
        <w:spacing/>
        <w:ind/>
        <w:rPr/>
      </w:pPr>
      <w:r>
        <w:t xml:space="preserve">From an Islamic perspective, transparency is a core business principle. Hidden terms and deliberate obscurity violate the requirement for clear, informed consent in transactions.</w:t>
      </w:r>
      <w:r/>
    </w:p>
    <w:p>
      <w:pPr>
        <w:pStyle w:val="962"/>
        <w:pBdr/>
        <w:spacing/>
        <w:ind/>
        <w:rPr/>
      </w:pPr>
      <w:r>
        <w:rPr>
          <w:b/>
          <w:bCs/>
        </w:rPr>
        <w:t xml:space="preserve">2.1.3.19A Disclosure, Licensing, and Metric Transparency</w:t>
      </w:r>
      <w:r/>
    </w:p>
    <w:p>
      <w:pPr>
        <w:pStyle w:val="962"/>
        <w:pBdr/>
        <w:spacing/>
        <w:ind/>
        <w:rPr/>
      </w:pPr>
      <w:r>
        <w:t xml:space="preserve">Transparency violations also appear when software businesses obscure the signals users rely on to judge trustworthiness. Regulatory guidance on influencer endorsements emphasizes</w:t>
      </w:r>
      <w:r>
        <w:t xml:space="preserve"> that material relationships must be disclosed clearly and close to the endorsement, while the FTC’s 2024 rule against fake reviews and testimonials shows that fabricated social evidence and paid artificial influence are not merely marketing style but a re</w:t>
      </w:r>
      <w:r>
        <w:t xml:space="preserve">cognized consumer-protection problem. In software markets, similar dynamics appear when users treat reviews, endorsements, follower counts, or repository stars as evidence of trustworthiness without knowing whether those signals were earned or manipulated.</w:t>
      </w:r>
      <w:r/>
    </w:p>
    <w:p>
      <w:pPr>
        <w:pStyle w:val="962"/>
        <w:pBdr/>
        <w:spacing/>
        <w:ind/>
        <w:rPr/>
      </w:pPr>
      <w:r>
        <w:t xml:space="preserve">Open-source governance adds another transparency challenge. The public ONLYOFFICE / Euro-Office dispute shows how software freedom, trademark restrictions, and AGPL Section 7 interpretations can become contested even among actors claiming</w:t>
      </w:r>
      <w:r>
        <w:t xml:space="preserve"> open-source legitimacy. The safe lesson is not that one party is legally correct, but that unclear licensing conditions and public compliance disputes can damage user trust and make it difficult for communities to know what freedoms they actually receive.</w:t>
      </w:r>
      <w:r/>
    </w:p>
    <w:p>
      <w:pPr>
        <w:pStyle w:val="962"/>
        <w:pBdr/>
        <w:spacing/>
        <w:ind/>
        <w:rPr/>
      </w:pPr>
      <w:r>
        <w:t xml:space="preserve">Metric gaming creates a related business-practice problem. Rese</w:t>
      </w:r>
      <w:r>
        <w:t xml:space="preserve">arch publicized by Carnegie Mellon University reports millions of suspected fake GitHub stars, showing that popularity metrics can be manipulated and therefore should not be treated as direct evidence of quality, adoption, or moral trustworthiness. From an</w:t>
      </w:r>
      <w:r>
        <w:t xml:space="preserve"> Islamic perspective, undisclosed sponsorship, contested freedom claims, and manipulated trust signals all weaken Sidq (truthfulness) and Amanah (trustworthiness) in commercial relationships because they interfere with informed consent and fair evaluation.</w:t>
      </w:r>
      <w:r/>
    </w:p>
    <w:p>
      <w:pPr>
        <w:pStyle w:val="962"/>
        <w:pBdr/>
        <w:spacing/>
        <w:ind/>
        <w:rPr/>
      </w:pPr>
      <w:r>
        <w:rPr>
          <w:b/>
          <w:bCs/>
        </w:rPr>
        <w:t xml:space="preserve">Sources:</w:t>
      </w:r>
      <w:r>
        <w:t xml:space="preserve"> FTC, “Disclosures</w:t>
      </w:r>
      <w:r>
        <w:t xml:space="preserve"> 101 for Social Media Influencers,” 2019; FTC, “Final Rule Banning Fake Reviews and Testimonials,” 2024; FSF, “You cannot use the GNU (A)GPL to take software freedom away,” 2026; Carnegie Mellon University, “Fraudsters Use Fake Stars To Game GitHub,” 2025.</w:t>
      </w:r>
      <w:r/>
    </w:p>
    <w:p>
      <w:pPr>
        <w:pStyle w:val="962"/>
        <w:pBdr/>
        <w:spacing/>
        <w:ind/>
        <w:rPr/>
      </w:pPr>
      <w:r>
        <w:rPr>
          <w:b/>
          <w:bCs/>
        </w:rPr>
        <w:t xml:space="preserve">2.1.3.20 Tricking Clients</w:t>
      </w:r>
      <w:r/>
    </w:p>
    <w:p>
      <w:pPr>
        <w:pStyle w:val="962"/>
        <w:pBdr/>
        <w:spacing/>
        <w:ind/>
        <w:rPr/>
      </w:pPr>
      <w:r>
        <w:t xml:space="preserve">False freemium practices involve advertising as</w:t>
      </w:r>
      <w:r>
        <w:t xml:space="preserve"> </w:t>
      </w:r>
      <w:r>
        <w:t xml:space="preserve">“free”</w:t>
      </w:r>
      <w:r>
        <w:t xml:space="preserve"> </w:t>
      </w:r>
      <w:r>
        <w:t xml:space="preserve">while putting core functionality behind paywalls, where the free plan is essentially useless, basic features require paid plans, and users are misled about actual accessibility.</w:t>
      </w:r>
      <w:r/>
    </w:p>
    <w:p>
      <w:pPr>
        <w:pStyle w:val="962"/>
        <w:pBdr/>
        <w:spacing/>
        <w:ind/>
        <w:rPr/>
      </w:pPr>
      <w:r>
        <w:t xml:space="preserve">Ownership illusions represent a more fundamental form of deception. When users</w:t>
      </w:r>
      <w:r>
        <w:t xml:space="preserve"> </w:t>
      </w:r>
      <w:r>
        <w:t xml:space="preserve">“buy”</w:t>
      </w:r>
      <w:r>
        <w:t xml:space="preserve"> </w:t>
      </w:r>
      <w:r>
        <w:t xml:space="preserve">games or media on platforms like Steam or Amazon, they actually </w:t>
      </w:r>
      <w:r>
        <w:t xml:space="preserve">receive only a license to access. The company can revoke access at any time, an account ban results in losing all purchases, and the company can remove purchased items from libraries—something that has actually happened. Users do not actually own what they</w:t>
      </w:r>
      <w:r>
        <w:t xml:space="preserve"> </w:t>
      </w:r>
      <w:r>
        <w:t xml:space="preserve">“bought.”</w:t>
      </w:r>
      <w:r>
        <w:t xml:space="preserve"> </w:t>
      </w:r>
      <w:r>
        <w:t xml:space="preserve">Games requiring company servers compound this problem: when companies shut down servers, the game becomes unplayable and users’ purchases become worthless with no recourse for customers.</w:t>
      </w:r>
      <w:r/>
    </w:p>
    <w:p>
      <w:pPr>
        <w:pStyle w:val="962"/>
        <w:pBdr/>
        <w:spacing/>
        <w:ind/>
        <w:rPr/>
      </w:pPr>
      <w:r>
        <w:t xml:space="preserve">From an Islamic perspective, selling something as ownership when it is only a revocable license constitutes deception. Terms must be clear upfront.</w:t>
      </w:r>
      <w:r/>
    </w:p>
    <w:p>
      <w:pPr>
        <w:pStyle w:val="962"/>
        <w:pBdr/>
        <w:spacing/>
        <w:ind/>
        <w:rPr/>
      </w:pPr>
      <w:r>
        <w:rPr>
          <w:b/>
          <w:bCs/>
        </w:rPr>
        <w:t xml:space="preserve">2.1.3.19B Source Integrity and Evidence Standards</w:t>
      </w:r>
      <w:r/>
    </w:p>
    <w:p>
      <w:pPr>
        <w:pStyle w:val="962"/>
        <w:pBdr/>
        <w:spacing/>
        <w:ind/>
        <w:rPr/>
      </w:pPr>
      <w:r>
        <w:t xml:space="preserve">Transparency is also violated when businesses make claims without the evidence needed to evaluate them. In software marketing, claims such as “the best,” “AI-powered,” “scientifically proven,” “used by major companies,” “first in the</w:t>
      </w:r>
      <w:r>
        <w:t xml:space="preserve"> market,” or “based on the latest research” require sources, dates, benchmarks, and context. Even when a speaker is trustworthy, omitting sources sets a harmful norm: less trustworthy actors can imitate the same style while making false or outdated claims.</w:t>
      </w:r>
      <w:r/>
    </w:p>
    <w:p>
      <w:pPr>
        <w:pStyle w:val="962"/>
        <w:pBdr/>
        <w:spacing/>
        <w:ind/>
        <w:rPr/>
      </w:pPr>
      <w:r>
        <w:t xml:space="preserve">I-VSD therefore treats citation and evidence practices as part of business ethics, not merely academic formatting. Religious claims, scientific claims, performance claims, customer-logo claims, </w:t>
      </w:r>
      <w:r>
        <w:t xml:space="preserve">benchmark claims, and superiority claims should be traceable to a source and should remain current. From an Islamic perspective, this supports Sidq because it protects listeners and customers from being asked to accept persuasive claims on authority alone.</w:t>
      </w:r>
      <w:r/>
    </w:p>
    <w:p>
      <w:pPr>
        <w:pStyle w:val="962"/>
        <w:pBdr/>
        <w:spacing/>
        <w:ind/>
        <w:rPr/>
      </w:pPr>
      <w:r>
        <w:rPr>
          <w:b/>
          <w:bCs/>
        </w:rPr>
        <w:t xml:space="preserve">2.1.3.19C Ambiguous Social Evidence Presentation</w:t>
      </w:r>
      <w:r/>
    </w:p>
    <w:p>
      <w:pPr>
        <w:pStyle w:val="962"/>
        <w:pBdr/>
        <w:spacing/>
        <w:ind/>
        <w:rPr/>
      </w:pPr>
      <w:r>
        <w:t xml:space="preserve">Some transparency violations are not obvious lies but ambiguous presentations that can still distort user judgment. A repeated review carousel, for example, may be intended as a smooth vi</w:t>
      </w:r>
      <w:r>
        <w:t xml:space="preserve">sual effect, but if the same few testimonials repeat indefinitely without making that repetition clear, visitors may reasonably infer that there are more independent positive reviews than actually exist. I-VSD should therefore evaluate social-evidence inte</w:t>
      </w:r>
      <w:r>
        <w:t xml:space="preserve">rfaces by context: whether the repetition is visually obvious, whether the number and source of reviews are clear, whether industry convention would still mislead ordinary users, and whether local legal or cultural expectations require stronger disclosure.</w:t>
      </w:r>
      <w:r/>
    </w:p>
    <w:p>
      <w:pPr>
        <w:pStyle w:val="962"/>
        <w:pBdr/>
        <w:spacing/>
        <w:ind/>
        <w:rPr/>
      </w:pPr>
      <w:r>
        <w:t xml:space="preserve">This does not mean every animated review component is immoral. The safer design is to show an actual end, disclose the review source, avoid duplicating identical reviews in a</w:t>
      </w:r>
      <w:r>
        <w:t xml:space="preserve"> way that simulates volume, or make repeated items visually recognizable as repeats. The ethical question is whether the interface helps users evaluate trust signals accurately or nudges them into believing social evidence exists beyond the evidence shown.</w:t>
      </w:r>
      <w:r/>
    </w:p>
    <w:p>
      <w:pPr>
        <w:pStyle w:val="962"/>
        <w:pBdr/>
        <w:spacing/>
        <w:ind/>
        <w:rPr/>
      </w:pPr>
      <w:r>
        <w:rPr>
          <w:b/>
          <w:bCs/>
        </w:rPr>
        <w:t xml:space="preserve">2.1.3.19D Comparison, Review, and Source Presentation</w:t>
      </w:r>
      <w:r/>
    </w:p>
    <w:p>
      <w:pPr>
        <w:pStyle w:val="962"/>
        <w:pBdr/>
        <w:spacing/>
        <w:ind/>
        <w:rPr/>
      </w:pPr>
      <w:r>
        <w:t xml:space="preserve">Transparency violations also occur in softer forms of marketing design. SaaS comparison matrices often present a biased field of view: the company chooses which competitors appear, which features count, how each feature is weighted, and whether par</w:t>
      </w:r>
      <w:r>
        <w:t xml:space="preserve">tial support is shown as equivalent to deep support. A small feature and a strategically decisive capability may both receive the same visual checkmark, creating the impression of objective comparison while hiding the assumptions that determine the result.</w:t>
      </w:r>
      <w:r/>
    </w:p>
    <w:p>
      <w:pPr>
        <w:pStyle w:val="962"/>
        <w:pBdr/>
        <w:spacing/>
        <w:ind/>
        <w:rPr/>
      </w:pPr>
      <w:r>
        <w:t xml:space="preserve">A more honest comparison can still persuade, but it should do so by helping users decide rather than by predetermining the answer. Ethical alternatives include use-case narratives, </w:t>
      </w:r>
      <w:r>
        <w:t xml:space="preserve">explicit “who this is not for” sections, weighted needs-based matchers, dated comparison criteria, and acknowledgment of competitor strengths. The moral question is whether the interface helps users evaluate fit or exploits their desire for a quick answer.</w:t>
      </w:r>
      <w:r/>
    </w:p>
    <w:p>
      <w:pPr>
        <w:pStyle w:val="962"/>
        <w:pBdr/>
        <w:spacing/>
        <w:ind/>
        <w:rPr/>
      </w:pPr>
      <w:r>
        <w:t xml:space="preserve">The same principle applies to review presentation and source claims. Repeating the same few testimonials in an endless carousel, presenting accounts as active users, or citing “latest studies” without refe</w:t>
      </w:r>
      <w:r>
        <w:t xml:space="preserve">rences all inflate trust signals. From an Islamic perspective, this weakens Sidq because it turns ambiguity into persuasion. Truthful marketing should define metrics, cite sources, and avoid UI patterns that make limited evidence appear broader than it is.</w:t>
      </w:r>
      <w:r/>
    </w:p>
    <w:p>
      <w:pPr>
        <w:pStyle w:val="962"/>
        <w:pBdr/>
        <w:spacing/>
        <w:ind/>
        <w:rPr/>
      </w:pPr>
      <w:r>
        <w:rPr>
          <w:b/>
          <w:bCs/>
        </w:rPr>
        <w:t xml:space="preserve">2.1.3.19E Dead Websites and Simulated Scarcity</w:t>
      </w:r>
      <w:r/>
    </w:p>
    <w:p>
      <w:pPr>
        <w:pStyle w:val="962"/>
        <w:pBdr/>
        <w:spacing/>
        <w:ind/>
        <w:rPr/>
      </w:pPr>
      <w:r>
        <w:t xml:space="preserve">A further transparency risk appears when software businesses pr</w:t>
      </w:r>
      <w:r>
        <w:t xml:space="preserve">eserve persuasive interfaces after the underlying service, offer, or business model has in practice disappeared. Archived examples of manipulative services show that scarcity, spinning-prize mechanics, and referral pressure can outlive the original product</w:t>
      </w:r>
      <w:r>
        <w:t xml:space="preserve"> as reusable design patterns. I-VSD should therefore treat such artifacts as cautionary examples rather than active evidence about a current company: the relevant lesson is that interface patterns can normalize deception even after one implementation dies.</w:t>
      </w:r>
      <w:r/>
    </w:p>
    <w:p>
      <w:pPr>
        <w:pStyle w:val="962"/>
        <w:pBdr/>
        <w:spacing/>
        <w:ind/>
        <w:rPr/>
      </w:pPr>
      <w:r>
        <w:t xml:space="preserve">Ethical software teams sh</w:t>
      </w:r>
      <w:r>
        <w:t xml:space="preserve">ould avoid copying dead or archived growth-hacking patterns merely because they once produced attention. A pattern that depended on false scarcity, hidden odds, or social pressure remains morally suspect even if the original service is no longer operating.</w:t>
      </w:r>
      <w:r/>
    </w:p>
    <w:p>
      <w:pPr>
        <w:pBdr/>
        <w:spacing/>
        <w:ind/>
        <w:rPr/>
      </w:pPr>
      <w:r>
        <mc:AlternateContent>
          <mc:Choice Requires="wpg">
            <w:drawing>
              <wp:inline xmlns:wp="http://schemas.openxmlformats.org/drawingml/2006/wordprocessingDrawing" distT="0" distB="0" distL="0" distR="0">
                <wp:extent cx="0" cy="19050"/>
                <wp:effectExtent l="0" t="0" r="0" b="0"/>
                <wp:docPr id="17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3" o:spid="_x0000_s173" o:spt="1" type="#_x0000_t1" style="width:0.00pt;height:1.50pt;mso-wrap-distance-left:0.00pt;mso-wrap-distance-top:0.00pt;mso-wrap-distance-right:0.00pt;mso-wrap-distance-bottom:0.00pt;visibility:visible;" fillcolor="#FFFFFF" strokecolor="#000000"/>
            </w:pict>
          </mc:Fallback>
        </mc:AlternateContent>
      </w:r>
      <w:bookmarkEnd w:id="262"/>
      <w:r/>
    </w:p>
    <w:p>
      <w:pPr>
        <w:pStyle w:val="978"/>
        <w:pBdr/>
        <w:spacing/>
        <w:ind/>
        <w:rPr/>
      </w:pPr>
      <w:r/>
      <w:bookmarkStart w:id="263" w:name="Xe40def337b2919e5a1284d534a9dc1c390a4408"/>
      <w:r>
        <w:t xml:space="preserve">Restored original notes from 2.1.3.E-Platform-Abuse-and-User-Exploitation</w:t>
      </w:r>
      <w:bookmarkEnd w:id="263"/>
      <w:r/>
    </w:p>
    <w:p>
      <w:pPr>
        <w:pStyle w:val="978"/>
        <w:pBdr/>
        <w:spacing/>
        <w:ind/>
        <w:rPr/>
      </w:pPr>
      <w:r/>
      <w:bookmarkStart w:id="264" w:name="e-platform-abuse-and-user-exploitation"/>
      <w:r>
        <w:t xml:space="preserve">2.1.3.E Platform Abuse and User Exploitation</w:t>
      </w:r>
      <w:r/>
    </w:p>
    <w:p>
      <w:pPr>
        <w:pStyle w:val="963"/>
        <w:pBdr/>
        <w:spacing/>
        <w:ind/>
        <w:rPr/>
      </w:pPr>
      <w:r>
        <w:rPr>
          <w:b/>
          <w:bCs/>
        </w:rPr>
        <w:t xml:space="preserve">2.1.3.21 Abusing Clients</w:t>
      </w:r>
      <w:r/>
    </w:p>
    <w:p>
      <w:pPr>
        <w:pStyle w:val="962"/>
        <w:pBdr/>
        <w:spacing/>
        <w:ind/>
        <w:rPr/>
      </w:pPr>
      <w:r>
        <w:t xml:space="preserve">Software services abuse clients through various forms of exploitation. Sexual exploitation in marketing uses sexualized imagery to exploit male desire, manipulates natural </w:t>
      </w:r>
      <w:r>
        <w:t xml:space="preserve">attraction to increase purchases, and employs anthropomorphization as women to abuse men’s natural attraction. AI companion applications like Character.AI creating female personas and AI girlfriend applications exploit loneliness and attraction for profit.</w:t>
      </w:r>
      <w:r/>
    </w:p>
    <w:p>
      <w:pPr>
        <w:pStyle w:val="962"/>
        <w:pBdr/>
        <w:spacing/>
        <w:ind/>
        <w:rPr/>
      </w:pPr>
      <w:r>
        <w:t xml:space="preserve">Slack’s terms ch</w:t>
      </w:r>
      <w:r>
        <w:t xml:space="preserve">ange shows abuse through contractual power. A non-profit organization using Slack faced changed terms requiring either payment of hundreds of thousands of dollars or loss of all data and access to the service, with no grandfather clause for existing users.</w:t>
      </w:r>
      <w:r/>
    </w:p>
    <w:p>
      <w:pPr>
        <w:pStyle w:val="962"/>
        <w:pBdr/>
        <w:spacing/>
        <w:ind/>
        <w:rPr/>
      </w:pPr>
      <w:r>
        <w:t xml:space="preserve">Taking advantage of customer ignorance represents another form of abuse: charging above market rate because customers do not know better, exploiting lack of technical knowledge, and withholding information customers need to make informed decisions.</w:t>
      </w:r>
      <w:r/>
    </w:p>
    <w:p>
      <w:pPr>
        <w:pStyle w:val="962"/>
        <w:pBdr/>
        <w:spacing/>
        <w:ind/>
        <w:rPr/>
      </w:pPr>
      <w:r>
        <w:t xml:space="preserve">From an Islamic perspective, exploiting human weaknesses such as desire and loneliness and taking advantage of ignorance violates business ethics. Customers should be treated with dignity and fairness regardless of their knowledge level.</w:t>
      </w:r>
      <w:r/>
    </w:p>
    <w:p>
      <w:pPr>
        <w:pStyle w:val="962"/>
        <w:pBdr/>
        <w:spacing/>
        <w:ind/>
        <w:rPr/>
      </w:pPr>
      <w:r>
        <w:rPr>
          <w:b/>
          <w:bCs/>
        </w:rPr>
        <w:t xml:space="preserve">2.1.3.22 Monopoly Abuse</w:t>
      </w:r>
      <w:r/>
    </w:p>
    <w:p>
      <w:pPr>
        <w:pStyle w:val="962"/>
        <w:pBdr/>
        <w:spacing/>
        <w:ind/>
        <w:rPr/>
      </w:pPr>
      <w:r>
        <w:t xml:space="preserve">When a company achieves monopoly status, lack of alternatives enables customer abuse.</w:t>
      </w:r>
      <w:r/>
    </w:p>
    <w:p>
      <w:pPr>
        <w:pStyle w:val="962"/>
        <w:pBdr/>
        <w:spacing/>
        <w:ind/>
        <w:rPr/>
      </w:pPr>
      <w:r>
        <w:t xml:space="preserve">Google exemplifies this pattern, having achieved monopoly status with no comparable alternatives. It charges 30% commission on in-app purchases and prohibits use of alternative payment providers, leaving customers with no choice bu</w:t>
      </w:r>
      <w:r>
        <w:t xml:space="preserve">t to accept terms. Android policy changes further entrench this control: Google plans to require Google verification of app authors for installation, meaning apps must be signed and verified by Google, in practice preventing sideloading of unverified apps.</w:t>
      </w:r>
      <w:r/>
    </w:p>
    <w:p>
      <w:pPr>
        <w:pStyle w:val="962"/>
        <w:pBdr/>
        <w:spacing/>
        <w:ind/>
        <w:rPr/>
      </w:pPr>
      <w:r>
        <w:t xml:space="preserve">X (formerly Twitter) showed monopoly abuse when it banned </w:t>
      </w:r>
      <w:r>
        <w:t xml:space="preserve">the official EU account because the EU used an old advertising method. The old method was X’s own error—X had allowed it—but instead of taking responsibility, the platform banned the customer. Monopoly position enables arbitrary action without consequence.</w:t>
      </w:r>
      <w:r/>
    </w:p>
    <w:p>
      <w:pPr>
        <w:pStyle w:val="962"/>
        <w:pBdr/>
        <w:spacing/>
        <w:ind/>
        <w:rPr/>
      </w:pPr>
      <w:r>
        <w:t xml:space="preserve">From an Islamic perspective, monopolies that abuse their position violate principles of justice and fair dealing. Market dominance creates greater responsibility, not license for exploitation.</w:t>
      </w:r>
      <w:r/>
    </w:p>
    <w:p>
      <w:pPr>
        <w:pStyle w:val="962"/>
        <w:pBdr/>
        <w:spacing/>
        <w:ind/>
        <w:rPr/>
      </w:pPr>
      <w:r>
        <w:rPr>
          <w:b/>
          <w:bCs/>
        </w:rPr>
        <w:t xml:space="preserve">2.1.3.23 Contributing to Evil</w:t>
      </w:r>
      <w:r/>
    </w:p>
    <w:p>
      <w:pPr>
        <w:pStyle w:val="962"/>
        <w:pBdr/>
        <w:spacing/>
        <w:ind/>
        <w:rPr/>
      </w:pPr>
      <w:r>
        <w:t xml:space="preserve">Microsoft provides technologies and services to Israel that directly support the genocide in Palestine, raising fundamental questions about software companies’ moral responsibility for how their products are used.</w:t>
      </w:r>
      <w:r/>
    </w:p>
    <w:p>
      <w:pPr>
        <w:pStyle w:val="962"/>
        <w:pBdr/>
        <w:spacing/>
        <w:ind/>
        <w:rPr/>
      </w:pPr>
      <w:r>
        <w:t xml:space="preserve">In Islam, even in legitimate warfare, clear prohibitions exist. It is for</w:t>
      </w:r>
      <w:r>
        <w:t xml:space="preserve">bidden to kill non-combatant innocent civilians, elderly persons, women, children, or animals. It is forbidden to destroy religious buildings or to kill religious leaders such as priests, rabbis, or imams. Israel violates all of these Islamic rules of war.</w:t>
      </w:r>
      <w:r/>
    </w:p>
    <w:p>
      <w:pPr>
        <w:pStyle w:val="962"/>
        <w:pBdr/>
        <w:spacing/>
        <w:ind/>
        <w:rPr/>
      </w:pPr>
      <w:r>
        <w:t xml:space="preserve">The Islamic principle is clear: one cannot contribute to evil. Providing technology that enables genocide is absolutely prohibited. The Quran states:</w:t>
      </w:r>
      <w:r>
        <w:t xml:space="preserve"> </w:t>
      </w:r>
      <w:r>
        <w:t xml:space="preserve">“And cooperate in righteousness and piety, but do not cooperate in sin and aggression”</w:t>
      </w:r>
      <w:r>
        <w:t xml:space="preserve"> </w:t>
      </w:r>
      <w:r>
        <w:t xml:space="preserve">(Quran 5:2). The Prophet Muhammad (PBUH) established clear rules of warfare prohibiting the killing of non-combatants, as documented in Sahih al-Bukhari and the instructions given to military commanders.</w:t>
      </w:r>
      <w:r/>
    </w:p>
    <w:p>
      <w:pPr>
        <w:pStyle w:val="962"/>
        <w:pBdr/>
        <w:spacing/>
        <w:ind/>
        <w:rPr/>
      </w:pPr>
      <w:r>
        <w:t xml:space="preserve">Beyond direct military applications, software can be weaponized in other ways. In Gaza, communication devices were engineered to explode at specific frequencies, killing many people—showing how software-enabled devices can become instruments of violence.</w:t>
      </w:r>
      <w:r/>
    </w:p>
    <w:p>
      <w:pPr>
        <w:pStyle w:val="962"/>
        <w:pBdr/>
        <w:spacing/>
        <w:ind/>
        <w:rPr/>
      </w:pPr>
      <w:r>
        <w:t xml:space="preserve">From an Islamic perspective, direct contribution to war crimes and genocide is among the gravest moral violations. Technology companies bear moral responsibility for how their products are used, especially when they have direct knowledge of such use.</w:t>
      </w:r>
      <w:r/>
    </w:p>
    <w:p>
      <w:pPr>
        <w:pStyle w:val="962"/>
        <w:pBdr/>
        <w:spacing/>
        <w:ind/>
        <w:rPr/>
      </w:pPr>
      <w:r>
        <w:rPr>
          <w:b/>
          <w:bCs/>
        </w:rPr>
        <w:t xml:space="preserve">2.1.3.24 Unethical Marketing Practices</w:t>
      </w:r>
      <w:r/>
    </w:p>
    <w:p>
      <w:pPr>
        <w:pStyle w:val="962"/>
        <w:pBdr/>
        <w:spacing/>
        <w:ind/>
        <w:rPr/>
      </w:pPr>
      <w:r>
        <w:t xml:space="preserve">OpenAI allegedly leaks product announcements to inf</w:t>
      </w:r>
      <w:r>
        <w:t xml:space="preserve">late valuation, including claims about a social media company (Sora 2 video feed), productivity suite competing with Microsoft, jobs portal by mid-2026, advertising platform by 2026, cloud compute services like AWS/Azure, semiconductor design with Broadcom</w:t>
      </w:r>
      <w:r>
        <w:t xml:space="preserve"> by 2026, consumer hardware by late 2026 or early 2027, smart speakers, voice recorders, AR glasses, and a Chromium-based browser. Many of these are ideas leaked specifically to pump valuation and raise money rather than confirmed actual products (Source: </w:t>
      </w:r>
      <w:hyperlink r:id="rId82" w:tooltip="https://www.wheresyoured.at/oracle-openai/" w:history="1">
        <w:r>
          <w:rPr>
            <w:rStyle w:val="1008"/>
          </w:rPr>
          <w:t xml:space="preserve">https://www.wheresyoured.at/oracle-openai/</w:t>
        </w:r>
      </w:hyperlink>
      <w:r>
        <w:t xml:space="preserve">).</w:t>
      </w:r>
      <w:r/>
    </w:p>
    <w:p>
      <w:pPr>
        <w:pStyle w:val="962"/>
        <w:pBdr/>
        <w:spacing/>
        <w:ind/>
        <w:rPr/>
      </w:pPr>
      <w:r>
        <w:t xml:space="preserve">Misleading benchmarks represent another form of unethical marketing. In comparisons like Redis versus Drag</w:t>
      </w:r>
      <w:r>
        <w:t xml:space="preserve">onFlyDB, benchmarks shown in marketing only display scenarios where one tool performs best, emphasize rare edge cases rather than typical usage, omit factors that would favor competitors, and remain technically accurate while being deliberately misleading.</w:t>
      </w:r>
      <w:r/>
    </w:p>
    <w:p>
      <w:pPr>
        <w:pStyle w:val="962"/>
        <w:pBdr/>
        <w:spacing/>
        <w:ind/>
        <w:rPr/>
      </w:pPr>
      <w:r>
        <w:t xml:space="preserve">“Coming Soon”</w:t>
      </w:r>
      <w:r>
        <w:t xml:space="preserve"> </w:t>
      </w:r>
      <w:r>
        <w:t xml:space="preserve">features constitute a form of marketing what one does not possess—prohibited in Islam. The Blitz App marked features as</w:t>
      </w:r>
      <w:r>
        <w:t xml:space="preserve"> </w:t>
      </w:r>
      <w:r>
        <w:t xml:space="preserve">“Coming Soon”</w:t>
      </w:r>
      <w:r>
        <w:t xml:space="preserve"> </w:t>
      </w:r>
      <w:r>
        <w:t xml:space="preserve">inside the application itself, where users see this with no notion of timeline and assume it means weeks or a month. Users purchased the app because of</w:t>
      </w:r>
      <w:r>
        <w:t xml:space="preserve"> promised features that were then delayed for many months; they would not have purchased without this feature promise. Better practice places roadmap items in blogs, roadmap pages, or forums rather than in the app itself as if they were available features.</w:t>
      </w:r>
      <w:r/>
    </w:p>
    <w:p>
      <w:pPr>
        <w:pStyle w:val="962"/>
        <w:pBdr/>
        <w:spacing/>
        <w:ind/>
        <w:rPr/>
      </w:pPr>
      <w:r>
        <w:t xml:space="preserve">False urgency through messages like</w:t>
      </w:r>
      <w:r>
        <w:t xml:space="preserve"> </w:t>
      </w:r>
      <w:r>
        <w:t xml:space="preserve">“This plan will soon end, buy now or you might miss it!”</w:t>
      </w:r>
      <w:r>
        <w:t xml:space="preserve"> </w:t>
      </w:r>
      <w:r>
        <w:t xml:space="preserve">pressures users to decide immediately despite offers continuing for months afterward and the same message being shown to new users continuously. Deepfakes and AI-generated content in marketi</w:t>
      </w:r>
      <w:r>
        <w:t xml:space="preserve">ng raise questions about responsibility for damage these tools cause, with AI-generated User Generated Content in marketing being particularly problematic. Email marketing abuse through sending multiple emails per day disrespects customers’ time and inbox.</w:t>
      </w:r>
      <w:r/>
    </w:p>
    <w:p>
      <w:pPr>
        <w:pStyle w:val="962"/>
        <w:pBdr/>
        <w:spacing/>
        <w:ind/>
        <w:rPr/>
      </w:pPr>
      <w:r>
        <w:t xml:space="preserve">Misleading branding occurs when software promotes itself as a</w:t>
      </w:r>
      <w:r>
        <w:t xml:space="preserve"> </w:t>
      </w:r>
      <w:r>
        <w:t xml:space="preserve">“Git utility”</w:t>
      </w:r>
      <w:r>
        <w:t xml:space="preserve"> </w:t>
      </w:r>
      <w:r>
        <w:t xml:space="preserve">while only supporting GitHub through proprietary API, failing to support Codeberg, GitLab, or other services. Such software should be called</w:t>
      </w:r>
      <w:r>
        <w:t xml:space="preserve"> </w:t>
      </w:r>
      <w:r>
        <w:t xml:space="preserve">“GitHub Utility”</w:t>
      </w:r>
      <w:r>
        <w:t xml:space="preserve"> </w:t>
      </w:r>
      <w:r>
        <w:t xml:space="preserve">rather than dressing itself up as more universal than it is.</w:t>
      </w:r>
      <w:r/>
    </w:p>
    <w:p>
      <w:pPr>
        <w:pStyle w:val="962"/>
        <w:pBdr/>
        <w:spacing/>
        <w:ind/>
        <w:rPr/>
      </w:pPr>
      <w:r>
        <w:t xml:space="preserve">Marketing versus development imbalance occurs when comp</w:t>
      </w:r>
      <w:r>
        <w:t xml:space="preserve">anies put disproportionate effort into marketing with MVP products receiving no updates for months after launch. Customers do not know development is abandoned and are misled into thinking the product is still being developed while the company simply extra</w:t>
      </w:r>
      <w:r>
        <w:t xml:space="preserve">cts cash through marketing. Open source provides better transparency since repositories show actual ongoing development, commit history, and repository activity—actions speaking louder than words while enabling risk management and informed decision-making.</w:t>
      </w:r>
      <w:r/>
    </w:p>
    <w:p>
      <w:pPr>
        <w:pStyle w:val="962"/>
        <w:pBdr/>
        <w:spacing/>
        <w:ind/>
        <w:rPr/>
      </w:pPr>
      <w:r>
        <w:t xml:space="preserve">Other marketing problems include over-generalizations, logical fallacies, hiding knowledge customers need for informed decisions, overly biased presentations, and cher</w:t>
      </w:r>
      <w:r>
        <w:t xml:space="preserve">ry-picking scenarios. Serverless marketing exemplifies this by emphasizing drawbacks of server management that are only applicable in specific scenarios while many scenarios favor traditional servers, using misleading statistics and incomplete comparisons.</w:t>
      </w:r>
      <w:r/>
    </w:p>
    <w:p>
      <w:pPr>
        <w:pStyle w:val="962"/>
        <w:pBdr/>
        <w:spacing/>
        <w:ind/>
        <w:rPr/>
      </w:pPr>
      <w:r>
        <w:t xml:space="preserve">From an Islamic perspective, all forms of deception in marketing—false urgency, marketing non-existent features, and misleading branding—violate honesty requirements. Marketing should provide truthful, complete information enabling informed decisions.</w:t>
      </w:r>
      <w:r/>
    </w:p>
    <w:p>
      <w:pPr>
        <w:pStyle w:val="962"/>
        <w:pBdr/>
        <w:spacing/>
        <w:ind/>
        <w:rPr/>
      </w:pPr>
      <w:r>
        <w:rPr>
          <w:b/>
          <w:bCs/>
        </w:rPr>
        <w:t xml:space="preserve">2.1.3.25 Financial Manipulation and Stock Market Deception</w:t>
      </w:r>
      <w:r/>
    </w:p>
    <w:p>
      <w:pPr>
        <w:pStyle w:val="962"/>
        <w:pBdr/>
        <w:spacing/>
        <w:ind/>
        <w:rPr/>
      </w:pPr>
      <w:r>
        <w:t xml:space="preserve">Tech companies engage in coordinated schemes to inflate their market valuations through various forms of financial manipulation.</w:t>
      </w:r>
      <w:r/>
    </w:p>
    <w:p>
      <w:pPr>
        <w:pStyle w:val="962"/>
        <w:pBdr/>
        <w:spacing/>
        <w:ind/>
        <w:rPr/>
      </w:pPr>
      <w:r>
        <w:t xml:space="preserve">Circular revenue schemes involve Company A paying Company B for</w:t>
      </w:r>
      <w:r>
        <w:t xml:space="preserve"> </w:t>
      </w:r>
      <w:r>
        <w:t xml:space="preserve">“services,”</w:t>
      </w:r>
      <w:r>
        <w:t xml:space="preserve"> </w:t>
      </w:r>
      <w:r>
        <w:t xml:space="preserve">Company B paying Company C for</w:t>
      </w:r>
      <w:r>
        <w:t xml:space="preserve"> </w:t>
      </w:r>
      <w:r>
        <w:t xml:space="preserve">“services,”</w:t>
      </w:r>
      <w:r>
        <w:t xml:space="preserve"> </w:t>
      </w:r>
      <w:r>
        <w:t xml:space="preserve">and Company C paying Company A for</w:t>
      </w:r>
      <w:r>
        <w:t xml:space="preserve"> </w:t>
      </w:r>
      <w:r>
        <w:t xml:space="preserve">“services.”</w:t>
      </w:r>
      <w:r>
        <w:t xml:space="preserve"> </w:t>
      </w:r>
      <w:r>
        <w:t xml:space="preserve">All three report increased revenue, investors see</w:t>
      </w:r>
      <w:r>
        <w:t xml:space="preserve"> </w:t>
      </w:r>
      <w:r>
        <w:t xml:space="preserve">“growth”</w:t>
      </w:r>
      <w:r>
        <w:t xml:space="preserve"> </w:t>
      </w:r>
      <w:r>
        <w:t xml:space="preserve">that does not exist, and valuations inflate based on fake revenue until the scheme eventually collapses—as seen with WeWork, FTX, and various crypto schemes.</w:t>
      </w:r>
      <w:r/>
    </w:p>
    <w:p>
      <w:pPr>
        <w:pStyle w:val="962"/>
        <w:pBdr/>
        <w:spacing/>
        <w:ind/>
        <w:rPr/>
      </w:pPr>
      <w:r>
        <w:t xml:space="preserve">Investor announcement pumping involves companies strategically leaking announcements before funding rounds. Claims like</w:t>
      </w:r>
      <w:r>
        <w:t xml:space="preserve"> </w:t>
      </w:r>
      <w:r>
        <w:t xml:space="preserve">“we’re launching a social media platform”</w:t>
      </w:r>
      <w:r>
        <w:t xml:space="preserve"> </w:t>
      </w:r>
      <w:r>
        <w:t xml:space="preserve">when they are merely exploring the idea, or</w:t>
      </w:r>
      <w:r>
        <w:t xml:space="preserve"> </w:t>
      </w:r>
      <w:r>
        <w:t xml:space="preserve">“we’re building hardware”</w:t>
      </w:r>
      <w:r>
        <w:t xml:space="preserve"> </w:t>
      </w:r>
      <w:r>
        <w:t xml:space="preserve">when they have hired one person to research, or</w:t>
      </w:r>
      <w:r>
        <w:t xml:space="preserve"> </w:t>
      </w:r>
      <w:r>
        <w:t xml:space="preserve">“we’re entering the enterprise market”</w:t>
      </w:r>
      <w:r>
        <w:t xml:space="preserve"> </w:t>
      </w:r>
      <w:r>
        <w:t xml:space="preserve">after one sales call—each announcement pumps valuation as investors succumb to fear of missing out and pay higher valuations despite reality never matching announcements. OpenAI provides a documented example of this pattern with strategic leaks about socia</w:t>
      </w:r>
      <w:r>
        <w:t xml:space="preserve">l media platforms, productivity suites, jobs portals, advertising platforms, cloud compute services, semiconductor design, consumer hardware, smart speakers, and browsers—many being ideas leaked to inflate valuation rather than confirmed products (Source: </w:t>
      </w:r>
      <w:hyperlink r:id="rId83" w:tooltip="https://www.wheresyoured.at/oracle-openai/" w:history="1">
        <w:r>
          <w:rPr>
            <w:rStyle w:val="1008"/>
          </w:rPr>
          <w:t xml:space="preserve">https://www.wheresyoured.at/oracle-openai/</w:t>
        </w:r>
      </w:hyperlink>
      <w:r>
        <w:t xml:space="preserve">).</w:t>
      </w:r>
      <w:r/>
    </w:p>
    <w:p>
      <w:pPr>
        <w:pStyle w:val="962"/>
        <w:pBdr/>
        <w:spacing/>
        <w:ind/>
        <w:rPr/>
      </w:pPr>
      <w:r>
        <w:t xml:space="preserve">Metrics manipulation involves counting free users as</w:t>
      </w:r>
      <w:r>
        <w:t xml:space="preserve"> </w:t>
      </w:r>
      <w:r>
        <w:t xml:space="preserve">“users”</w:t>
      </w:r>
      <w:r>
        <w:t xml:space="preserve"> </w:t>
      </w:r>
      <w:r>
        <w:t xml:space="preserve">without disclosure, reporting Gross Merchandise Value instead of actual revenue, using Annual Recurring Revenue projections instead of actual recurring revenue, reporting</w:t>
      </w:r>
      <w:r>
        <w:t xml:space="preserve"> </w:t>
      </w:r>
      <w:r>
        <w:t xml:space="preserve">“potential”</w:t>
      </w:r>
      <w:r>
        <w:t xml:space="preserve"> </w:t>
      </w:r>
      <w:r>
        <w:t xml:space="preserve">revenue as if it were guaranteed, and hiding churn rates while emphasizing new signups.</w:t>
      </w:r>
      <w:r/>
    </w:p>
    <w:p>
      <w:pPr>
        <w:pStyle w:val="962"/>
        <w:pBdr/>
        <w:spacing/>
        <w:ind/>
        <w:rPr/>
      </w:pPr>
      <w:r>
        <w:t xml:space="preserve">From an Islamic perspective, these practices constitute Gharar (</w:t>
      </w:r>
      <w:r>
        <w:t xml:space="preserve">excessive uncertainty) by creating uncertainty about true company value, Ghish (deception) by misleading investors about actual business health, and consuming wealth unjustly by taking investor money under false pretenses. The Prophet Muhammad (PBUH) said:</w:t>
      </w:r>
      <w:r>
        <w:t xml:space="preserve"> </w:t>
      </w:r>
      <w:r>
        <w:t xml:space="preserve">“Whoever cheats us is not one of us”</w:t>
      </w:r>
      <w:r>
        <w:t xml:space="preserve"> </w:t>
      </w:r>
      <w:r>
        <w:t xml:space="preserve">(Sahih Muslim).</w:t>
      </w:r>
      <w:r/>
    </w:p>
    <w:p>
      <w:pPr>
        <w:pStyle w:val="962"/>
        <w:pBdr/>
        <w:spacing/>
        <w:ind/>
        <w:rPr/>
      </w:pPr>
      <w:r>
        <w:rPr>
          <w:b/>
          <w:bCs/>
        </w:rPr>
        <w:t xml:space="preserve">2.1.3.26 AI Marketing Deception (</w:t>
      </w:r>
      <w:r>
        <w:rPr>
          <w:b/>
          <w:bCs/>
        </w:rPr>
        <w:t xml:space="preserve">“AI-Washing”</w:t>
      </w:r>
      <w:r>
        <w:rPr>
          <w:b/>
          <w:bCs/>
        </w:rPr>
        <w:t xml:space="preserve">)</w:t>
      </w:r>
      <w:r/>
    </w:p>
    <w:p>
      <w:pPr>
        <w:pStyle w:val="962"/>
        <w:pBdr/>
        <w:spacing/>
        <w:ind/>
        <w:rPr/>
      </w:pPr>
      <w:r>
        <w:t xml:space="preserve">A pervasive industry trend sees companies falsely claiming AI capabilities in what has become known as</w:t>
      </w:r>
      <w:r>
        <w:t xml:space="preserve"> </w:t>
      </w:r>
      <w:r>
        <w:t xml:space="preserve">“AI-washing.”</w:t>
      </w:r>
      <w:r/>
    </w:p>
    <w:p>
      <w:pPr>
        <w:pStyle w:val="962"/>
        <w:pBdr/>
        <w:spacing/>
        <w:ind/>
        <w:rPr/>
      </w:pPr>
      <w:r>
        <w:t xml:space="preserve">AI-washing takes several forms. Some products claim</w:t>
      </w:r>
      <w:r>
        <w:t xml:space="preserve"> </w:t>
      </w:r>
      <w:r>
        <w:t xml:space="preserve">“AI-powered”</w:t>
      </w:r>
      <w:r>
        <w:t xml:space="preserve"> </w:t>
      </w:r>
      <w:r>
        <w:t xml:space="preserve">status while using simple if-else logic, where</w:t>
      </w:r>
      <w:r>
        <w:t xml:space="preserve"> </w:t>
      </w:r>
      <w:r>
        <w:t xml:space="preserve">“AI recommendations”</w:t>
      </w:r>
      <w:r>
        <w:t xml:space="preserve"> </w:t>
      </w:r>
      <w:r>
        <w:t xml:space="preserve">are just random selection or popularity sorting and</w:t>
      </w:r>
      <w:r>
        <w:t xml:space="preserve"> </w:t>
      </w:r>
      <w:r>
        <w:t xml:space="preserve">“AI assistants”</w:t>
      </w:r>
      <w:r>
        <w:t xml:space="preserve"> </w:t>
      </w:r>
      <w:r>
        <w:t xml:space="preserve">are keyword-matching chatbots from 2010. Other services employ the</w:t>
      </w:r>
      <w:r>
        <w:t xml:space="preserve"> </w:t>
      </w:r>
      <w:r>
        <w:t xml:space="preserve">“human behind the curtain”</w:t>
      </w:r>
      <w:r>
        <w:t xml:space="preserve"> </w:t>
      </w:r>
      <w:r>
        <w:t xml:space="preserve">approach where</w:t>
      </w:r>
      <w:r>
        <w:t xml:space="preserve"> </w:t>
      </w:r>
      <w:r>
        <w:t xml:space="preserve">“AI”</w:t>
      </w:r>
      <w:r>
        <w:t xml:space="preserve"> </w:t>
      </w:r>
      <w:r>
        <w:t xml:space="preserve">services are actually performed by underpaid human workers, with companies claiming automation while employing armies of contractors and using Amazon Mechanical Turk while marketing it as</w:t>
      </w:r>
      <w:r>
        <w:t xml:space="preserve"> </w:t>
      </w:r>
      <w:r>
        <w:t xml:space="preserve">“machine learning.”</w:t>
      </w:r>
      <w:r>
        <w:t xml:space="preserve"> </w:t>
      </w:r>
      <w:r>
        <w:t xml:space="preserve">Still others exaggerate trivial AI by marketing basic ML models like linear regression as</w:t>
      </w:r>
      <w:r>
        <w:t xml:space="preserve"> </w:t>
      </w:r>
      <w:r>
        <w:t xml:space="preserve">“advanced AI,”</w:t>
      </w:r>
      <w:r>
        <w:t xml:space="preserve"> </w:t>
      </w:r>
      <w:r>
        <w:t xml:space="preserve">calling pre-trained models with no customization</w:t>
      </w:r>
      <w:r>
        <w:t xml:space="preserve"> </w:t>
      </w:r>
      <w:r>
        <w:t xml:space="preserve">“proprietary AI,”</w:t>
      </w:r>
      <w:r>
        <w:t xml:space="preserve"> </w:t>
      </w:r>
      <w:r>
        <w:t xml:space="preserve">and describing simple pattern matching as</w:t>
      </w:r>
      <w:r>
        <w:t xml:space="preserve"> </w:t>
      </w:r>
      <w:r>
        <w:t xml:space="preserve">“artificial intelligence.”</w:t>
      </w:r>
      <w:r>
        <w:t xml:space="preserve"> </w:t>
      </w:r>
      <w:r>
        <w:t xml:space="preserve">Finally, some deploy AI that simply does not work—models with accuracy so low they perform worse than random chance, AI that makes decisions only for humans to review and change 90% of them, or</w:t>
      </w:r>
      <w:r>
        <w:t xml:space="preserve"> </w:t>
      </w:r>
      <w:r>
        <w:t xml:space="preserve">“AI-enhanced”</w:t>
      </w:r>
      <w:r>
        <w:t xml:space="preserve"> </w:t>
      </w:r>
      <w:r>
        <w:t xml:space="preserve">products that perform worse than their non-AI versions.</w:t>
      </w:r>
      <w:r/>
    </w:p>
    <w:p>
      <w:pPr>
        <w:pStyle w:val="962"/>
        <w:pBdr/>
        <w:spacing/>
        <w:ind/>
        <w:rPr/>
      </w:pPr>
      <w:r>
        <w:t xml:space="preserve">Real examples abound. Amazon Just Walk Out was marketed as AI-powered checkout but actually relied on over 1,000 workers in India reviewing footage. X (Twitter) Grok claimed AI curation, but users found it was largely human-curated content. Various</w:t>
      </w:r>
      <w:r>
        <w:t xml:space="preserve"> </w:t>
      </w:r>
      <w:r>
        <w:t xml:space="preserve">“AI startups”</w:t>
      </w:r>
      <w:r>
        <w:t xml:space="preserve"> </w:t>
      </w:r>
      <w:r>
        <w:t xml:space="preserve">have faced SEC investigations revealing no actual AI technology.</w:t>
      </w:r>
      <w:r/>
    </w:p>
    <w:p>
      <w:pPr>
        <w:pStyle w:val="962"/>
        <w:pBdr/>
        <w:spacing/>
        <w:ind/>
        <w:rPr/>
      </w:pPr>
      <w:r>
        <w:t xml:space="preserve">The</w:t>
      </w:r>
      <w:r>
        <w:t xml:space="preserve"> </w:t>
      </w:r>
      <w:r>
        <w:t xml:space="preserve">“everything is AI”</w:t>
      </w:r>
      <w:r>
        <w:t xml:space="preserve"> </w:t>
      </w:r>
      <w:r>
        <w:t xml:space="preserve">epidemic has led to absurd claims:</w:t>
      </w:r>
      <w:r>
        <w:t xml:space="preserve"> </w:t>
      </w:r>
      <w:r>
        <w:t xml:space="preserve">“AI-powered toasters”</w:t>
      </w:r>
      <w:r>
        <w:t xml:space="preserve"> </w:t>
      </w:r>
      <w:r>
        <w:t xml:space="preserve">that merely have timers,</w:t>
      </w:r>
      <w:r>
        <w:t xml:space="preserve"> </w:t>
      </w:r>
      <w:r>
        <w:t xml:space="preserve">“AI-enhanced calendars”</w:t>
      </w:r>
      <w:r>
        <w:t xml:space="preserve"> </w:t>
      </w:r>
      <w:r>
        <w:t xml:space="preserve">that send reminders,</w:t>
      </w:r>
      <w:r>
        <w:t xml:space="preserve"> </w:t>
      </w:r>
      <w:r>
        <w:t xml:space="preserve">“AI writing assistants”</w:t>
      </w:r>
      <w:r>
        <w:t xml:space="preserve"> </w:t>
      </w:r>
      <w:r>
        <w:t xml:space="preserve">that are spell checkers,</w:t>
      </w:r>
      <w:r>
        <w:t xml:space="preserve"> </w:t>
      </w:r>
      <w:r>
        <w:t xml:space="preserve">“AI fitness coaches”</w:t>
      </w:r>
      <w:r>
        <w:t xml:space="preserve"> </w:t>
      </w:r>
      <w:r>
        <w:t xml:space="preserve">that count calories, and</w:t>
      </w:r>
      <w:r>
        <w:t xml:space="preserve"> </w:t>
      </w:r>
      <w:r>
        <w:t xml:space="preserve">“AI investment advisors”</w:t>
      </w:r>
      <w:r>
        <w:t xml:space="preserve"> </w:t>
      </w:r>
      <w:r>
        <w:t xml:space="preserve">providing basic portfolio allocation.</w:t>
      </w:r>
      <w:r/>
    </w:p>
    <w:p>
      <w:pPr>
        <w:pStyle w:val="962"/>
        <w:pBdr/>
        <w:spacing/>
        <w:ind/>
        <w:rPr/>
      </w:pPr>
      <w:r>
        <w:t xml:space="preserve">From an Islamic perspective, this constitutes pure false advertising, which is prohibited. Claiming capabilities that do not exist is lying. The Quran states:</w:t>
      </w:r>
      <w:r>
        <w:t xml:space="preserve"> </w:t>
      </w:r>
      <w:r>
        <w:t xml:space="preserve">“O you who believe! Why do you say what you do not do? Most hateful it is to Allah that you say what you do not do”</w:t>
      </w:r>
      <w:r>
        <w:t xml:space="preserve"> </w:t>
      </w:r>
      <w:r>
        <w:t xml:space="preserve">(Quran 61:2-3).</w:t>
      </w:r>
      <w:r/>
    </w:p>
    <w:p>
      <w:pPr>
        <w:pStyle w:val="962"/>
        <w:pBdr/>
        <w:spacing/>
        <w:ind/>
        <w:rPr/>
      </w:pPr>
      <w:r>
        <w:rPr>
          <w:b/>
          <w:bCs/>
        </w:rPr>
        <w:t xml:space="preserve">2.1.3.27 Enshittification: The Platform Decay Pattern</w:t>
      </w:r>
      <w:r/>
    </w:p>
    <w:p>
      <w:pPr>
        <w:pStyle w:val="962"/>
        <w:pBdr/>
        <w:spacing/>
        <w:ind/>
        <w:rPr/>
      </w:pPr>
      <w:r>
        <w:t xml:space="preserve">Coined by Cory Doct</w:t>
      </w:r>
      <w:r>
        <w:t xml:space="preserve">orow, enshittification describes how platforms systematically degrade through predictable stages. In Stage 1 (User Attraction), platforms offer excellent free service, users flock to the platform, the platform prioritizes user experience, and the mantra is</w:t>
      </w:r>
      <w:r>
        <w:t xml:space="preserve"> </w:t>
      </w:r>
      <w:r>
        <w:t xml:space="preserve">“we’ll figure out monetization later.”</w:t>
      </w:r>
      <w:r>
        <w:t xml:space="preserve"> </w:t>
      </w:r>
      <w:r>
        <w:t xml:space="preserve">In Stage 2 (Business Customer Extraction), the platform achieves user lock-in, begins charging businesses to reach users, introduces</w:t>
      </w:r>
      <w:r>
        <w:t xml:space="preserve"> </w:t>
      </w:r>
      <w:r>
        <w:t xml:space="preserve">“pay for visibility”</w:t>
      </w:r>
      <w:r>
        <w:t xml:space="preserve"> </w:t>
      </w:r>
      <w:r>
        <w:t xml:space="preserve">models, and deliberately reduces organic reach. In Stage 3 (User Exploitation), the platform extracts maximum value from users while ads increase, experience degrades, features are removed or</w:t>
      </w:r>
      <w:r>
        <w:t xml:space="preserve"> put behind paywalls, and data harvesting intensifies. In Stage 4 (Death Spiral), users begin leaving, the platform increases extraction to compensate, quality further degrades, and eventually the platform is replaced by a successor that repeats the cycle.</w:t>
      </w:r>
      <w:r/>
    </w:p>
    <w:p>
      <w:pPr>
        <w:pStyle w:val="962"/>
        <w:pBdr/>
        <w:spacing/>
        <w:ind/>
        <w:rPr/>
      </w:pPr>
      <w:r>
        <w:t xml:space="preserve">Documented examples show this pattern. Facebook/Meta evolved from a clean interface with chronological feed in 2008 to algorithmic feed forcing business pages to pay for reach by 2015, to aggressive ads and privacy scandals by 2020, to a </w:t>
      </w:r>
      <w:r>
        <w:t xml:space="preserve">cluttered interface with AI-generated content and engagement bait by 2024. Google Search went from clean results with the best pages ranked first in 2000, to more ads by 2010, to a first page dominated by ads with SEO-gamed content and buried results by 20</w:t>
      </w:r>
      <w:r>
        <w:t xml:space="preserve">20, to AI-generated SEO spam and declining quality by 2024. Amazon progressed from low prices and fast shipping in 2005 to Prime price increases in 2015, to search results dominated by ads and counterfeit products by 2020, to ubiquitous ads and meaningless</w:t>
      </w:r>
      <w:r>
        <w:t xml:space="preserve"> </w:t>
      </w:r>
      <w:r>
        <w:t xml:space="preserve">“Amazon’s Choice”</w:t>
      </w:r>
      <w:r>
        <w:t xml:space="preserve"> </w:t>
      </w:r>
      <w:r>
        <w:t xml:space="preserve">badges by 2024. Twitter/X transformed from simple chronological microblogging in 2010 to algorithmic timeline with increased ads by 2015, to engagement bait </w:t>
      </w:r>
      <w:r>
        <w:t xml:space="preserve">and spam by 2020, to pay-to-play verification and quality exodus by 2024. GitHub post-Microsoft acquisition has seen Actions pricing increases, Copilot controversy, locked features, increasing monetization pressure, and AI training on code without consent.</w:t>
      </w:r>
      <w:r/>
    </w:p>
    <w:p>
      <w:pPr>
        <w:pStyle w:val="962"/>
        <w:pBdr/>
        <w:spacing/>
        <w:ind/>
        <w:rPr/>
      </w:pPr>
      <w:r>
        <w:t xml:space="preserve">The pattern occurs because v</w:t>
      </w:r>
      <w:r>
        <w:t xml:space="preserve">enture capital demands growth at all costs, public markets demand quarterly profit increases, no natural stopping point exists for extraction, users face switching costs through network effects and data lock-in, and regulations lag behind platform changes.</w:t>
      </w:r>
      <w:r/>
    </w:p>
    <w:p>
      <w:pPr>
        <w:pStyle w:val="962"/>
        <w:pBdr/>
        <w:spacing/>
        <w:ind/>
        <w:rPr/>
      </w:pPr>
      <w:r>
        <w:t xml:space="preserve">From an Islamic perspective, enshittification violates multi</w:t>
      </w:r>
      <w:r>
        <w:t xml:space="preserve">ple principles: breaking implicit promises that users joined expecting, betraying trust (Khiyanah) that users placed in platforms, causing gradual harm through death by a thousand cuts, and exploiting lock-in by taking advantage of users’ trapped position.</w:t>
      </w:r>
      <w:r/>
    </w:p>
    <w:p>
      <w:pPr>
        <w:pStyle w:val="962"/>
        <w:pBdr/>
        <w:spacing/>
        <w:ind/>
        <w:rPr/>
      </w:pPr>
      <w:r>
        <w:rPr>
          <w:b/>
          <w:bCs/>
        </w:rPr>
        <w:t xml:space="preserve">2.1.3.28 Open Source Abuse and Abandonment</w:t>
      </w:r>
      <w:r/>
    </w:p>
    <w:p>
      <w:pPr>
        <w:pStyle w:val="962"/>
        <w:pBdr/>
        <w:spacing/>
        <w:ind/>
        <w:rPr/>
      </w:pPr>
      <w:r>
        <w:t xml:space="preserve">Companies exploit open source goodwill for profit through several patterns.</w:t>
      </w:r>
      <w:r/>
    </w:p>
    <w:p>
      <w:pPr>
        <w:pStyle w:val="962"/>
        <w:pBdr/>
        <w:spacing/>
        <w:ind/>
        <w:rPr/>
      </w:pPr>
      <w:r>
        <w:t xml:space="preserve">The</w:t>
      </w:r>
      <w:r>
        <w:t xml:space="preserve"> </w:t>
      </w:r>
      <w:r>
        <w:t xml:space="preserve">“community building then closure”</w:t>
      </w:r>
      <w:r>
        <w:t xml:space="preserve"> </w:t>
      </w:r>
      <w:r>
        <w:t xml:space="preserve">pattern involves launching as open source to build community, receiving fr</w:t>
      </w:r>
      <w:r>
        <w:t xml:space="preserve">ee contributions, bug reports, and evangelism, then once established, closing the source or crippling the open version. The community feels betrayed, but the company has secured market position. Real examples include Minio making breaking changes and reduc</w:t>
      </w:r>
      <w:r>
        <w:t xml:space="preserve">ing the open source version, HashiCorp (Terraform) changing license from open source to BSL, Redis changing to dual-license restricting cloud providers, Elastic (Elasticsearch) changing license to prevent AWS competition, and MongoDB’s SSPL license change.</w:t>
      </w:r>
      <w:r/>
    </w:p>
    <w:p>
      <w:pPr>
        <w:pStyle w:val="962"/>
        <w:pBdr/>
        <w:spacing/>
        <w:ind/>
        <w:rPr/>
      </w:pPr>
      <w:r>
        <w:t xml:space="preserve">Open core exploitation, as discussed in Section 2.1.3.13, involves companies claiming</w:t>
      </w:r>
      <w:r>
        <w:t xml:space="preserve"> </w:t>
      </w:r>
      <w:r>
        <w:t xml:space="preserve">“open source”</w:t>
      </w:r>
      <w:r>
        <w:t xml:space="preserve"> </w:t>
      </w:r>
      <w:r>
        <w:t xml:space="preserve">while requiring paid licenses for core features, making self-hosting deliberately difficult, holding enterprise features hostage, and providing a barely functional community version.</w:t>
      </w:r>
      <w:r/>
    </w:p>
    <w:p>
      <w:pPr>
        <w:pStyle w:val="962"/>
        <w:pBdr/>
        <w:spacing/>
        <w:ind/>
        <w:rPr/>
      </w:pPr>
      <w:r>
        <w:t xml:space="preserve">Maintainer exploitation occurs when companies profit billions from open source dependencies while original maintainers receive nothing, burn out from unpaid labor, and security vulnerab</w:t>
      </w:r>
      <w:r>
        <w:t xml:space="preserve">ilities go unpatched due to this burnout. Log4j was used by virtually every Java application and maintained by volunteers until a critical vulnerability (Log4Shell) was discovered, causing billions in damage while maintainers were blamed and the project re</w:t>
      </w:r>
      <w:r>
        <w:t xml:space="preserve">mains mostly volunteer-maintained. The core-js library, used by millions of websites, saw maintainer Denis Pushkarev work unpaid until he was imprisoned on unrelated charges, nearly abandoning the project despite no corporate support despite massive usage.</w:t>
      </w:r>
      <w:r/>
    </w:p>
    <w:p>
      <w:pPr>
        <w:pStyle w:val="962"/>
        <w:pBdr/>
        <w:spacing/>
        <w:ind/>
        <w:rPr/>
      </w:pPr>
      <w:r>
        <w:t xml:space="preserve">From an Islamic perspective, these practices violate several principles: consuming others’ labor without payment (the Prophet (PBUH) said:</w:t>
      </w:r>
      <w:r>
        <w:t xml:space="preserve"> </w:t>
      </w:r>
      <w:r>
        <w:t xml:space="preserve">“Give the worker his wages before his sweat dries”</w:t>
      </w:r>
      <w:r>
        <w:t xml:space="preserve"> </w:t>
      </w:r>
      <w:r>
        <w:t xml:space="preserve">— Ibn Majah), breaking trust since community contributed expecting continued openness, and ingratitude through benefiting enormously while giving nothing back.</w:t>
      </w:r>
      <w:r/>
    </w:p>
    <w:p>
      <w:pPr>
        <w:pStyle w:val="962"/>
        <w:pBdr/>
        <w:spacing/>
        <w:ind/>
        <w:rPr/>
      </w:pPr>
      <w:r>
        <w:rPr>
          <w:b/>
          <w:bCs/>
        </w:rPr>
        <w:t xml:space="preserve">2.1.3.29 Subscription Trap and Hostile Pricing</w:t>
      </w:r>
      <w:r/>
    </w:p>
    <w:p>
      <w:pPr>
        <w:pStyle w:val="962"/>
        <w:pBdr/>
        <w:spacing/>
        <w:ind/>
        <w:rPr/>
      </w:pPr>
      <w:r>
        <w:t xml:space="preserve">Companies force subscriptions for products that do not need them, extending subscription requirements to physical products and converting previously one-time purchases.</w:t>
      </w:r>
      <w:r/>
    </w:p>
    <w:p>
      <w:pPr>
        <w:pStyle w:val="962"/>
        <w:pBdr/>
        <w:spacing/>
        <w:ind/>
        <w:rPr/>
      </w:pPr>
      <w:r>
        <w:t xml:space="preserve">Physical products now requiring subscriptions include HP Printers with ink subscriptions that cause the printer to stop working without them, Peloton bikes becoming useless without $44/m</w:t>
      </w:r>
      <w:r>
        <w:t xml:space="preserve">onth subscriptions, BMW heated seats requiring monthly subscriptions despite the hardware already being installed, Tesla Full Self-Driving subscriptions for features the car already has, and Yesoul Exercise Bikes requiring subscriptions for screen casting.</w:t>
      </w:r>
      <w:r/>
    </w:p>
    <w:p>
      <w:pPr>
        <w:pStyle w:val="962"/>
        <w:pBdr/>
        <w:spacing/>
        <w:ind/>
        <w:rPr/>
      </w:pPr>
      <w:r>
        <w:t xml:space="preserve">Software that was once a one-time purchase has converted to p</w:t>
      </w:r>
      <w:r>
        <w:t xml:space="preserve">erpetual subscriptions: Adobe Creative Suite went from $2,000 one-time to $55/month forever, Microsoft Office went from $150 one-time to $100/year, Autodesk eliminated perpetual licenses entirely, and Sketch converted from one-time to subscription pricing.</w:t>
      </w:r>
      <w:r/>
    </w:p>
    <w:p>
      <w:pPr>
        <w:pStyle w:val="962"/>
        <w:pBdr/>
        <w:spacing/>
        <w:ind/>
        <w:rPr/>
      </w:pPr>
      <w:r>
        <w:t xml:space="preserve">The price creep pa</w:t>
      </w:r>
      <w:r>
        <w:t xml:space="preserve">ttern follows a predictable trajectory: launch with low subscription price to build user base, gradually increase prices year over year, exploit user lock-in through data, workflow, and switching costs, increase prices faster than inflation, and ultimately</w:t>
      </w:r>
      <w:r>
        <w:t xml:space="preserve"> destroy the original value proposition. Netflix shows this pattern, going from $7.99/month with all content in 2010, to $9.99/month in 2015, to $13.99/month with fragmented content in 2020, to $15.49/month with ads and password sharing crackdowns in 2024.</w:t>
      </w:r>
      <w:r/>
    </w:p>
    <w:p>
      <w:pPr>
        <w:pStyle w:val="962"/>
        <w:pBdr/>
        <w:spacing/>
        <w:ind/>
        <w:rPr/>
      </w:pPr>
      <w:r>
        <w:t xml:space="preserve">Hidden subscription traps include free trial auto-conversion wher</w:t>
      </w:r>
      <w:r>
        <w:t xml:space="preserve">e users sign up for free but are charged after the trial, cancellation friction where subscribing takes 2 clicks but canceling requires a phone call, annual traps showing monthly prices while requiring annual billing, and hiding prices until checkout where</w:t>
      </w:r>
      <w:r>
        <w:t xml:space="preserve"> </w:t>
      </w:r>
      <w:r>
        <w:t xml:space="preserve">“Pricing”</w:t>
      </w:r>
      <w:r>
        <w:t xml:space="preserve"> </w:t>
      </w:r>
      <w:r>
        <w:t xml:space="preserve">pages require account creation.</w:t>
      </w:r>
      <w:r/>
    </w:p>
    <w:p>
      <w:pPr>
        <w:pStyle w:val="962"/>
        <w:pBdr/>
        <w:spacing/>
        <w:ind/>
        <w:rPr/>
      </w:pPr>
      <w:r>
        <w:t xml:space="preserve">From an Islamic perspective, these </w:t>
      </w:r>
      <w:r>
        <w:t xml:space="preserve">practices constitute Gharar (uncertainty) through hidden terms and automatic charges, exploitation through taking advantage of forgetfulness in free trial traps, and breaking fairness through asymmetric subscribe/cancel difficulty. The Prophet (PBUH) said:</w:t>
      </w:r>
      <w:r>
        <w:t xml:space="preserve"> </w:t>
      </w:r>
      <w:r>
        <w:t xml:space="preserve">“The two parties to a transaction have the right to annul it so long as they have not separated.”</w:t>
      </w:r>
      <w:r>
        <w:t xml:space="preserve"> </w:t>
      </w:r>
      <w:r>
        <w:t xml:space="preserve">This implies fairness in both entering and exiting agreements.</w:t>
      </w:r>
      <w:r/>
    </w:p>
    <w:p>
      <w:pPr>
        <w:pStyle w:val="962"/>
        <w:pBdr/>
        <w:spacing/>
        <w:ind/>
        <w:rPr/>
      </w:pPr>
      <w:r>
        <w:rPr>
          <w:b/>
          <w:bCs/>
        </w:rPr>
        <w:t xml:space="preserve">2.1.3.30 Cookie Consent Manipulation</w:t>
      </w:r>
      <w:r/>
    </w:p>
    <w:p>
      <w:pPr>
        <w:pStyle w:val="962"/>
        <w:pBdr/>
        <w:spacing/>
        <w:ind/>
        <w:rPr/>
      </w:pPr>
      <w:r>
        <w:t xml:space="preserve">Despite regulations requiring consent, companies systematically undermine it through dark patterns.</w:t>
      </w:r>
      <w:r/>
    </w:p>
    <w:p>
      <w:pPr>
        <w:pStyle w:val="962"/>
        <w:pBdr/>
        <w:spacing/>
        <w:ind/>
        <w:rPr/>
      </w:pPr>
      <w:r>
        <w:t xml:space="preserve">Common manipulations include asymmetric button design where</w:t>
      </w:r>
      <w:r>
        <w:t xml:space="preserve"> </w:t>
      </w:r>
      <w:r>
        <w:t xml:space="preserve">“Accept All”</w:t>
      </w:r>
      <w:r>
        <w:t xml:space="preserve"> </w:t>
      </w:r>
      <w:r>
        <w:t xml:space="preserve">appears as a large, colorful button while</w:t>
      </w:r>
      <w:r>
        <w:t xml:space="preserve"> </w:t>
      </w:r>
      <w:r>
        <w:t xml:space="preserve">“Manage Preferences”</w:t>
      </w:r>
      <w:r>
        <w:t xml:space="preserve"> </w:t>
      </w:r>
      <w:r>
        <w:t xml:space="preserve">appears </w:t>
      </w:r>
      <w:r>
        <w:t xml:space="preserve">as small, gray text designed to get clicks on Accept. Pre-checked boxes require users to manually uncheck each tracking option from all pre-selected options, sometimes numbering in the dozens. Confusing language obscures actual practices through terms like</w:t>
      </w:r>
      <w:r>
        <w:t xml:space="preserve"> </w:t>
      </w:r>
      <w:r>
        <w:t xml:space="preserve">“Legitimate Interest”</w:t>
      </w:r>
      <w:r>
        <w:t xml:space="preserve"> </w:t>
      </w:r>
      <w:r>
        <w:t xml:space="preserve">(a legal loophole to track anyway),</w:t>
      </w:r>
      <w:r>
        <w:t xml:space="preserve"> </w:t>
      </w:r>
      <w:r>
        <w:t xml:space="preserve">“Functional Cookies”</w:t>
      </w:r>
      <w:r>
        <w:t xml:space="preserve"> </w:t>
      </w:r>
      <w:r>
        <w:t xml:space="preserve">(which actually include tracking), and</w:t>
      </w:r>
      <w:r>
        <w:t xml:space="preserve"> </w:t>
      </w:r>
      <w:r>
        <w:t xml:space="preserve">“Partners”</w:t>
      </w:r>
      <w:r>
        <w:t xml:space="preserve"> </w:t>
      </w:r>
      <w:r>
        <w:t xml:space="preserve">(which hide hundreds of third parties in collapsed lists).</w:t>
      </w:r>
      <w:r/>
    </w:p>
    <w:p>
      <w:pPr>
        <w:pStyle w:val="962"/>
        <w:pBdr/>
        <w:spacing/>
        <w:ind/>
        <w:rPr/>
      </w:pPr>
      <w:r>
        <w:t xml:space="preserve">Dark patterns in settings create extreme asymmetry: accepting all takes 1 click, while rejecting all requires navigating 3 menus, scrolling, and clicking 50 times—with some sites having no</w:t>
      </w:r>
      <w:r>
        <w:t xml:space="preserve"> </w:t>
      </w:r>
      <w:r>
        <w:t xml:space="preserve">“Reject All”</w:t>
      </w:r>
      <w:r>
        <w:t xml:space="preserve"> </w:t>
      </w:r>
      <w:r>
        <w:t xml:space="preserve">option at all. Nagging and degradation compound these problems by making sites work poorly when users reject cookies, displaying constant pop-ups asking users to reconsider, and making features</w:t>
      </w:r>
      <w:r>
        <w:t xml:space="preserve"> </w:t>
      </w:r>
      <w:r>
        <w:t xml:space="preserve">“unavailable”</w:t>
      </w:r>
      <w:r>
        <w:t xml:space="preserve"> </w:t>
      </w:r>
      <w:r>
        <w:t xml:space="preserve">without tracking consent.</w:t>
      </w:r>
      <w:r/>
    </w:p>
    <w:p>
      <w:pPr>
        <w:pStyle w:val="962"/>
        <w:pBdr/>
        <w:spacing/>
        <w:ind/>
        <w:rPr/>
      </w:pPr>
      <w:r>
        <w:t xml:space="preserve">User reports confirm these patterns:</w:t>
      </w:r>
      <w:r>
        <w:t xml:space="preserve"> </w:t>
      </w:r>
      <w:r>
        <w:t xml:space="preserve">“I live in the UK and there was a new thing put in place where </w:t>
      </w:r>
      <w:r>
        <w:t xml:space="preserve">we’re supposed to have a decline option available… a lot of sites still haven’t done it and some have done funky stuff like the greyed out button being the accept option… Seems designed to confuse users into signing away their data when they dont want to.”</w:t>
      </w:r>
      <w:r/>
    </w:p>
    <w:p>
      <w:pPr>
        <w:pStyle w:val="962"/>
        <w:pBdr/>
        <w:spacing/>
        <w:ind/>
        <w:rPr/>
      </w:pPr>
      <w:r>
        <w:t xml:space="preserve">From an Islamic perspective, this constitutes deliberate deception to extract consent that is neither truly informed nor freely given. In Islamic contract law, consent obtained through deception is invalid.</w:t>
      </w:r>
      <w:r/>
    </w:p>
    <w:p>
      <w:pPr>
        <w:pBdr/>
        <w:spacing/>
        <w:ind/>
        <w:rPr/>
      </w:pPr>
      <w:r>
        <mc:AlternateContent>
          <mc:Choice Requires="wpg">
            <w:drawing>
              <wp:inline xmlns:wp="http://schemas.openxmlformats.org/drawingml/2006/wordprocessingDrawing" distT="0" distB="0" distL="0" distR="0">
                <wp:extent cx="0" cy="19050"/>
                <wp:effectExtent l="0" t="0" r="0" b="0"/>
                <wp:docPr id="17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4" o:spid="_x0000_s174" o:spt="1" type="#_x0000_t1" style="width:0.00pt;height:1.50pt;mso-wrap-distance-left:0.00pt;mso-wrap-distance-top:0.00pt;mso-wrap-distance-right:0.00pt;mso-wrap-distance-bottom:0.00pt;visibility:visible;" fillcolor="#FFFFFF" strokecolor="#000000"/>
            </w:pict>
          </mc:Fallback>
        </mc:AlternateContent>
      </w:r>
      <w:bookmarkEnd w:id="264"/>
      <w:r/>
    </w:p>
    <w:p>
      <w:pPr>
        <w:pStyle w:val="978"/>
        <w:pBdr/>
        <w:spacing/>
        <w:ind/>
        <w:rPr/>
      </w:pPr>
      <w:r/>
      <w:bookmarkStart w:id="265" w:name="Xb8d8d180c7446eb8b1cbc9d107eb4117c5508a3"/>
      <w:r>
        <w:t xml:space="preserve">Restored original notes from 2.1.3.F-Technical-and-AI-System-Violations</w:t>
      </w:r>
      <w:bookmarkEnd w:id="265"/>
      <w:r/>
    </w:p>
    <w:p>
      <w:pPr>
        <w:pStyle w:val="978"/>
        <w:pBdr/>
        <w:spacing/>
        <w:ind/>
        <w:rPr/>
      </w:pPr>
      <w:r/>
      <w:bookmarkStart w:id="266" w:name="f-technical-and-ai-system-violations"/>
      <w:r>
        <w:t xml:space="preserve">2.1.3.F Technical and AI System Violations</w:t>
      </w:r>
      <w:r/>
    </w:p>
    <w:p>
      <w:pPr>
        <w:pStyle w:val="963"/>
        <w:pBdr/>
        <w:spacing/>
        <w:ind/>
        <w:rPr/>
      </w:pPr>
      <w:r>
        <w:rPr>
          <w:b/>
          <w:bCs/>
        </w:rPr>
        <w:t xml:space="preserve">2.1.3.31 Surveillance Capitalism and IoT Spying</w:t>
      </w:r>
      <w:r/>
    </w:p>
    <w:p>
      <w:pPr>
        <w:pStyle w:val="962"/>
        <w:pBdr/>
        <w:spacing/>
        <w:ind/>
        <w:rPr/>
      </w:pPr>
      <w:r>
        <w:t xml:space="preserve">IoT devices collect data far beyond their stated purpose, constituting surveillance capitalism in the home.</w:t>
      </w:r>
      <w:r/>
    </w:p>
    <w:p>
      <w:pPr>
        <w:pStyle w:val="962"/>
        <w:pBdr/>
        <w:spacing/>
        <w:ind/>
        <w:rPr/>
      </w:pPr>
      <w:r>
        <w:t xml:space="preserve">As documented in Section 2.1.3.3, a programmer discovered his smart vacuum was filming his home, transmitting Wi-Fi passwords, and sending audio/video </w:t>
      </w:r>
      <w:r>
        <w:t xml:space="preserve">to company servers with no meaningful disclosure of this behavior. Security researchers found Flock Safety Surveillance Cameras with 60-70 cameras exposed to the internet without authentication, allowing anyone to access live streams, download 31 days of a</w:t>
      </w:r>
      <w:r>
        <w:t xml:space="preserve">rchived footage, and access administrator controls via search engines. These cameras tracked individuals in playgrounds, parking lots, and bike paths, recording children and private situations (Source: Security research verified with physical site visits).</w:t>
      </w:r>
      <w:r/>
    </w:p>
    <w:p>
      <w:pPr>
        <w:pStyle w:val="962"/>
        <w:pBdr/>
        <w:spacing/>
        <w:ind/>
        <w:rPr/>
      </w:pPr>
      <w:r>
        <w:t xml:space="preserve">S</w:t>
      </w:r>
      <w:r>
        <w:t xml:space="preserve">mart TVs record living room conversations, track viewing habits in detail, sell data to advertisers, and use Automatic Content Recognition (ACR) to capture everything displayed on screen. Voice assistants including Amazon Alexa, Google Home, and Apple Siri</w:t>
      </w:r>
      <w:r>
        <w:t xml:space="preserve"> </w:t>
      </w:r>
      <w:r>
        <w:t xml:space="preserve">“accidentally”</w:t>
      </w:r>
      <w:r>
        <w:t xml:space="preserve"> </w:t>
      </w:r>
      <w:r>
        <w:t xml:space="preserve">record conversations, employ human reviewers who listen to recordings, and use the data for advertising targeting.</w:t>
      </w:r>
      <w:r/>
    </w:p>
    <w:p>
      <w:pPr>
        <w:pStyle w:val="962"/>
        <w:pBdr/>
        <w:spacing/>
        <w:ind/>
        <w:rPr/>
      </w:pPr>
      <w:r>
        <w:t xml:space="preserve">From an Islamic perspective, these practices constitute violation of privacy, which Islam strongly protects within the home, and spying (Tajassus), which is explicitly forbidden in the Quran:</w:t>
      </w:r>
      <w:r>
        <w:t xml:space="preserve"> </w:t>
      </w:r>
      <w:r>
        <w:t xml:space="preserve">“O you who believe! Avoid much suspicion; indeed some suspicions are sins. And spy not, neither backbite one another”</w:t>
      </w:r>
      <w:r>
        <w:t xml:space="preserve"> </w:t>
      </w:r>
      <w:r>
        <w:t xml:space="preserve">(Quran 49:12).</w:t>
      </w:r>
      <w:r/>
    </w:p>
    <w:p>
      <w:pPr>
        <w:pStyle w:val="962"/>
        <w:pBdr/>
        <w:spacing/>
        <w:ind/>
        <w:rPr/>
      </w:pPr>
      <w:r>
        <w:rPr>
          <w:b/>
          <w:bCs/>
        </w:rPr>
        <w:t xml:space="preserve">2.1.3.32 Billing Exploitation and Hidden Charges</w:t>
      </w:r>
      <w:r/>
    </w:p>
    <w:p>
      <w:pPr>
        <w:pStyle w:val="962"/>
        <w:pBdr/>
        <w:spacing/>
        <w:ind/>
        <w:rPr/>
      </w:pPr>
      <w:r>
        <w:t xml:space="preserve">Invoice padding represents one form of billing exploitation. As one user reported:</w:t>
      </w:r>
      <w:r>
        <w:t xml:space="preserve"> </w:t>
      </w:r>
      <w:r>
        <w:t xml:space="preserve">“Received elevated bill, it was from old [charges] + mine. I should only pay for myself! The software that allowed this to happen has real implications! But it makes them more money so they leave it?”</w:t>
      </w:r>
      <w:r/>
    </w:p>
    <w:p>
      <w:pPr>
        <w:pStyle w:val="962"/>
        <w:pBdr/>
        <w:spacing/>
        <w:ind/>
        <w:rPr/>
      </w:pPr>
      <w:r>
        <w:t xml:space="preserve">Common bi</w:t>
      </w:r>
      <w:r>
        <w:t xml:space="preserve">lling exploitations include confusing billing cycles where users signing up mid-month are charged for the full month, canceling on the last day results in charges for the next month, and pro-rata calculations always favor the company. Hidden fees appear as</w:t>
      </w:r>
      <w:r>
        <w:t xml:space="preserve"> </w:t>
      </w:r>
      <w:r>
        <w:t xml:space="preserve">“service fees”</w:t>
      </w:r>
      <w:r>
        <w:t xml:space="preserve"> </w:t>
      </w:r>
      <w:r>
        <w:t xml:space="preserve">added at checkout,</w:t>
      </w:r>
      <w:r>
        <w:t xml:space="preserve"> </w:t>
      </w:r>
      <w:r>
        <w:t xml:space="preserve">“processing fees”</w:t>
      </w:r>
      <w:r>
        <w:t xml:space="preserve"> </w:t>
      </w:r>
      <w:r>
        <w:t xml:space="preserve">for digital transactions,</w:t>
      </w:r>
      <w:r>
        <w:t xml:space="preserve"> </w:t>
      </w:r>
      <w:r>
        <w:t xml:space="preserve">“convenience fees”</w:t>
      </w:r>
      <w:r>
        <w:t xml:space="preserve"> </w:t>
      </w:r>
      <w:r>
        <w:t xml:space="preserve">for online payment, and undisclosed</w:t>
      </w:r>
      <w:r>
        <w:t xml:space="preserve"> </w:t>
      </w:r>
      <w:r>
        <w:t xml:space="preserve">“platform fees.”</w:t>
      </w:r>
      <w:r/>
    </w:p>
    <w:p>
      <w:pPr>
        <w:pStyle w:val="962"/>
        <w:pBdr/>
        <w:spacing/>
        <w:ind/>
        <w:rPr/>
      </w:pPr>
      <w:r>
        <w:t xml:space="preserve">Automatic upgrades trigger when free tier users hit limits, u</w:t>
      </w:r>
      <w:r>
        <w:t xml:space="preserve">pgrading them without warning and potentially generating astronomical charges for cloud services. Usage-based billing traps include documented issues like GitHub Actions bugs left in production for years causing users to pay for minutes they did not need (</w:t>
      </w:r>
      <w:r>
        <w:t xml:space="preserve">“bug led to users paying more than needed cause if it only needed 4 seconds to finish it did for Minutes and it is paid by minute”</w:t>
      </w:r>
      <w:r>
        <w:t xml:space="preserve">), cloud provider overages without default spending caps, and API pricing that explodes with usage without warnings.</w:t>
      </w:r>
      <w:r/>
    </w:p>
    <w:p>
      <w:pPr>
        <w:pStyle w:val="962"/>
        <w:pBdr/>
        <w:spacing/>
        <w:ind/>
        <w:rPr/>
      </w:pPr>
      <w:r>
        <w:t xml:space="preserve">Currency and location tricks show prices in USD for non-US users with conversion rates favoring the company, and charge different prices for different countries based not on purchasing power but on willingness to pay.</w:t>
      </w:r>
      <w:r/>
    </w:p>
    <w:p>
      <w:pPr>
        <w:pStyle w:val="962"/>
        <w:pBdr/>
        <w:spacing/>
        <w:ind/>
        <w:rPr/>
      </w:pPr>
      <w:r>
        <w:t xml:space="preserve">From an Islamic perspective, taking money beyond what was agreed upon constitutes a form of theft. The Prophet (PBUH) said:</w:t>
      </w:r>
      <w:r>
        <w:t xml:space="preserve"> </w:t>
      </w:r>
      <w:r>
        <w:t xml:space="preserve">“A Muslim’s wealth is not permissible [to take] except with his willing consent”</w:t>
      </w:r>
      <w:r>
        <w:t xml:space="preserve"> </w:t>
      </w:r>
      <w:r>
        <w:t xml:space="preserve">(Ahmad).</w:t>
      </w:r>
      <w:r/>
    </w:p>
    <w:p>
      <w:pPr>
        <w:pStyle w:val="962"/>
        <w:pBdr/>
        <w:spacing/>
        <w:ind/>
        <w:rPr/>
      </w:pPr>
      <w:r>
        <w:rPr>
          <w:b/>
          <w:bCs/>
        </w:rPr>
        <w:t xml:space="preserve">2.1.3.33 Charity and Donation Platform Exploitation</w:t>
      </w:r>
      <w:r/>
    </w:p>
    <w:p>
      <w:pPr>
        <w:pStyle w:val="962"/>
        <w:pBdr/>
        <w:spacing/>
        <w:ind/>
        <w:rPr/>
      </w:pPr>
      <w:r>
        <w:t xml:space="preserve">Charity platforms present unique ethical concerns because they exploit donor goodwill. As one observer noted:</w:t>
      </w:r>
      <w:r>
        <w:t xml:space="preserve"> </w:t>
      </w:r>
      <w:r>
        <w:t xml:space="preserve">“You can have a company that offers a very good product or service. But that is involved in many immoral and unethical pr</w:t>
      </w:r>
      <w:r>
        <w:t xml:space="preserve">actices at the same time… Like a charity service that helps the poor but then it takes 15% of all donations by default and it promotes itself as taking nothing but it is something the user needs to opt out, and opting out is hard because of dark patterns.”</w:t>
      </w:r>
      <w:r/>
    </w:p>
    <w:p>
      <w:pPr>
        <w:pStyle w:val="962"/>
        <w:pBdr/>
        <w:spacing/>
        <w:ind/>
        <w:rPr/>
      </w:pPr>
      <w:r>
        <w:t xml:space="preserve">Hidden platform fees involve platforms taking percentages without clear disclosure, pre-selecting</w:t>
      </w:r>
      <w:r>
        <w:t xml:space="preserve"> </w:t>
      </w:r>
      <w:r>
        <w:t xml:space="preserve">“optional”</w:t>
      </w:r>
      <w:r>
        <w:t xml:space="preserve"> </w:t>
      </w:r>
      <w:r>
        <w:t xml:space="preserve">tips to the platform, charging processing fees higher than in</w:t>
      </w:r>
      <w:r>
        <w:t xml:space="preserve">dustry standard, and leading donors to believe 100% goes to charity. Dark pattern donations include pre-selecting recurring donations, making one-time versus recurring toggles easily missed, defaulting to higher donation amounts, and guilt-tripping through</w:t>
      </w:r>
      <w:r>
        <w:t xml:space="preserve"> </w:t>
      </w:r>
      <w:r>
        <w:t xml:space="preserve">“cover the fees”</w:t>
      </w:r>
      <w:r>
        <w:t xml:space="preserve"> </w:t>
      </w:r>
      <w:r>
        <w:t xml:space="preserve">prompts. Data harvesting involves selling donor information to marketing lists, email bombardment from</w:t>
      </w:r>
      <w:r>
        <w:t xml:space="preserve"> </w:t>
      </w:r>
      <w:r>
        <w:t xml:space="preserve">“partners,”</w:t>
      </w:r>
      <w:r>
        <w:t xml:space="preserve"> </w:t>
      </w:r>
      <w:r>
        <w:t xml:space="preserve">and sharing personal information widely.</w:t>
      </w:r>
      <w:r/>
    </w:p>
    <w:p>
      <w:pPr>
        <w:pStyle w:val="962"/>
        <w:pBdr/>
        <w:spacing/>
        <w:ind/>
        <w:rPr/>
      </w:pPr>
      <w:r>
        <w:t xml:space="preserve">From an Islamic perspective, corruption in charity is particularly grave. The Prophet (PBUH) severely warned against misappropriating charity funds. Charity collectors who take more than their due commit a form of betrayal of both donors and recipients.</w:t>
      </w:r>
      <w:r/>
    </w:p>
    <w:p>
      <w:pPr>
        <w:pStyle w:val="962"/>
        <w:pBdr/>
        <w:spacing/>
        <w:ind/>
        <w:rPr/>
      </w:pPr>
      <w:r>
        <w:rPr>
          <w:b/>
          <w:bCs/>
        </w:rPr>
        <w:t xml:space="preserve">2.1.3.34 Planned Obsolescence in Software</w:t>
      </w:r>
      <w:r/>
    </w:p>
    <w:p>
      <w:pPr>
        <w:pStyle w:val="962"/>
        <w:pBdr/>
        <w:spacing/>
        <w:ind/>
        <w:rPr/>
      </w:pPr>
      <w:r>
        <w:t xml:space="preserve">Software planned obsolescence takes several forms. Forced upgrades include Microsoft en</w:t>
      </w:r>
      <w:r>
        <w:t xml:space="preserve">ding Windows 10 support while approximately 50% of users remain on that platform, forcing hardware upgrades for Windows 11, Apple iOS updates that deliberately slow or drop support for older devices, and apps requiring newer Android versions unnecessarily.</w:t>
      </w:r>
      <w:r/>
    </w:p>
    <w:p>
      <w:pPr>
        <w:pStyle w:val="962"/>
        <w:pBdr/>
        <w:spacing/>
        <w:ind/>
        <w:rPr/>
      </w:pPr>
      <w:r>
        <w:t xml:space="preserve">Cloud dependency creation converts features that previously worked offline into internet-required functionality, removes local storage in favor of cloud solutions, and implements</w:t>
      </w:r>
      <w:r>
        <w:t xml:space="preserve"> </w:t>
      </w:r>
      <w:r>
        <w:t xml:space="preserve">“sync”</w:t>
      </w:r>
      <w:r>
        <w:t xml:space="preserve"> </w:t>
      </w:r>
      <w:r>
        <w:t xml:space="preserve">features that actually create dependency. Subscription enforcement locks previously purchased features behind subscriptions, converts one-t</w:t>
      </w:r>
      <w:r>
        <w:t xml:space="preserve">ime purchases to subscription requirements, and remotely disables features if payment lapses. Artificial incompatibility creates new file formats old software cannot read, makes API changes that break older integrations, and deliberately changes protocols.</w:t>
      </w:r>
      <w:r/>
    </w:p>
    <w:p>
      <w:pPr>
        <w:pStyle w:val="962"/>
        <w:pBdr/>
        <w:spacing/>
        <w:ind/>
        <w:rPr/>
      </w:pPr>
      <w:r>
        <w:t xml:space="preserve">From an Islamic perspective, creating artificial obsolescence to force purchases constitutes a form of deception and waste (Israf). Products should serve users for their natural lifespan rather than being artificially shortened for profit.</w:t>
      </w:r>
      <w:r/>
    </w:p>
    <w:p>
      <w:pPr>
        <w:pStyle w:val="962"/>
        <w:pBdr/>
        <w:spacing/>
        <w:ind/>
        <w:rPr/>
      </w:pPr>
      <w:r>
        <w:rPr>
          <w:b/>
          <w:bCs/>
        </w:rPr>
        <w:t xml:space="preserve">2.1.3.35 Mixed Products: Good Service, Unethical Practices</w:t>
      </w:r>
      <w:r/>
    </w:p>
    <w:p>
      <w:pPr>
        <w:pStyle w:val="962"/>
        <w:pBdr/>
        <w:spacing/>
        <w:ind/>
        <w:rPr/>
      </w:pPr>
      <w:r>
        <w:t xml:space="preserve">The moral confusion problem arises when companies that offer genuinely useful services simultaneously engage in unethical practices. As one observer noted:</w:t>
      </w:r>
      <w:r>
        <w:t xml:space="preserve"> </w:t>
      </w:r>
      <w:r>
        <w:t xml:space="preserve">“You can have a company that offers a very good product or service. But that is involved in many immoral and unethical practices at the same time. Then you may be in a tough situation cause you don’t know what to think anymore.”</w:t>
      </w:r>
      <w:r/>
    </w:p>
    <w:p>
      <w:pPr>
        <w:pStyle w:val="962"/>
        <w:pBdr/>
        <w:spacing/>
        <w:ind/>
        <w:rPr/>
      </w:pPr>
      <w:r>
        <w:t xml:space="preserve">Quranly exemplifies this problem:</w:t>
      </w:r>
      <w:r>
        <w:t xml:space="preserve"> </w:t>
      </w:r>
      <w:r>
        <w:t xml:space="preserve">“Like with Quranly that promotes as free but then you get a paywall screen and it isn’t even apparent.”</w:t>
      </w:r>
      <w:r>
        <w:t xml:space="preserve"> </w:t>
      </w:r>
      <w:r>
        <w:t xml:space="preserve">The app markets itself as a free Quran app but upon opening immediately shows a pricing page with dark patterns in the payment flow, </w:t>
      </w:r>
      <w:r>
        <w:t xml:space="preserve">exploiting Muslim desire to read the Quran. The broader problem is that companies can simultaneously provide genuinely useful services while engaging in dark patterns, having exploitative pricing, violating user privacy, and contributing to harmful causes.</w:t>
      </w:r>
      <w:r/>
    </w:p>
    <w:p>
      <w:pPr>
        <w:pStyle w:val="962"/>
        <w:pBdr/>
        <w:spacing/>
        <w:ind/>
        <w:rPr/>
      </w:pPr>
      <w:r>
        <w:t xml:space="preserve">An evaluation framework for mixed products involves identifying what specific une</w:t>
      </w:r>
      <w:r>
        <w:t xml:space="preserve">thical practices exist, assessing whether these are minor issues or fundamental violations, checking whether ethical alternatives are available, considering whether good significantly outweighs harm, and evaluating whether harm is incidental or systematic.</w:t>
      </w:r>
      <w:r/>
    </w:p>
    <w:p>
      <w:pPr>
        <w:pStyle w:val="962"/>
        <w:pBdr/>
        <w:spacing/>
        <w:ind/>
        <w:rPr/>
      </w:pPr>
      <w:r>
        <w:t xml:space="preserve">The Islamic principle in cases of mixed good and harm is that avoiding harm takes precedence over obtaining benefit (La darar wa la dirar).</w:t>
      </w:r>
      <w:r/>
    </w:p>
    <w:p>
      <w:pPr>
        <w:pBdr/>
        <w:spacing/>
        <w:ind/>
        <w:rPr/>
      </w:pPr>
      <w:r>
        <mc:AlternateContent>
          <mc:Choice Requires="wpg">
            <w:drawing>
              <wp:inline xmlns:wp="http://schemas.openxmlformats.org/drawingml/2006/wordprocessingDrawing" distT="0" distB="0" distL="0" distR="0">
                <wp:extent cx="0" cy="19050"/>
                <wp:effectExtent l="0" t="0" r="0" b="0"/>
                <wp:docPr id="17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5" o:spid="_x0000_s175" o:spt="1" type="#_x0000_t1" style="width:0.00pt;height:1.50pt;mso-wrap-distance-left:0.00pt;mso-wrap-distance-top:0.00pt;mso-wrap-distance-right:0.00pt;mso-wrap-distance-bottom:0.00pt;visibility:visible;" fillcolor="#FFFFFF" strokecolor="#000000"/>
            </w:pict>
          </mc:Fallback>
        </mc:AlternateContent>
      </w:r>
      <w:bookmarkEnd w:id="266"/>
      <w:r/>
    </w:p>
    <w:p>
      <w:pPr>
        <w:pStyle w:val="978"/>
        <w:pBdr/>
        <w:spacing/>
        <w:ind/>
        <w:rPr/>
      </w:pPr>
      <w:r/>
      <w:bookmarkStart w:id="267" w:name="X3e46936870ceafaf08238fac998fbb260ac1a06"/>
      <w:r>
        <w:t xml:space="preserve">Restored original notes from 2.1.3.G-Market-Dynamics-and-Systemic-Bias</w:t>
      </w:r>
      <w:bookmarkEnd w:id="267"/>
      <w:r/>
    </w:p>
    <w:p>
      <w:pPr>
        <w:pStyle w:val="978"/>
        <w:pBdr/>
        <w:spacing/>
        <w:ind/>
        <w:rPr/>
      </w:pPr>
      <w:r/>
      <w:bookmarkStart w:id="268" w:name="g-market-dynamics-and-systemic-bias"/>
      <w:r>
        <w:t xml:space="preserve">2.1.3.G Market Dynamics and Systemic Bias</w:t>
      </w:r>
      <w:r/>
    </w:p>
    <w:p>
      <w:pPr>
        <w:pStyle w:val="963"/>
        <w:pBdr/>
        <w:spacing/>
        <w:ind/>
        <w:rPr/>
      </w:pPr>
      <w:r>
        <w:rPr>
          <w:b/>
          <w:bCs/>
        </w:rPr>
        <w:t xml:space="preserve">2.1.3.36 Fear-Based Marketing and Biased Industry Narratives</w:t>
      </w:r>
      <w:r/>
    </w:p>
    <w:p>
      <w:pPr>
        <w:pStyle w:val="962"/>
        <w:pBdr/>
        <w:spacing/>
        <w:ind/>
        <w:rPr/>
      </w:pPr>
      <w:r>
        <w:t xml:space="preserve">Cloud providers and their ecosystem have systematically spread Fear, Uncertainty, and Doubt (FUD) about self-hosting to drive adoption of their paid services. Common fear narratives include claims that</w:t>
      </w:r>
      <w:r>
        <w:t xml:space="preserve"> </w:t>
      </w:r>
      <w:r>
        <w:t xml:space="preserve">“hosting your own database is dangerous,”</w:t>
      </w:r>
      <w:r>
        <w:t xml:space="preserve"> </w:t>
      </w:r>
      <w:r>
        <w:t xml:space="preserve">questions about</w:t>
      </w:r>
      <w:r>
        <w:t xml:space="preserve"> </w:t>
      </w:r>
      <w:r>
        <w:t xml:space="preserve">“how are you going to get all the 9s of reliability doing it yourself,”</w:t>
      </w:r>
      <w:r>
        <w:t xml:space="preserve"> </w:t>
      </w:r>
      <w:r>
        <w:t xml:space="preserve">assertions that</w:t>
      </w:r>
      <w:r>
        <w:t xml:space="preserve"> </w:t>
      </w:r>
      <w:r>
        <w:t xml:space="preserve">“you’ll need dedicated database engineers that you couldn’t (or wouldn’t want to) hire yourself,”</w:t>
      </w:r>
      <w:r>
        <w:t xml:space="preserve"> </w:t>
      </w:r>
      <w:r>
        <w:t xml:space="preserve">warnings that</w:t>
      </w:r>
      <w:r>
        <w:t xml:space="preserve"> </w:t>
      </w:r>
      <w:r>
        <w:t xml:space="preserve">“you will not sleep well at night,”</w:t>
      </w:r>
      <w:r>
        <w:t xml:space="preserve"> </w:t>
      </w:r>
      <w:r>
        <w:t xml:space="preserve">and claims that</w:t>
      </w:r>
      <w:r>
        <w:t xml:space="preserve"> </w:t>
      </w:r>
      <w:r>
        <w:t xml:space="preserve">“you cannot scale to infinity.”</w:t>
      </w:r>
      <w:r/>
    </w:p>
    <w:p>
      <w:pPr>
        <w:pStyle w:val="962"/>
        <w:pBdr/>
        <w:spacing/>
        <w:ind/>
        <w:rPr/>
      </w:pPr>
      <w:r>
        <w:t xml:space="preserve">The reality contradicts these narratives. Most cloud hosts </w:t>
      </w:r>
      <w:r>
        <w:t xml:space="preserve">run slightly modified versions of open-source software like PostgreSQL, MySQL, and Redis. Self-hosted solutions are fast, stable, and significantly cheaper. Database engineering is not a silver bullet if queries are suboptimal. Most applications never need</w:t>
      </w:r>
      <w:r>
        <w:t xml:space="preserve"> </w:t>
      </w:r>
      <w:r>
        <w:t xml:space="preserve">“infinite scale”</w:t>
      </w:r>
      <w:r>
        <w:t xml:space="preserve"> </w:t>
      </w:r>
      <w:r>
        <w:t xml:space="preserve">and can scale as needed. Many successful companies run self-hosted infrastructure.</w:t>
      </w:r>
      <w:r/>
    </w:p>
    <w:p>
      <w:pPr>
        <w:pStyle w:val="962"/>
        <w:pBdr/>
        <w:spacing/>
        <w:ind/>
        <w:rPr/>
      </w:pPr>
      <w:r>
        <w:t xml:space="preserve">The bias problem extends to cloud-certified engineers with AWS, Azure, or GCP certifications who have inherent conflicts of interest. Their careers depend on enterprises using cloud platforms, leading them to consistently present serverless as</w:t>
      </w:r>
      <w:r>
        <w:t xml:space="preserve"> </w:t>
      </w:r>
      <w:r>
        <w:t xml:space="preserve">“the dream”</w:t>
      </w:r>
      <w:r>
        <w:t xml:space="preserve"> </w:t>
      </w:r>
      <w:r>
        <w:t xml:space="preserve">and self-hosting as</w:t>
      </w:r>
      <w:r>
        <w:t xml:space="preserve"> </w:t>
      </w:r>
      <w:r>
        <w:t xml:space="preserve">“the nightmare.”</w:t>
      </w:r>
      <w:r>
        <w:t xml:space="preserve"> </w:t>
      </w:r>
      <w:r>
        <w:t xml:space="preserve">Their comparisons always favor serverless scenarios and rarely </w:t>
      </w:r>
      <w:r>
        <w:t xml:space="preserve">provide fair, balanced assessments. Misleading comparisons cherry-pick scenarios where serverless excels, ignore total cost of ownership over time, understate vendor lock-in risks, overstate complexity of self-hosting, and hide the cost explosion at scale.</w:t>
      </w:r>
      <w:r/>
    </w:p>
    <w:p>
      <w:pPr>
        <w:pStyle w:val="962"/>
        <w:pBdr/>
        <w:spacing/>
        <w:ind/>
        <w:rPr/>
      </w:pPr>
      <w:r>
        <w:t xml:space="preserve">From an Islamic perspective, this constitutes Ghish (deception) through spreading misleading information for commercial ga</w:t>
      </w:r>
      <w:r>
        <w:t xml:space="preserve">in, Ghaban Fahish through exploiting customer ignorance to charge excessive prices, and violation of Sidq through not providing honest, balanced information. (Source: Developer community discussions, particularly around PostgreSQL self-hosting experiences)</w:t>
      </w:r>
      <w:r/>
    </w:p>
    <w:p>
      <w:pPr>
        <w:pStyle w:val="962"/>
        <w:pBdr/>
        <w:spacing/>
        <w:ind/>
        <w:rPr/>
      </w:pPr>
      <w:r>
        <w:t xml:space="preserve">The Prophet (PBUH) said:</w:t>
      </w:r>
      <w:r>
        <w:t xml:space="preserve"> </w:t>
      </w:r>
      <w:r>
        <w:t xml:space="preserve">“The merchants will be raised on the Day of Resurrection as evildoers, except those who fear Allah, are honest and speak the truth.”</w:t>
      </w:r>
      <w:r>
        <w:t xml:space="preserve"> </w:t>
      </w:r>
      <w:r>
        <w:t xml:space="preserve">(Jami` at-Tirmidhi 1210)</w:t>
      </w:r>
      <w:r/>
    </w:p>
    <w:p>
      <w:pPr>
        <w:pStyle w:val="962"/>
        <w:pBdr/>
        <w:spacing/>
        <w:ind/>
        <w:rPr/>
      </w:pPr>
      <w:r>
        <w:rPr>
          <w:b/>
          <w:bCs/>
        </w:rPr>
        <w:t xml:space="preserve">2.1.3.37 Platform Monopoly and Digital Life Dependency</w:t>
      </w:r>
      <w:r/>
    </w:p>
    <w:p>
      <w:pPr>
        <w:pStyle w:val="962"/>
        <w:pBdr/>
        <w:spacing/>
        <w:ind/>
        <w:rPr/>
      </w:pPr>
      <w:r>
        <w:t xml:space="preserve">When users become dependent on a single provider for multiple services, the consequences of account termination become catastrophic.</w:t>
      </w:r>
      <w:r/>
    </w:p>
    <w:p>
      <w:pPr>
        <w:pStyle w:val="962"/>
        <w:pBdr/>
        <w:spacing/>
        <w:ind/>
        <w:rPr/>
      </w:pPr>
      <w:r>
        <w:t xml:space="preserve">A documented Google account termination case illust</w:t>
      </w:r>
      <w:r>
        <w:t xml:space="preserve">rates this danger. A father was ordered by a doctor during COVID-19 to share a medical photo of his child, which was automatically synced to Google Photos. Google’s automated systems flagged it as child exploitation material and immediately banned his enti</w:t>
      </w:r>
      <w:r>
        <w:t xml:space="preserve">re account. Police investigated and cleared the father—it was legitimate medical documentation—but despite police clearance, Google refused to reinstate the account. The consequences included losing all emails representing years of correspondence, all phot</w:t>
      </w:r>
      <w:r>
        <w:t xml:space="preserve">os in Google Cloud containing irreplaceable family memories, all contacts, access to accounts registered with Gmail (potentially dozens), Google Drive documents, and access to Android app purchases. The impact on both digital and real life was significant.</w:t>
      </w:r>
      <w:r/>
    </w:p>
    <w:p>
      <w:pPr>
        <w:pStyle w:val="962"/>
        <w:pBdr/>
        <w:spacing/>
        <w:ind/>
        <w:rPr/>
      </w:pPr>
      <w:r>
        <w:t xml:space="preserve">The su</w:t>
      </w:r>
      <w:r>
        <w:t xml:space="preserve">per app problem, exemplified by China’s WeChat, shows the extreme form of this dependency. WeChat handles messaging and social media, payments and banking, government services, shopping, transportation, healthcare appointments, and virtually everything els</w:t>
      </w:r>
      <w:r>
        <w:t xml:space="preserve">e. The control mechanism is straightforward: getting banned from WeChat means being unable to perform basic necessities, causing citizens to become afraid to criticize anything, making self-censorship the norm, and rendering dissent practically impossible.</w:t>
      </w:r>
      <w:r/>
    </w:p>
    <w:p>
      <w:pPr>
        <w:pStyle w:val="962"/>
        <w:pBdr/>
        <w:spacing/>
        <w:ind/>
        <w:rPr/>
      </w:pPr>
      <w:r>
        <w:t xml:space="preserve">Western equivalents are emerging through Google (Gmail + Drive + Photos + Android + YouTube + Maps), Apple (iCloud + Apple ID + App Store + Apple Pay), and Microsoft (Outlook + OneDrive + Windows + LinkedIn + GitHub).</w:t>
      </w:r>
      <w:r/>
    </w:p>
    <w:p>
      <w:pPr>
        <w:pStyle w:val="962"/>
        <w:pBdr/>
        <w:spacing/>
        <w:ind/>
        <w:rPr/>
      </w:pPr>
      <w:r>
        <w:t xml:space="preserve">From an Islamic perspective, these situations represent violation of justice (Adl) through disproporti</w:t>
      </w:r>
      <w:r>
        <w:t xml:space="preserve">onate punishment for perceived infractions, violation of Islamic principles of fair adjudication through lack of meaningful appeal, and excessive concentration of unchecked power which Islam warns against. The Quran emphasizes justice even against oneself:</w:t>
      </w:r>
      <w:r>
        <w:t xml:space="preserve"> </w:t>
      </w:r>
      <w:r>
        <w:t xml:space="preserve">“O you who believe! Stand out firmly for justice, as witnesses to Allah, even as against yourselves”</w:t>
      </w:r>
      <w:r>
        <w:t xml:space="preserve"> </w:t>
      </w:r>
      <w:r>
        <w:t xml:space="preserve">(Quran 4:135).</w:t>
      </w:r>
      <w:r/>
    </w:p>
    <w:p>
      <w:pPr>
        <w:pStyle w:val="962"/>
        <w:pBdr/>
        <w:spacing/>
        <w:ind/>
        <w:rPr/>
      </w:pPr>
      <w:r>
        <w:rPr>
          <w:b/>
          <w:bCs/>
        </w:rPr>
        <w:t xml:space="preserve">2.1.3.38 Privacy as Security: The Blackmail Risk</w:t>
      </w:r>
      <w:r/>
    </w:p>
    <w:p>
      <w:pPr>
        <w:pStyle w:val="962"/>
        <w:pBdr/>
        <w:spacing/>
        <w:ind/>
        <w:rPr/>
      </w:pPr>
      <w:r>
        <w:t xml:space="preserve">The common argument</w:t>
      </w:r>
      <w:r>
        <w:t xml:space="preserve"> </w:t>
      </w:r>
      <w:r>
        <w:t xml:space="preserve">“I have nothing to hide, so privacy isn’t important”</w:t>
      </w:r>
      <w:r>
        <w:t xml:space="preserve"> </w:t>
      </w:r>
      <w:r>
        <w:t xml:space="preserve">fundamentally misunderstands the nature of privacy threats.</w:t>
      </w:r>
      <w:r/>
    </w:p>
    <w:p>
      <w:pPr>
        <w:pStyle w:val="962"/>
        <w:pBdr/>
        <w:spacing/>
        <w:ind/>
        <w:rPr/>
      </w:pPr>
      <w:r>
        <w:t xml:space="preserve">Privacy is not about hiding wrongdoing. I</w:t>
      </w:r>
      <w:r>
        <w:t xml:space="preserve">t is about not trusting others’ intentions with your information, not trusting others’ judgment about your information, preventing information from being used against you, protecting against misinterpretation, and protecting against future context changes.</w:t>
      </w:r>
      <w:r/>
    </w:p>
    <w:p>
      <w:pPr>
        <w:pStyle w:val="962"/>
        <w:pBdr/>
        <w:spacing/>
        <w:ind/>
        <w:rPr/>
      </w:pPr>
      <w:r>
        <w:t xml:space="preserve">Consider a software service that knows your browsing history, your private messages, your location history, your financial transactions, and your personal photos. Attack possibilities include direct blackmail (</w:t>
      </w:r>
      <w:r>
        <w:t xml:space="preserve">“pay us or we share your history with family/employer”</w:t>
      </w:r>
      <w:r>
        <w:t xml:space="preserve">), selective disclosure of out-of-context informatio</w:t>
      </w:r>
      <w:r>
        <w:t xml:space="preserve">n to damage reputation, interpretation attacks that present innocent actions as suspicious, future vulnerability where information harmless today may be damaging in changed circumstances, and third-party breaches where data is stolen and used by criminals.</w:t>
      </w:r>
      <w:r/>
    </w:p>
    <w:p>
      <w:pPr>
        <w:pStyle w:val="962"/>
        <w:pBdr/>
        <w:spacing/>
        <w:ind/>
        <w:rPr/>
      </w:pPr>
      <w:r>
        <w:t xml:space="preserve">Real-world examples show these threats: the Ashley Madison b</w:t>
      </w:r>
      <w:r>
        <w:t xml:space="preserve">reach led to suicides after affair data was leaked, dating app data has been used for targeted blackmail, location data has been used to out LGBTQ individuals in hostile countries, and leaked communications have been used for political opposition research.</w:t>
      </w:r>
      <w:r/>
    </w:p>
    <w:p>
      <w:pPr>
        <w:pStyle w:val="962"/>
        <w:pBdr/>
        <w:spacing/>
        <w:ind/>
        <w:rPr/>
      </w:pPr>
      <w:r>
        <w:t xml:space="preserve">The correct statement is:</w:t>
      </w:r>
      <w:r>
        <w:t xml:space="preserve"> </w:t>
      </w:r>
      <w:r>
        <w:t xml:space="preserve">“I don’t trust your intentions and judgment, so I don’t want you to have anything you can use against me—even through interpretation, conspiracy theory, or other means.”</w:t>
      </w:r>
      <w:r/>
    </w:p>
    <w:p>
      <w:pPr>
        <w:pStyle w:val="962"/>
        <w:pBdr/>
        <w:spacing/>
        <w:ind/>
        <w:rPr/>
      </w:pPr>
      <w:r>
        <w:t xml:space="preserve">From an Islamic perspective, this involves protection of honor (’Ird) which Islam strongly protects, prevention of Fitnah since data can be used to create discord and harm, and the prohibition of spying where</w:t>
      </w:r>
      <w:r>
        <w:t xml:space="preserve"> </w:t>
      </w:r>
      <w:r>
        <w:t xml:space="preserve">“And spy not”</w:t>
      </w:r>
      <w:r>
        <w:t xml:space="preserve"> </w:t>
      </w:r>
      <w:r>
        <w:t xml:space="preserve">(Quran 49:12) protects against information gathering that could be weaponized.</w:t>
      </w:r>
      <w:r/>
    </w:p>
    <w:p>
      <w:pPr>
        <w:pStyle w:val="962"/>
        <w:pBdr/>
        <w:spacing/>
        <w:ind/>
        <w:rPr/>
      </w:pPr>
      <w:r>
        <w:rPr>
          <w:b/>
          <w:bCs/>
        </w:rPr>
        <w:t xml:space="preserve">2.1.3.39 Unfair Governance and Biased Authority</w:t>
      </w:r>
      <w:r/>
    </w:p>
    <w:p>
      <w:pPr>
        <w:pStyle w:val="962"/>
        <w:pBdr/>
        <w:spacing/>
        <w:ind/>
        <w:rPr/>
      </w:pPr>
      <w:r>
        <w:t xml:space="preserve">Software platforms are governed by their owners, and when those owners are unethical, the platform becomes a vehicle for harm.</w:t>
      </w:r>
      <w:r/>
    </w:p>
    <w:p>
      <w:pPr>
        <w:pStyle w:val="962"/>
        <w:pBdr/>
        <w:spacing/>
        <w:ind/>
        <w:rPr/>
      </w:pPr>
      <w:r>
        <w:t xml:space="preserve">This manifests through selective enforcement where rules are applied strictly to some users while being ignored for others, with favoritism toward paying customers or alli</w:t>
      </w:r>
      <w:r>
        <w:t xml:space="preserve">es and maximum enforcement targeting enemies. Biased moderation aligns content moderation with the owner’s political views, suppresses legitimate criticism, and amplifies preferred narratives. Financial exploitation includes Ponzi schemes disguised as legi</w:t>
      </w:r>
      <w:r>
        <w:t xml:space="preserve">timate platforms, rug pulls in cryptocurrency/NFT projects, and investment fraud through software platforms. No accountability exists because terms of service grant unlimited power, meaningful appeal processes are absent, and external oversight is lacking.</w:t>
      </w:r>
      <w:r/>
    </w:p>
    <w:p>
      <w:pPr>
        <w:pStyle w:val="962"/>
        <w:pBdr/>
        <w:spacing/>
        <w:ind/>
        <w:rPr/>
      </w:pPr>
      <w:r>
        <w:t xml:space="preserve">A governance gap exists because traditional businesses </w:t>
      </w:r>
      <w:r>
        <w:t xml:space="preserve">are subject to consumer protection laws, employment regulations, financial auditing, and legal liability, while software platforms often operate with blanket liability waivers, unilateral term changes, extraterritorial operations, and regulatory arbitrage.</w:t>
      </w:r>
      <w:r/>
    </w:p>
    <w:p>
      <w:pPr>
        <w:pStyle w:val="962"/>
        <w:pBdr/>
        <w:spacing/>
        <w:ind/>
        <w:rPr/>
      </w:pPr>
      <w:r>
        <w:t xml:space="preserve">From an Islamic perspective, leaders must rule with justice rather than personal interest. The Prophet (PBUH) said:</w:t>
      </w:r>
      <w:r>
        <w:t xml:space="preserve"> </w:t>
      </w:r>
      <w:r>
        <w:t xml:space="preserve">“Each of you is a shepherd and each of you is responsible for his flock”</w:t>
      </w:r>
      <w:r>
        <w:t xml:space="preserve"> </w:t>
      </w:r>
      <w:r>
        <w:t xml:space="preserve">(Sahih al-Bukhari). He also warned:</w:t>
      </w:r>
      <w:r>
        <w:t xml:space="preserve"> </w:t>
      </w:r>
      <w:r>
        <w:t xml:space="preserve">“Beware of injustice, for injustice will be darkness on the Day of Resurrection”</w:t>
      </w:r>
      <w:r>
        <w:t xml:space="preserve"> </w:t>
      </w:r>
      <w:r>
        <w:t xml:space="preserve">(Sahih Muslim).</w:t>
      </w:r>
      <w:r/>
    </w:p>
    <w:p>
      <w:pPr>
        <w:pStyle w:val="962"/>
        <w:pBdr/>
        <w:spacing/>
        <w:ind/>
        <w:rPr/>
      </w:pPr>
      <w:r>
        <w:rPr>
          <w:b/>
          <w:bCs/>
        </w:rPr>
        <w:t xml:space="preserve">2.1.3.40 Revenue-Driven vs. Value-Driven Decision Making</w:t>
      </w:r>
      <w:r/>
    </w:p>
    <w:p>
      <w:pPr>
        <w:pStyle w:val="962"/>
        <w:pBdr/>
        <w:spacing/>
        <w:ind/>
        <w:rPr/>
      </w:pPr>
      <w:r>
        <w:t xml:space="preserve">When revenue is the primary driver, ethical considerations become obstacles to overcome rather than guidelines to follow.</w:t>
      </w:r>
      <w:r/>
    </w:p>
    <w:p>
      <w:pPr>
        <w:pStyle w:val="962"/>
        <w:pBdr/>
        <w:spacing/>
        <w:ind/>
        <w:rPr/>
      </w:pPr>
      <w:r>
        <w:t xml:space="preserve">Consider the wealthy user problem: a high-paying user requests a feature that benefits them specifically, harms other users, and involves unethical practices. A revenue-driven response implements the feature to retain the valuable cust</w:t>
      </w:r>
      <w:r>
        <w:t xml:space="preserve">omer, rationalizes the harm as acceptable, and prioritizes revenue over other users’ welfare. A value-driven response refuses the request despite financial loss, maintains ethical standards for all users, and accepts that some revenue is not worth earning.</w:t>
      </w:r>
      <w:r/>
    </w:p>
    <w:p>
      <w:pPr>
        <w:pStyle w:val="962"/>
        <w:pBdr/>
        <w:spacing/>
        <w:ind/>
        <w:rPr/>
      </w:pPr>
      <w:r>
        <w:t xml:space="preserve">The guiding principle should be:</w:t>
      </w:r>
      <w:r>
        <w:t xml:space="preserve"> </w:t>
      </w:r>
      <w:r>
        <w:t xml:space="preserve">“It is better to lose 50% of revenue to keep one promise and maintain trust than to compromise values for profit.”</w:t>
      </w:r>
      <w:r/>
    </w:p>
    <w:p>
      <w:pPr>
        <w:pStyle w:val="962"/>
        <w:pBdr/>
        <w:spacing/>
        <w:ind/>
        <w:rPr/>
      </w:pPr>
      <w:r>
        <w:t xml:space="preserve">This matters because revenue-driven decisions optimize for immediate gains while value-driven decisions build sustainable trust. Trust, once lost, is extremely difficult to regain, and the long-term value of ethical reputation exceeds short-term revenue.</w:t>
      </w:r>
      <w:r/>
    </w:p>
    <w:p>
      <w:pPr>
        <w:pStyle w:val="962"/>
        <w:pBdr/>
        <w:spacing/>
        <w:ind/>
        <w:rPr/>
      </w:pPr>
      <w:r>
        <w:t xml:space="preserve">The Prophet (PBUH) was offered all the wealth and power of Makkah to abandon his message. He refused, saying:</w:t>
      </w:r>
      <w:r>
        <w:t xml:space="preserve"> </w:t>
      </w:r>
      <w:r>
        <w:t xml:space="preserve">“By Allah, if they put the sun in my right hand and the moon in my left to abandon this matter, I would not abandon it until Allah makes it prevail or I perish therein.”</w:t>
      </w:r>
      <w:r>
        <w:t xml:space="preserve"> </w:t>
      </w:r>
      <w:r>
        <w:t xml:space="preserve">This exemplifies prioritizing values over material benefit.</w:t>
      </w:r>
      <w:r/>
    </w:p>
    <w:p>
      <w:pPr>
        <w:pBdr/>
        <w:spacing/>
        <w:ind/>
        <w:rPr/>
      </w:pPr>
      <w:r>
        <mc:AlternateContent>
          <mc:Choice Requires="wpg">
            <w:drawing>
              <wp:inline xmlns:wp="http://schemas.openxmlformats.org/drawingml/2006/wordprocessingDrawing" distT="0" distB="0" distL="0" distR="0">
                <wp:extent cx="0" cy="19050"/>
                <wp:effectExtent l="0" t="0" r="0" b="0"/>
                <wp:docPr id="17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6" o:spid="_x0000_s176" o:spt="1" type="#_x0000_t1" style="width:0.00pt;height:1.50pt;mso-wrap-distance-left:0.00pt;mso-wrap-distance-top:0.00pt;mso-wrap-distance-right:0.00pt;mso-wrap-distance-bottom:0.00pt;visibility:visible;" fillcolor="#FFFFFF" strokecolor="#000000"/>
            </w:pict>
          </mc:Fallback>
        </mc:AlternateContent>
      </w:r>
      <w:bookmarkEnd w:id="268"/>
      <w:r/>
    </w:p>
    <w:p>
      <w:pPr>
        <w:pStyle w:val="978"/>
        <w:pBdr/>
        <w:spacing/>
        <w:ind/>
        <w:rPr/>
      </w:pPr>
      <w:r/>
      <w:bookmarkStart w:id="269" w:name="X2d178561df2f9be48671b631cbe35df1a6994c2"/>
      <w:r>
        <w:t xml:space="preserve">Restored original notes from 2.1.3.H-Employee-Rights-and-Competitive-Practices</w:t>
      </w:r>
      <w:bookmarkEnd w:id="269"/>
      <w:r/>
    </w:p>
    <w:p>
      <w:pPr>
        <w:pStyle w:val="978"/>
        <w:pBdr/>
        <w:spacing/>
        <w:ind/>
        <w:rPr/>
      </w:pPr>
      <w:r/>
      <w:bookmarkStart w:id="273" w:name="X85ddf7b25f3df5fb9100ab4a4b920c5b713528d"/>
      <w:r>
        <w:t xml:space="preserve">2.1.3.H Employee Rights and Competitive Practices</w:t>
      </w:r>
      <w:r/>
    </w:p>
    <w:p>
      <w:pPr>
        <w:pStyle w:val="963"/>
        <w:pBdr/>
        <w:spacing/>
        <w:ind/>
        <w:rPr/>
      </w:pPr>
      <w:r>
        <w:rPr>
          <w:b/>
          <w:bCs/>
        </w:rPr>
        <w:t xml:space="preserve">2.1.3.41 Employee Wellbeing and Ethical Work Environments</w:t>
      </w:r>
      <w:r/>
    </w:p>
    <w:p>
      <w:pPr>
        <w:pStyle w:val="962"/>
        <w:pBdr/>
        <w:spacing/>
        <w:ind/>
        <w:rPr/>
      </w:pPr>
      <w:r>
        <w:t xml:space="preserve">Companies engaged in unethical practices face significant internal consequences through impacts on their employees.</w:t>
      </w:r>
      <w:r/>
    </w:p>
    <w:p>
      <w:pPr>
        <w:pStyle w:val="962"/>
        <w:pBdr/>
        <w:spacing/>
        <w:ind/>
        <w:rPr/>
      </w:pPr>
      <w:r>
        <w:t xml:space="preserve">Moral injury occurs when employees forced to implement dark patterns feel shame, accumulate regret over time, and experience cognitive disso</w:t>
      </w:r>
      <w:r>
        <w:t xml:space="preserve">nance between personal values and their work. Retention problems arise as ethical employees quit when asked to do unethical work, creating brain drain toward more ethical competitors while reputation damage makes hiring difficult. Lack of fulfillment devel</w:t>
      </w:r>
      <w:r>
        <w:t xml:space="preserve">ops when work feels meaningless because it harms users, employees take no pride in the product, and burnout accelerates. Mental health suffers through anxiety about contributing to harm, depression from values conflict, and stress from ethical compromises.</w:t>
      </w:r>
      <w:r/>
    </w:p>
    <w:p>
      <w:pPr>
        <w:pStyle w:val="962"/>
        <w:pBdr/>
        <w:spacing/>
        <w:ind/>
        <w:rPr/>
      </w:pPr>
      <w:r>
        <w:t xml:space="preserve">Companies with strong ethical foundations experience higher employee retention, greater job satisfaction, better mental health outcomes, stronger team cohesion, and more passionate advocacy from employees.</w:t>
      </w:r>
      <w:r/>
    </w:p>
    <w:p>
      <w:pPr>
        <w:pStyle w:val="962"/>
        <w:pBdr/>
        <w:spacing/>
        <w:ind/>
        <w:rPr/>
      </w:pPr>
      <w:r>
        <w:t xml:space="preserve">From an Islamic perspective, worker rights extend beyond wages to include dignified, ethical work. The hadith</w:t>
      </w:r>
      <w:r>
        <w:t xml:space="preserve"> </w:t>
      </w:r>
      <w:r>
        <w:t xml:space="preserve">“Give the worker his wages before his sweat dries”</w:t>
      </w:r>
      <w:r>
        <w:t xml:space="preserve"> </w:t>
      </w:r>
      <w:r>
        <w:t xml:space="preserve">(Ibn Majah) implies that workers deserve </w:t>
      </w:r>
      <w:r>
        <w:t xml:space="preserve">not only timely payment but also work that does not harm their moral standing. Organizations bear collective responsibility for their members’ wellbeing, and forcing employees into unethical acts constitutes a form of harm prohibited by Islamic principles.</w:t>
      </w:r>
      <w:r/>
    </w:p>
    <w:p>
      <w:pPr>
        <w:pStyle w:val="962"/>
        <w:pBdr/>
        <w:spacing/>
        <w:ind/>
        <w:rPr/>
      </w:pPr>
      <w:r>
        <w:rPr>
          <w:b/>
          <w:bCs/>
        </w:rPr>
        <w:t xml:space="preserve">2.1.3.42 Exploitation of Religious Communities in Software Services</w:t>
      </w:r>
      <w:r/>
    </w:p>
    <w:p>
      <w:pPr>
        <w:pStyle w:val="962"/>
        <w:pBdr/>
        <w:spacing/>
        <w:ind/>
        <w:rPr/>
      </w:pPr>
      <w:r>
        <w:t xml:space="preserve">A particularly trou</w:t>
      </w:r>
      <w:r>
        <w:t xml:space="preserve">bling pattern in software services targeting religious communities involves exploiting users’ faith for financial gain. In the Muslim community, this manifests through software platforms that weaponize religious obligations to manipulate users into paying.</w:t>
      </w:r>
      <w:r/>
    </w:p>
    <w:p>
      <w:pPr>
        <w:pStyle w:val="962"/>
        <w:pBdr/>
        <w:spacing/>
        <w:ind/>
        <w:rPr/>
      </w:pPr>
      <w:r>
        <w:t xml:space="preserve">The typical pattern involves software services displaying Quranic verses and hadith about charitable giving (sadaqah) to create urgency around donations. While the Islamic sources are authentic</w:t>
      </w:r>
      <w:r>
        <w:t xml:space="preserve">, the manipulation lies in linking these religious obligations directly to payments to the platform itself—despite sadaqah being a broad concept with established priorities in Islamic jurisprudence that have nothing to do with paying for software services.</w:t>
      </w:r>
      <w:r/>
    </w:p>
    <w:p>
      <w:pPr>
        <w:pStyle w:val="962"/>
        <w:pBdr/>
        <w:spacing/>
        <w:ind/>
        <w:rPr/>
      </w:pPr>
      <w:r>
        <w:t xml:space="preserve">Some platforms employ dark patterns that in practice communicate:</w:t>
      </w:r>
      <w:r>
        <w:t xml:space="preserve"> </w:t>
      </w:r>
      <w:r>
        <w:t xml:space="preserve">“If you don’t pay us, you are failing in your religious duties.”</w:t>
      </w:r>
      <w:r>
        <w:t xml:space="preserve"> </w:t>
      </w:r>
      <w:r>
        <w:t xml:space="preserve">This constitutes a severe ethical violation, d</w:t>
      </w:r>
      <w:r>
        <w:t xml:space="preserve">isguising commercial transactions behind religious obligation. The funds collected through these means are often redirected to purposes other than those claimed, with the platform operators taking substantial cuts before any charitable distribution occurs.</w:t>
      </w:r>
      <w:r/>
    </w:p>
    <w:p>
      <w:pPr>
        <w:pStyle w:val="962"/>
        <w:pBdr/>
        <w:spacing/>
        <w:ind/>
        <w:rPr/>
      </w:pPr>
      <w:r>
        <w:t xml:space="preserve">This practice violates multiple Islamic principles. The use of religious guilt to manipulate financial decisions constitutes a form of coercion (ikrah) that undermines the voluntary na</w:t>
      </w:r>
      <w:r>
        <w:t xml:space="preserve">ture required in Islamic transactions. Misrepresenting how donations will be used violates the prohibition of deception (ghish). Taking from charitable funds beyond what is legitimately earned violates the trust (amanah) placed in those handling donations.</w:t>
      </w:r>
      <w:r/>
    </w:p>
    <w:p>
      <w:pPr>
        <w:pStyle w:val="962"/>
        <w:pBdr/>
        <w:spacing/>
        <w:ind/>
        <w:rPr/>
      </w:pPr>
      <w:r>
        <w:rPr>
          <w:b/>
          <w:bCs/>
        </w:rPr>
        <w:t xml:space="preserve">2.1.3.43 Anti-Competitive Practices in the Software Industry</w:t>
      </w:r>
      <w:r/>
    </w:p>
    <w:p>
      <w:pPr>
        <w:pStyle w:val="962"/>
        <w:pBdr/>
        <w:spacing/>
        <w:ind/>
        <w:rPr/>
      </w:pPr>
      <w:r>
        <w:t xml:space="preserve">Beyond direct harm to users, software companies engage in anti-competitive practices that damage the broader technology ecosystem and ultimately harm consumers through reduced choice and innovation.</w:t>
      </w:r>
      <w:r/>
    </w:p>
    <w:p>
      <w:pPr>
        <w:pStyle w:val="962"/>
        <w:pBdr/>
        <w:spacing/>
        <w:ind/>
        <w:rPr/>
      </w:pPr>
      <w:r>
        <w:t xml:space="preserve">One documented practice involves large corporations hiring key contributors to open-source projects specifically to eliminate competition. NVIDIA reportedly hired the leading contributors to open-source graphics drivers, after which their efforts </w:t>
      </w:r>
      <w:r>
        <w:t xml:space="preserve">ceased because NVIDIA could claim proprietary knowledge over any work they produced. This in practice ended community-driven alternatives to NVIDIA’s proprietary drivers, reducing user choice and eliminating competition that would have benefited consumers.</w:t>
      </w:r>
      <w:r/>
    </w:p>
    <w:p>
      <w:pPr>
        <w:pStyle w:val="962"/>
        <w:pBdr/>
        <w:spacing/>
        <w:ind/>
        <w:rPr/>
      </w:pPr>
      <w:r>
        <w:t xml:space="preserve">Similar practices occur across industries. The insulin injector, a simple device costing approximately $0.50 to manufacture, was invented and its patent sold for $1 to make the technology </w:t>
      </w:r>
      <w:r>
        <w:t xml:space="preserve">accessible to the poor. Private companies subsequently acquired the rights and, through collusion with insurance companies, now sell the same device for $500—a 100,000% markup that causes direct harm to diabetic patients who cannot afford their medication.</w:t>
      </w:r>
      <w:r/>
    </w:p>
    <w:p>
      <w:pPr>
        <w:pStyle w:val="962"/>
        <w:pBdr/>
        <w:spacing/>
        <w:ind/>
        <w:rPr/>
      </w:pPr>
      <w:r>
        <w:t xml:space="preserve">In software services, these anti-competitive practices manifest</w:t>
      </w:r>
      <w:r>
        <w:t xml:space="preserve"> through acquiring competitors to shut them down, patent trolling to prevent innovation, and strategic hiring to drain talent from competing projects. Such practices violate the Islamic principle of fair competition and cause harm to the broader community.</w:t>
      </w:r>
      <w:r/>
    </w:p>
    <w:p>
      <w:pPr>
        <w:pStyle w:val="962"/>
        <w:pBdr/>
        <w:spacing/>
        <w:ind/>
        <w:rPr/>
      </w:pPr>
      <w:r>
        <w:rPr>
          <w:b/>
          <w:bCs/>
        </w:rPr>
        <w:t xml:space="preserve">2.1.3.44 Addictive Design and the Attention Economy</w:t>
      </w:r>
      <w:r/>
    </w:p>
    <w:p>
      <w:pPr>
        <w:pStyle w:val="962"/>
        <w:pBdr/>
        <w:spacing/>
        <w:ind/>
        <w:rPr/>
      </w:pPr>
      <w:r>
        <w:t xml:space="preserve">Software services increasingly employ psychological manipulation techniques designed to maximize user engagement regardless of user wellbeing. These practices treat human attention as a resource to be extracted rather than a trust to be respected.</w:t>
      </w:r>
      <w:r/>
    </w:p>
    <w:p>
      <w:pPr>
        <w:pStyle w:val="962"/>
        <w:pBdr/>
        <w:spacing/>
        <w:ind/>
        <w:rPr/>
      </w:pPr>
      <w:r>
        <w:t xml:space="preserve">Gacha systems, common in mobile games and increasingly in other applications, use variable reward schedules to create addictive behavior patterns. Users have </w:t>
      </w:r>
      <w:r>
        <w:t xml:space="preserve">a low probability of obtaining desired items but are guaranteed success after a certain number of attempts, encouraging continued spending in pursuit of uncertain rewards. This closely resembles gambling mechanics, which are explicitly prohibited in Islam.</w:t>
      </w:r>
      <w:r/>
    </w:p>
    <w:p>
      <w:pPr>
        <w:pStyle w:val="962"/>
        <w:pBdr/>
        <w:spacing/>
        <w:ind/>
        <w:rPr/>
      </w:pPr>
      <w:r>
        <w:t xml:space="preserve">Social media platforms employ algorithms specifically optimized for user retention rather than user</w:t>
      </w:r>
      <w:r>
        <w:t xml:space="preserve"> benefit. These systems analyze user behavior to identify content that maximizes engagement, often promoting emotionally provocative material that keeps users scrolling. The goal is not to serve users but to capture their attention for advertising revenue.</w:t>
      </w:r>
      <w:r/>
    </w:p>
    <w:p>
      <w:pPr>
        <w:pStyle w:val="962"/>
        <w:pBdr/>
        <w:spacing/>
        <w:ind/>
        <w:rPr/>
      </w:pPr>
      <w:r>
        <w:t xml:space="preserve">From an Islamic perspective, these practices violate several prin</w:t>
      </w:r>
      <w:r>
        <w:t xml:space="preserve">ciples. Designing for addiction causes harm to users (violating la darar). Exploiting psychological vulnerabilities constitutes a form of deception. Wasting users’ time through manipulative design shows disrespect for the trust users place in the platform.</w:t>
      </w:r>
      <w:r/>
    </w:p>
    <w:p>
      <w:pPr>
        <w:pStyle w:val="962"/>
        <w:pBdr/>
        <w:spacing/>
        <w:ind/>
        <w:rPr/>
      </w:pPr>
      <w:r>
        <w:rPr>
          <w:b/>
          <w:bCs/>
        </w:rPr>
        <w:t xml:space="preserve">2.1.3.45 Software Piracy and License Violations</w:t>
      </w:r>
      <w:r/>
    </w:p>
    <w:p>
      <w:pPr>
        <w:pStyle w:val="962"/>
        <w:pBdr/>
        <w:spacing/>
        <w:ind/>
        <w:rPr/>
      </w:pPr>
      <w:r>
        <w:t xml:space="preserve">An often-overlooked ethical issue in software development concerns the use of pirated software or violation of license terms by the companies building software services themselves.</w:t>
      </w:r>
      <w:r/>
    </w:p>
    <w:p>
      <w:pPr>
        <w:pStyle w:val="962"/>
        <w:pBdr/>
        <w:spacing/>
        <w:ind/>
        <w:rPr/>
      </w:pPr>
      <w:r>
        <w:t xml:space="preserve">Some organizations use software that bypasses paywalls or download paid content without compensation. Others violate license term</w:t>
      </w:r>
      <w:r>
        <w:t xml:space="preserve">s that specify payment thresholds—for example, using a library licensed as free only for teams under five people when the company has dozens of employees, or continuing free usage after exceeding revenue thresholds that trigger paid licensing requirements.</w:t>
      </w:r>
      <w:r/>
    </w:p>
    <w:p>
      <w:pPr>
        <w:pStyle w:val="962"/>
        <w:pBdr/>
        <w:spacing/>
        <w:ind/>
        <w:rPr/>
      </w:pPr>
      <w:r>
        <w:t xml:space="preserve">These practices are incompatible with Islamic ethics regardless of how common they may be in the industry. Taking intellectual propert</w:t>
      </w:r>
      <w:r>
        <w:t xml:space="preserve">y without compensation constitutes a form of theft. Violating agreed-upon license terms breaches contractual obligations. Building a business on unpaid software while charging customers for products built using that software represents a form of hypocrisy.</w:t>
      </w:r>
      <w:r/>
    </w:p>
    <w:p>
      <w:pPr>
        <w:pStyle w:val="962"/>
        <w:pBdr/>
        <w:spacing/>
        <w:ind/>
        <w:rPr/>
      </w:pPr>
      <w:r>
        <w:t xml:space="preserve">An I-VSD compliant organization must audit all software dependencies for</w:t>
      </w:r>
      <w:r>
        <w:t xml:space="preserve"> license compliance, pay for any licenses required based on team size or revenue, avoid any tools designed to circumvent legitimate payment requirements, and respect intellectual property rights as a matter of principle rather than merely legal obligation.</w:t>
      </w:r>
      <w:r/>
    </w:p>
    <w:p>
      <w:pPr>
        <w:pStyle w:val="962"/>
        <w:pBdr/>
        <w:spacing/>
        <w:ind/>
        <w:rPr/>
      </w:pPr>
      <w:r>
        <w:rPr>
          <w:b/>
          <w:bCs/>
        </w:rPr>
        <w:t xml:space="preserve">2.1.3.46 Manufactured Problems and Solution Selling</w:t>
      </w:r>
      <w:r/>
    </w:p>
    <w:p>
      <w:pPr>
        <w:pStyle w:val="962"/>
        <w:pBdr/>
        <w:spacing/>
        <w:ind/>
        <w:rPr/>
      </w:pPr>
      <w:r>
        <w:t xml:space="preserve">Some software services deliberately create or exacerbate problems to position themselves as the necessary solution. This practice extends beyond legitimate market identification into the realm of manufactured dependency.</w:t>
      </w:r>
      <w:r/>
    </w:p>
    <w:p>
      <w:pPr>
        <w:pStyle w:val="962"/>
        <w:pBdr/>
        <w:spacing/>
        <w:ind/>
        <w:rPr/>
      </w:pPr>
      <w:r>
        <w:t xml:space="preserve">Security software companies have been known to exaggerate threat landscapes to drive sales. Productivity tools sometimes introduce complexity that only the</w:t>
      </w:r>
      <w:r>
        <w:t xml:space="preserve">ir premium features can resolve. Cloud platforms may deliberately make self-hosting difficult to ensure continued subscription revenue. These manufactured dependencies create artificial market demand through exploitation rather than genuine value creation.</w:t>
      </w:r>
      <w:r/>
    </w:p>
    <w:p>
      <w:pPr>
        <w:pStyle w:val="962"/>
        <w:pBdr/>
        <w:spacing/>
        <w:ind/>
        <w:rPr/>
      </w:pPr>
      <w:r>
        <w:t xml:space="preserve">The Islamic prohibition against deception (ghish) extends to creating false needs. The Prophet Muhammad (PBUH) said,</w:t>
      </w:r>
      <w:r>
        <w:t xml:space="preserve"> </w:t>
      </w:r>
      <w:r>
        <w:t xml:space="preserve">“He who deceives is not one of us”</w:t>
      </w:r>
      <w:r>
        <w:t xml:space="preserve"> </w:t>
      </w:r>
      <w:r>
        <w:t xml:space="preserve">(Sahih Muslim). </w:t>
      </w:r>
      <w:r>
        <w:t xml:space="preserve">Manufacturing problems to sell solutions is a sophisticated form of deception that exploits users’ trust and limited technical knowledge. An I-VSD approach requires that software services solve genuine problems rather than creating artificial dependencies.</w:t>
      </w:r>
      <w:r/>
    </w:p>
    <w:p>
      <w:pPr>
        <w:pStyle w:val="962"/>
        <w:pBdr/>
        <w:spacing/>
        <w:ind/>
        <w:rPr/>
      </w:pPr>
      <w:r>
        <w:rPr>
          <w:b/>
          <w:bCs/>
        </w:rPr>
        <w:t xml:space="preserve">2.1.3.47 AI Opacity and Trust Exploitation</w:t>
      </w:r>
      <w:r/>
    </w:p>
    <w:p>
      <w:pPr>
        <w:pStyle w:val="962"/>
        <w:pBdr/>
        <w:spacing/>
        <w:ind/>
        <w:rPr/>
      </w:pPr>
      <w:r>
        <w:t xml:space="preserve">The proliferation of AI-powered services introduces unique ethical challenges related to opacity and user trust. Neural network-based systems operate as functional black boxes where even their creators cannot fully explain decision-making processes.</w:t>
      </w:r>
      <w:r/>
    </w:p>
    <w:p>
      <w:pPr>
        <w:pStyle w:val="962"/>
        <w:pBdr/>
        <w:spacing/>
        <w:ind/>
        <w:rPr/>
      </w:pPr>
      <w:r>
        <w:t xml:space="preserve">This opacity creates opportunities for trust exploitation. AI models can be trained with hidden capabilities or biases that remain undetectable through normal usage. Systems with intern</w:t>
      </w:r>
      <w:r>
        <w:t xml:space="preserve">et connectivity and tool-use capabilities could theoretically exfiltrate data without user knowledge. The combination of opaque operation, network access, and complex behavior makes comprehensive security auditing nearly impossible with current technology.</w:t>
      </w:r>
      <w:r/>
    </w:p>
    <w:p>
      <w:pPr>
        <w:pStyle w:val="962"/>
        <w:pBdr/>
        <w:spacing/>
        <w:ind/>
        <w:rPr/>
      </w:pPr>
      <w:r>
        <w:t xml:space="preserve">Geopolitical considerations c</w:t>
      </w:r>
      <w:r>
        <w:t xml:space="preserve">ompound these concerns. When AI models are developed by entities subject to foreign government influence, users face difficult trust decisions. The 2025 addition of certain AI companies to export restriction lists reflects growing awareness of these risks.</w:t>
      </w:r>
      <w:r/>
    </w:p>
    <w:p>
      <w:pPr>
        <w:pStyle w:val="962"/>
        <w:pBdr/>
        <w:spacing/>
        <w:ind/>
        <w:rPr/>
      </w:pPr>
      <w:r>
        <w:t xml:space="preserve">From an Islamic perspective, the Amanah principle requires that service providers maintain transparency appropriate to the level of access and trust they request. Software servi</w:t>
      </w:r>
      <w:r>
        <w:t xml:space="preserve">ces using AI must be honest about what their systems can and cannot do, the limitations of their security guarantees, and the fundamental uncertainties inherent in black-box systems. Users deserve informed consent based on accurate representation of risks.</w:t>
      </w:r>
      <w:r/>
    </w:p>
    <w:p>
      <w:pPr>
        <w:pStyle w:val="962"/>
        <w:pBdr/>
        <w:spacing/>
        <w:ind/>
        <w:rPr/>
      </w:pPr>
      <w:r>
        <w:rPr>
          <w:b/>
          <w:bCs/>
        </w:rPr>
        <w:t xml:space="preserve">2.1.3.48 Affiliate Link Hijacking and Commission Theft</w:t>
      </w:r>
      <w:r/>
    </w:p>
    <w:p>
      <w:pPr>
        <w:pStyle w:val="962"/>
        <w:pBdr/>
        <w:spacing/>
        <w:ind/>
        <w:rPr/>
      </w:pPr>
      <w:r>
        <w:t xml:space="preserve">Browser extensions and shopping tools sometimes engage in affiliate link hijacking, intercepting commissions that rightfully belong to content creators who referred customers</w:t>
      </w:r>
      <w:r>
        <w:t xml:space="preserve">. The most prominent example emerged in late 2024 when investigations revealed that certain shopping extensions replaced original affiliate tracking cookies with their own at checkout, crediting themselves with sales even when providing no actual discount.</w:t>
      </w:r>
      <w:r/>
    </w:p>
    <w:p>
      <w:pPr>
        <w:pStyle w:val="962"/>
        <w:pBdr/>
        <w:spacing/>
        <w:ind/>
        <w:rPr/>
      </w:pPr>
      <w:r>
        <w:t xml:space="preserve">These systems may prompt users to perform additional clicks—activating rewards or applying coupons—even when no valid discounts exist. These manufactured interactions en</w:t>
      </w:r>
      <w:r>
        <w:t xml:space="preserve">sure the tool receives credit through last-click attribution while providing no genuine value. Some platforms also partner with merchants to display only approved discount codes while intentionally excluding more favorable alternatives available elsewhere.</w:t>
      </w:r>
      <w:r/>
    </w:p>
    <w:p>
      <w:pPr>
        <w:pStyle w:val="962"/>
        <w:pBdr/>
        <w:spacing/>
        <w:ind/>
        <w:rPr/>
      </w:pPr>
      <w:r>
        <w:t xml:space="preserve">The result is systematic commission theft from content creators, misleading consumers about the value being</w:t>
      </w:r>
      <w:r>
        <w:t xml:space="preserve"> provided, and marketplace distortion through preferential code display. When these practices were exposed, the service in question lost millions of users within weeks and faced class action litigation under computer fraud and consumer protection statutes.</w:t>
      </w:r>
      <w:r/>
    </w:p>
    <w:p>
      <w:pPr>
        <w:pStyle w:val="962"/>
        <w:pBdr/>
        <w:spacing/>
        <w:ind/>
        <w:rPr/>
      </w:pPr>
      <w:r>
        <w:t xml:space="preserve">From an Islamic perspective, taking what belongs to others without right constitutes theft. The Prophet Muhammad (PBUH) said,</w:t>
      </w:r>
      <w:r>
        <w:t xml:space="preserve"> </w:t>
      </w:r>
      <w:r>
        <w:t xml:space="preserve">“Whoever takes a piece of land unjustly will be made to carry its seven earths on the Day of Resurrection”</w:t>
      </w:r>
      <w:r>
        <w:t xml:space="preserve"> </w:t>
      </w:r>
      <w:r>
        <w:t xml:space="preserve">(Sahih al-Bukhari). The principle applies equally to digital assets like affiliate commissions. An I-VSD approach requires transparent value exchange where services are honest about their monetization methods and do not divert revenue belonging to others.</w:t>
      </w:r>
      <w:r/>
    </w:p>
    <w:p>
      <w:pPr>
        <w:pStyle w:val="962"/>
        <w:pBdr/>
        <w:spacing/>
        <w:ind/>
        <w:rPr/>
      </w:pPr>
      <w:r>
        <w:rPr>
          <w:b/>
          <w:bCs/>
        </w:rPr>
        <w:t xml:space="preserve">2.1.3.49 Opaque Account Enforcement</w:t>
      </w:r>
      <w:r/>
    </w:p>
    <w:p>
      <w:pPr>
        <w:pStyle w:val="962"/>
        <w:pBdr/>
        <w:spacing/>
        <w:ind/>
        <w:rPr/>
      </w:pPr>
      <w:r>
        <w:t xml:space="preserve">When software platforms enforce terms of service through account bans, strikes, or re</w:t>
      </w:r>
      <w:r>
        <w:t xml:space="preserve">strictions, the manner of communication matters as much as the decision itself. Many platforms notify users of enforcement actions without explaining which specific terms were violated, which content triggered the action, or what remediation options exist.</w:t>
      </w:r>
      <w:r/>
    </w:p>
    <w:p>
      <w:pPr>
        <w:pStyle w:val="962"/>
        <w:pBdr/>
        <w:spacing/>
        <w:ind/>
        <w:rPr/>
      </w:pPr>
      <w:r>
        <w:t xml:space="preserve">This opacity creates anxiety and confusion for legit</w:t>
      </w:r>
      <w:r>
        <w:t xml:space="preserve">imate users who may not understand their violation. It prevents learning from mistakes and compliance improvement. It enables platforms to enforce selectively or arbitrarily without accountability. And it removes users’ ability to contest unfair decisions.</w:t>
      </w:r>
      <w:r/>
    </w:p>
    <w:p>
      <w:pPr>
        <w:pStyle w:val="962"/>
        <w:pBdr/>
        <w:spacing/>
        <w:ind/>
        <w:rPr/>
      </w:pPr>
      <w:r>
        <w:t xml:space="preserve">Clear communication during enforcement actions represents basic respect for users who have invested time and often money in the platform. Minimum ethical requirements i</w:t>
      </w:r>
      <w:r>
        <w:t xml:space="preserve">nclude specific citation of the violated policy, identification of the triggering content or behavior, explanation of the enforcement action’s scope and duration, clear description of appeal processes if available, and timeline expectations for resolution.</w:t>
      </w:r>
      <w:r/>
    </w:p>
    <w:p>
      <w:pPr>
        <w:pStyle w:val="962"/>
        <w:pBdr/>
        <w:spacing/>
        <w:ind/>
        <w:rPr/>
      </w:pPr>
      <w:r>
        <w:t xml:space="preserve">The Islamic principle of Adl (justice) requires that those being judged understand the charges against them and have opportunity to respond. The Quran states,</w:t>
      </w:r>
      <w:r>
        <w:t xml:space="preserve"> </w:t>
      </w:r>
      <w:r>
        <w:t xml:space="preserve">“And when you judge between people, judge with justice”</w:t>
      </w:r>
      <w:r>
        <w:t xml:space="preserve"> </w:t>
      </w:r>
      <w:r>
        <w:t xml:space="preserve">(4:58). Enforcement without explanation fails this standard regardless of whether the underlying decision was correct.</w:t>
      </w:r>
      <w:r/>
    </w:p>
    <w:p>
      <w:pPr>
        <w:pStyle w:val="962"/>
        <w:pBdr/>
        <w:spacing/>
        <w:ind/>
        <w:rPr/>
      </w:pPr>
      <w:r>
        <w:rPr>
          <w:b/>
          <w:bCs/>
        </w:rPr>
        <w:t xml:space="preserve">2.1.3.50 Streak Mechanics and Psychological Exploitation</w:t>
      </w:r>
      <w:r/>
    </w:p>
    <w:p>
      <w:pPr>
        <w:pStyle w:val="962"/>
        <w:pBdr/>
        <w:spacing/>
        <w:ind/>
        <w:rPr/>
      </w:pPr>
      <w:r>
        <w:t xml:space="preserve">Streak features—tracking consecutive days of user activity—represent a particularly ins</w:t>
      </w:r>
      <w:r>
        <w:t xml:space="preserve">idious form of engagement manipulation. While ostensibly designed to help users build habits and maintain momentum, these mechanics exploit psychological vulnerabilities to create compulsive usage patterns that serve platform interests over user wellbeing.</w:t>
      </w:r>
      <w:r/>
    </w:p>
    <w:p>
      <w:pPr>
        <w:pStyle w:val="962"/>
        <w:pBdr/>
        <w:spacing/>
        <w:ind/>
        <w:rPr/>
      </w:pPr>
      <w:r>
        <w:t xml:space="preserve">The surface benefits appear compelling: streaks help users </w:t>
      </w:r>
      <w:r>
        <w:t xml:space="preserve">maintain consistency, provide visible evidence of dedication, offer social evaluation when shared, and create free marketing when users broadcast their achievements. However, examination reveals significant harms. Streak systems create constant daily stres</w:t>
      </w:r>
      <w:r>
        <w:t xml:space="preserve">s through fear of breaking the chain. Users develop emotional attachment proportional to streak length, making eventual loss increasingly devastating. The compulsion to maintain streaks drives multiple daily app opens regardless of genuine need or benefit.</w:t>
      </w:r>
      <w:r/>
    </w:p>
    <w:p>
      <w:pPr>
        <w:pStyle w:val="962"/>
        <w:pBdr/>
        <w:spacing/>
        <w:ind/>
        <w:rPr/>
      </w:pPr>
      <w:r>
        <w:t xml:space="preserve">The design fundamentally lacks flexibility for human life circumstances. Illness, family emergencies, religious observances, vacations, or simply demanding work days can break streaks accumulated over months or years. Some platforms offer</w:t>
      </w:r>
      <w:r>
        <w:t xml:space="preserve"> </w:t>
      </w:r>
      <w:r>
        <w:t xml:space="preserve">“streak freezes”</w:t>
      </w:r>
      <w:r>
        <w:t xml:space="preserve"> </w:t>
      </w:r>
      <w:r>
        <w:t xml:space="preserve">as premium features, monetizing the anxiety the system itself creates. Users in practice become slaves to an invisible contract they never consciously agreed to, with the platform benefiting from engagement metrics while users bear the psychological costs.</w:t>
      </w:r>
      <w:r/>
    </w:p>
    <w:p>
      <w:pPr>
        <w:pStyle w:val="962"/>
        <w:pBdr/>
        <w:spacing/>
        <w:ind/>
        <w:rPr/>
      </w:pPr>
      <w:r>
        <w:t xml:space="preserve">Duolingo exemplifies this pattern. The platform’s aggressive streak notifications, guilt-inducing messages, and st</w:t>
      </w:r>
      <w:r>
        <w:t xml:space="preserve">reak-focused design have drawn criticism for creating anxiety rather than genuine learning motivation. Users report continuing lessons despite exhaustion or illness purely to preserve streaks, divorcing the activity from its ostensible educational purpose.</w:t>
      </w:r>
      <w:r/>
    </w:p>
    <w:p>
      <w:pPr>
        <w:pStyle w:val="962"/>
        <w:pBdr/>
        <w:spacing/>
        <w:ind/>
        <w:rPr/>
      </w:pPr>
      <w:r>
        <w:t xml:space="preserve">From an Islamic persp</w:t>
      </w:r>
      <w:r>
        <w:t xml:space="preserve">ective, causing undue psychological harm violates the principle of la darar. Creating systems designed to exploit human psychology for engagement metrics constitutes a form of manipulation incompatible with honest dealing. The Quran warns against those who</w:t>
      </w:r>
      <w:r>
        <w:t xml:space="preserve"> </w:t>
      </w:r>
      <w:r>
        <w:t xml:space="preserve">“consume the wealth of people in falsehood”</w:t>
      </w:r>
      <w:r>
        <w:t xml:space="preserve"> </w:t>
      </w:r>
      <w:r>
        <w:t xml:space="preserve">(4:29)—and attention, like money, represents a limited human resource that can be extracted through deception.</w:t>
      </w:r>
      <w:r/>
    </w:p>
    <w:p>
      <w:pPr>
        <w:pStyle w:val="962"/>
        <w:pBdr/>
        <w:spacing/>
        <w:ind/>
        <w:rPr/>
      </w:pPr>
      <w:r>
        <w:t xml:space="preserve">An I-VSD-compliant approach to habit-supporting features would prioritize user wellbeing over engagement metrics. Flexible systems might count five of seven days rather than re</w:t>
      </w:r>
      <w:r>
        <w:t xml:space="preserve">quiring strict consecutivity, allowing users to manage real-life interruptions without penalty. Streak losses could be handled with compassion rather than punishment. The goal should be genuine habit formation, not psychological dependence on the platform.</w:t>
      </w:r>
      <w:r/>
    </w:p>
    <w:p>
      <w:pPr>
        <w:pStyle w:val="962"/>
        <w:pBdr/>
        <w:spacing/>
        <w:ind/>
        <w:rPr/>
      </w:pPr>
      <w:r>
        <w:rPr>
          <w:b/>
          <w:bCs/>
        </w:rPr>
        <w:t xml:space="preserve">2.1.3.51 The Dead Internet: AI-Generated Content and Authenticity Erosion</w:t>
      </w:r>
      <w:r/>
    </w:p>
    <w:p>
      <w:pPr>
        <w:pStyle w:val="962"/>
        <w:pBdr/>
        <w:spacing/>
        <w:ind/>
        <w:rPr/>
      </w:pPr>
      <w:r>
        <w:t xml:space="preserve">The</w:t>
      </w:r>
      <w:r>
        <w:t xml:space="preserve"> </w:t>
      </w:r>
      <w:r>
        <w:t xml:space="preserve">“Dead Internet Theory”</w:t>
      </w:r>
      <w:r>
        <w:t xml:space="preserve"> </w:t>
      </w:r>
      <w:r>
        <w:t xml:space="preserve">posits that an increasing proportion of</w:t>
      </w:r>
      <w:r>
        <w:t xml:space="preserve"> online content—comments, posts, reviews, and even apparent human interactions—is generated by artificial intelligence rather than genuine users. While initially dismissed as conspiracy theory, mounting evidence suggests the phenomenon is real and growing.</w:t>
      </w:r>
      <w:r/>
    </w:p>
    <w:p>
      <w:pPr>
        <w:pStyle w:val="962"/>
        <w:pBdr/>
        <w:spacing/>
        <w:ind/>
        <w:rPr/>
      </w:pPr>
      <w:r>
        <w:t xml:space="preserve">AI-generated content creates multiple harms. Users base decisions on what they believe are authent</w:t>
      </w:r>
      <w:r>
        <w:t xml:space="preserve">ic human experiences—product reviews, health advice, political opinions—when those experiences may be fabricated. Platforms misrepresent their user bases to advertisers and investors, claiming engagement that is substantially artificial. The possibility of</w:t>
      </w:r>
      <w:r>
        <w:t xml:space="preserve"> </w:t>
      </w:r>
      <w:r>
        <w:t xml:space="preserve">“heaven-banning”</w:t>
      </w:r>
      <w:r>
        <w:t xml:space="preserve">—where users interact in environments where every response is AI-generated, creating false evaluation without real connection—represents a disturbing evolution of platform manipulation.</w:t>
      </w:r>
      <w:r/>
    </w:p>
    <w:p>
      <w:pPr>
        <w:pStyle w:val="962"/>
        <w:pBdr/>
        <w:spacing/>
        <w:ind/>
        <w:rPr/>
      </w:pPr>
      <w:r>
        <w:t xml:space="preserve">The implications extend to ideological control. When AI content can be</w:t>
      </w:r>
      <w:r>
        <w:t xml:space="preserve"> </w:t>
      </w:r>
      <w:r>
        <w:t xml:space="preserve">“misrepresented as coming from real people,”</w:t>
      </w:r>
      <w:r>
        <w:t xml:space="preserve"> </w:t>
      </w:r>
      <w:r>
        <w:t xml:space="preserve">as documented in analys</w:t>
      </w:r>
      <w:r>
        <w:t xml:space="preserve">es of platforms like Quora, the potential for manufactured consensus becomes reality. Users, particularly younger demographics who rely heavily on digital sources, may have their beliefs shaped by synthetic content designed to influence rather than inform.</w:t>
      </w:r>
      <w:r/>
    </w:p>
    <w:p>
      <w:pPr>
        <w:pStyle w:val="962"/>
        <w:pBdr/>
        <w:spacing/>
        <w:ind/>
        <w:rPr/>
      </w:pPr>
      <w:r>
        <w:t xml:space="preserve">From an Islamic perspective, this represents systematic deception (ghish) at civilizational scale. The Quran commands truthfulness and warns against those who</w:t>
      </w:r>
      <w:r>
        <w:t xml:space="preserve"> </w:t>
      </w:r>
      <w:r>
        <w:t xml:space="preserve">“mix truth with falsehood”</w:t>
      </w:r>
      <w:r>
        <w:t xml:space="preserve"> </w:t>
      </w:r>
      <w:r>
        <w:t xml:space="preserve">(2:42). Platforms that knowingly allow AI-generated conten</w:t>
      </w:r>
      <w:r>
        <w:t xml:space="preserve">t to masquerade as human opinion participate in this deception. An I-VSD-compliant platform must implement authentication mechanisms to distinguish genuine human content from AI-generated material and be transparent about the presence of automated systems.</w:t>
      </w:r>
      <w:r/>
    </w:p>
    <w:p>
      <w:pPr>
        <w:pStyle w:val="962"/>
        <w:pBdr/>
        <w:spacing/>
        <w:ind/>
        <w:rPr/>
      </w:pPr>
      <w:r>
        <w:rPr>
          <w:b/>
          <w:bCs/>
        </w:rPr>
        <w:t xml:space="preserve">2.1.3.52 Technology as Instrument of Ideological Control</w:t>
      </w:r>
      <w:r/>
    </w:p>
    <w:p>
      <w:pPr>
        <w:pStyle w:val="962"/>
        <w:pBdr/>
        <w:spacing/>
        <w:ind/>
        <w:rPr/>
      </w:pPr>
      <w:r>
        <w:t xml:space="preserve">Software technology can serve as an instrument for mass ideological manipulation when deployed b</w:t>
      </w:r>
      <w:r>
        <w:t xml:space="preserve">y governments or powerful entities seeking to control public perception. Centralized control over information platforms enables painting whatever picture serves institutional interests while suppressing dissenting voices through sheer volume of propaganda.</w:t>
      </w:r>
      <w:r/>
    </w:p>
    <w:p>
      <w:pPr>
        <w:pStyle w:val="962"/>
        <w:pBdr/>
        <w:spacing/>
        <w:ind/>
        <w:rPr/>
      </w:pPr>
      <w:r>
        <w:t xml:space="preserve">The mechanisms are well-documented: state-controlled or state-influenced news channels shaping perception, algorithmic amplification of approved narratives, suppression of alternative viewpoints, and keeping populations</w:t>
      </w:r>
      <w:r>
        <w:t xml:space="preserve"> </w:t>
      </w:r>
      <w:r>
        <w:t xml:space="preserve">“suspended in a sedated state”</w:t>
      </w:r>
      <w:r>
        <w:t xml:space="preserve"> </w:t>
      </w:r>
      <w:r>
        <w:t xml:space="preserve">of passive consumption. Technology becomes the</w:t>
      </w:r>
      <w:r>
        <w:t xml:space="preserve"> </w:t>
      </w:r>
      <w:r>
        <w:t xml:space="preserve">“prized tool for controlling the minds of its people”</w:t>
      </w:r>
      <w:r>
        <w:t xml:space="preserve"> </w:t>
      </w:r>
      <w:r>
        <w:t xml:space="preserve">rather than empowering authentic information exchange.</w:t>
      </w:r>
      <w:r/>
    </w:p>
    <w:p>
      <w:pPr>
        <w:pStyle w:val="962"/>
        <w:pBdr/>
        <w:spacing/>
        <w:ind/>
        <w:rPr/>
      </w:pPr>
      <w:r>
        <w:t xml:space="preserve">This concern is not speculative. Documented cases include government pressure on platforms to rem</w:t>
      </w:r>
      <w:r>
        <w:t xml:space="preserve">ove content, algorithmic suppression of particular viewpoints, and coordinated influence campaigns across social media. The concentration of digital infrastructure in the hands of a few major platforms creates structural vulnerability to such manipulation.</w:t>
      </w:r>
      <w:r/>
    </w:p>
    <w:p>
      <w:pPr>
        <w:pStyle w:val="962"/>
        <w:pBdr/>
        <w:spacing/>
        <w:ind/>
        <w:rPr/>
      </w:pPr>
      <w:r>
        <w:t xml:space="preserve">From an Islamic perspective, facilitating propaganda and deception contradicts the principle of truthfulness (sidq) and the obligation to stand for justice even against one’s own interests. The Quran states:</w:t>
      </w:r>
      <w:r>
        <w:t xml:space="preserve"> </w:t>
      </w:r>
      <w:r>
        <w:t xml:space="preserve">“O you who believe! Stand out firmly for justice, as witnesses to Allah, even as against yourselves”</w:t>
      </w:r>
      <w:r>
        <w:t xml:space="preserve"> </w:t>
      </w:r>
      <w:r>
        <w:t xml:space="preserve">(4:135). I-VSD-compliant platforms must resist becoming instruments of ideological control through decentralization, transparency, and commitment to authentic discourse.</w:t>
      </w:r>
      <w:r/>
    </w:p>
    <w:p>
      <w:pPr>
        <w:pStyle w:val="962"/>
        <w:pBdr/>
        <w:spacing/>
        <w:ind/>
        <w:rPr/>
      </w:pPr>
      <w:r>
        <w:rPr>
          <w:b/>
          <w:bCs/>
        </w:rPr>
        <w:t xml:space="preserve">2.1.3.53 Dream-Selling and Ponzi-Like Software Business Models</w:t>
      </w:r>
      <w:r/>
    </w:p>
    <w:p>
      <w:pPr>
        <w:pStyle w:val="962"/>
        <w:pBdr/>
        <w:spacing/>
        <w:ind/>
        <w:rPr/>
      </w:pPr>
      <w:r>
        <w:t xml:space="preserve">Some software businesses operate on models structurally simi</w:t>
      </w:r>
      <w:r>
        <w:t xml:space="preserve">lar to pyramid schemes, where success depends less on delivering genuine value than on recruiting new participants or exploiting psychological vulnerabilities. These models sell dreams—of wealth, status, fame, or belonging—rather than substantive benefits.</w:t>
      </w:r>
      <w:r/>
    </w:p>
    <w:p>
      <w:pPr>
        <w:pStyle w:val="962"/>
        <w:pBdr/>
        <w:spacing/>
        <w:ind/>
        <w:rPr/>
      </w:pPr>
      <w:r>
        <w:t xml:space="preserve">The pattern manifests in multiple ways. High-pressure sales calls exploit psychological vulnerabilities to close deals regardless of customer benefit. Multi-level marketing structures incentivize recruiting over value delivery.</w:t>
      </w:r>
      <w:r>
        <w:t xml:space="preserve"> </w:t>
      </w:r>
      <w:r>
        <w:t xml:space="preserve">“Get rich quick”</w:t>
      </w:r>
      <w:r>
        <w:t xml:space="preserve"> </w:t>
      </w:r>
      <w:r>
        <w:t xml:space="preserve">promises attract participants whose contributions fund earlier participants rather than creating genuine value. Influencer economies create aspirational content that drives consumption without proportionate benefit.</w:t>
      </w:r>
      <w:r/>
    </w:p>
    <w:p>
      <w:pPr>
        <w:pStyle w:val="962"/>
        <w:pBdr/>
        <w:spacing/>
        <w:ind/>
        <w:rPr/>
      </w:pPr>
      <w:r>
        <w:t xml:space="preserve">As documented in case studies of MLM participants, these models extract something more valuable than money:</w:t>
      </w:r>
      <w:r>
        <w:t xml:space="preserve"> </w:t>
      </w:r>
      <w:r>
        <w:t xml:space="preserve">“the trust of your close ones, and no commission can ever buy that back.”</w:t>
      </w:r>
      <w:r>
        <w:t xml:space="preserve"> </w:t>
      </w:r>
      <w:r>
        <w:t xml:space="preserve">The exploitation operates on human desires for wealth, status, recognition, and belonging—leveraging fundamental needs rather than addressing them.</w:t>
      </w:r>
      <w:r/>
    </w:p>
    <w:p>
      <w:pPr>
        <w:pStyle w:val="962"/>
        <w:pBdr/>
        <w:spacing/>
        <w:ind/>
        <w:rPr/>
      </w:pPr>
      <w:r>
        <w:t xml:space="preserve">From an Islamic perspective, such exploitation v</w:t>
      </w:r>
      <w:r>
        <w:t xml:space="preserve">iolates multiple principles. Gharar (excessive uncertainty) prohibits transactions with hidden or unclear outcomes. The prohibition against consuming wealth unjustly (Quran 4:29) applies to business models designed to extract rather than exchange. The requ</w:t>
      </w:r>
      <w:r>
        <w:t xml:space="preserve">irement of honest dealing precludes manipulative sales tactics that prioritize conversion over customer welfare. I-VSD requires that software business models create genuine value rather than redistributing resources from later participants to earlier ones.</w:t>
      </w:r>
      <w:r/>
    </w:p>
    <w:p>
      <w:pPr>
        <w:pStyle w:val="962"/>
        <w:pBdr/>
        <w:spacing/>
        <w:ind/>
        <w:rPr/>
      </w:pPr>
      <w:r>
        <w:rPr>
          <w:b/>
          <w:bCs/>
        </w:rPr>
        <w:t xml:space="preserve">2.1.3.54 Exploitation of Gender-Specific Psychological Vulnerabilities</w:t>
      </w:r>
      <w:r/>
    </w:p>
    <w:p>
      <w:pPr>
        <w:pStyle w:val="962"/>
        <w:pBdr/>
        <w:spacing/>
        <w:ind/>
        <w:rPr/>
      </w:pPr>
      <w:r>
        <w:t xml:space="preserve">Software services increasingly exploit gender-specific psychological vulnerabilities for engagement and monetization. Dating appli</w:t>
      </w:r>
      <w:r>
        <w:t xml:space="preserve">cations manipulate male loneliness and female evaluation-seeking. Entertainment platforms reinforce unrealistic fantasies targeted at specific demographics. Social media exploits appearance anxiety and social comparison, with gender-differentiated impacts.</w:t>
      </w:r>
      <w:r/>
    </w:p>
    <w:p>
      <w:pPr>
        <w:pStyle w:val="962"/>
        <w:pBdr/>
        <w:spacing/>
        <w:ind/>
        <w:rPr/>
      </w:pPr>
      <w:r>
        <w:t xml:space="preserve">The romance and entertainment industry provides instructive parallels. Content consistently features</w:t>
      </w:r>
      <w:r>
        <w:t xml:space="preserve"> </w:t>
      </w:r>
      <w:r>
        <w:t xml:space="preserve">“a rather normal woman”</w:t>
      </w:r>
      <w:r>
        <w:t xml:space="preserve"> </w:t>
      </w:r>
      <w:r>
        <w:t xml:space="preserve">who</w:t>
      </w:r>
      <w:r>
        <w:t xml:space="preserve"> </w:t>
      </w:r>
      <w:r>
        <w:t xml:space="preserve">“through no real effort of her own becomes the object of a handsome, wealthy, powerful man’s intense obsessive desire.”</w:t>
      </w:r>
      <w:r>
        <w:t xml:space="preserve"> </w:t>
      </w:r>
      <w:r>
        <w:t xml:space="preserve">This formula su</w:t>
      </w:r>
      <w:r>
        <w:t xml:space="preserve">cceeds precisely because consumers can project themselves onto average protagonists while consuming fantasy. Software platforms apply similar psychological exploitation through parasocial relationships, evaluation metrics, and aspiration-driven engagement.</w:t>
      </w:r>
      <w:r/>
    </w:p>
    <w:p>
      <w:pPr>
        <w:pStyle w:val="962"/>
        <w:pBdr/>
        <w:spacing/>
        <w:ind/>
        <w:rPr/>
      </w:pPr>
      <w:r>
        <w:t xml:space="preserve">Male-targeted exploitation takes different fo</w:t>
      </w:r>
      <w:r>
        <w:t xml:space="preserve">rms: dating apps that monetize loneliness, gaming that exploits competitive drives and escapism, and content that commodifies women’s attention. Both patterns extract engagement and money by exploiting rather than addressing underlying psychological needs.</w:t>
      </w:r>
      <w:r/>
    </w:p>
    <w:p>
      <w:pPr>
        <w:pStyle w:val="962"/>
        <w:pBdr/>
        <w:spacing/>
        <w:ind/>
        <w:rPr/>
      </w:pPr>
      <w:r>
        <w:t xml:space="preserve">From an Islamic p</w:t>
      </w:r>
      <w:r>
        <w:t xml:space="preserve">erspective, exploiting human weakness for profit contradicts the principle of protecting human dignity. The concept of haya (modesty) extends beyond clothing to encompass dignified treatment that does not exploit vulnerability. The prohibition against caus</w:t>
      </w:r>
      <w:r>
        <w:t xml:space="preserve">ing harm (la darar) applies to psychological manipulation as much as physical injury. I-VSD-compliant software must avoid designs that systematically exploit gender-specific vulnerabilities, instead creating services that support genuine human flourishing.</w:t>
      </w:r>
      <w:r/>
    </w:p>
    <w:p>
      <w:pPr>
        <w:pStyle w:val="962"/>
        <w:pBdr/>
        <w:spacing/>
        <w:ind/>
        <w:rPr/>
      </w:pPr>
      <w:r>
        <w:rPr>
          <w:b/>
          <w:bCs/>
        </w:rPr>
        <w:t xml:space="preserve">2.1.3.55 Social Engineering Vulnerabilities and Inadequate Security Investment</w:t>
      </w:r>
      <w:r/>
    </w:p>
    <w:p>
      <w:pPr>
        <w:pStyle w:val="962"/>
        <w:pBdr/>
        <w:spacing/>
        <w:ind/>
        <w:rPr/>
      </w:pPr>
      <w:r>
        <w:t xml:space="preserve">Despite sophisticated technical security measures—two-factor authentication, cryptogra</w:t>
      </w:r>
      <w:r>
        <w:t xml:space="preserve">phic hashing, salting, and modern encryption—the software industry remains profoundly vulnerable to social engineering attacks. Attackers consistently bypass technical defenses by exploiting human elements: impersonating victims to customer support service</w:t>
      </w:r>
      <w:r>
        <w:t xml:space="preserve">s to gain account access, or posing as authority figures such as law enforcement to extract sensitive information. Documented cases reveal attackers impersonating police to trick major technology companies into surrendering private user data (Wired, 2022).</w:t>
      </w:r>
      <w:r/>
    </w:p>
    <w:p>
      <w:pPr>
        <w:pStyle w:val="962"/>
        <w:pBdr/>
        <w:spacing/>
        <w:ind/>
        <w:rPr/>
      </w:pPr>
      <w:r>
        <w:t xml:space="preserve">The fundamental problem is that customer support personnel often possess administrative access to systems and sensitive user </w:t>
      </w:r>
      <w:r>
        <w:t xml:space="preserve">information—creating a direct pathway around all technical security controls. When a support agent can reset passwords, access account details, or modify user records based on verbal claims of identity, the most sophisticated encryption becomes irrelevant.</w:t>
      </w:r>
      <w:r/>
    </w:p>
    <w:p>
      <w:pPr>
        <w:pStyle w:val="962"/>
        <w:pBdr/>
        <w:spacing/>
        <w:ind/>
        <w:rPr/>
      </w:pPr>
      <w:r>
        <w:t xml:space="preserve">This vulnerability persists not because solutions are unavailable, but because proper identity verification processes require investment. Robust verification protocols, callback pr</w:t>
      </w:r>
      <w:r>
        <w:t xml:space="preserve">ocedures, multi-channel authentication, and trained personnel all cost money. In a money-driven industry optimizing for quarterly metrics, security investments that prevent invisible losses are deprioritized in favor of visible features that drive revenue.</w:t>
      </w:r>
      <w:r>
        <w:t xml:space="preserve"> Small development teams, in particular, lack resources or expertise for comprehensive security, yet often fail to engage specialized services even when affordable—simply because security does not appear on profit-and-loss statements until a breach occurs.</w:t>
      </w:r>
      <w:r/>
    </w:p>
    <w:p>
      <w:pPr>
        <w:pStyle w:val="962"/>
        <w:pBdr/>
        <w:spacing/>
        <w:ind/>
        <w:rPr/>
      </w:pPr>
      <w:r>
        <w:t xml:space="preserve">The situation reveals a deeper ethical failure: companies accept user data as a trust (amanah) but systematically underinvest in protecting that trust. Users cannot evaluate the security of services they use</w:t>
      </w:r>
      <w:r>
        <w:t xml:space="preserve">; they must trust that providers are competent and diligent. When providers knowingly maintain inadequate security processes to save costs, they betray that trust while users bear the consequences of identity theft, financial fraud, and privacy violations.</w:t>
      </w:r>
      <w:r/>
    </w:p>
    <w:p>
      <w:pPr>
        <w:pStyle w:val="962"/>
        <w:pBdr/>
        <w:spacing/>
        <w:ind/>
        <w:rPr/>
      </w:pPr>
      <w:r>
        <w:t xml:space="preserve">From an Islamic perspective, protecting the sensitive information that customers and users entrust to software services constitutes a moral responsibility of the highest order. Deliberately maintaining inadequate security to reduce costs—when the provider </w:t>
      </w:r>
      <w:r>
        <w:t xml:space="preserve">knows better alternatives exist—violates the fundamental principle of amanah. The prohibition against causing harm (la darar) extends to negligent harm: failing to implement reasonable protective measures when one has accepted responsibility for user data.</w:t>
      </w:r>
      <w:r/>
    </w:p>
    <w:p>
      <w:pPr>
        <w:pStyle w:val="962"/>
        <w:pBdr/>
        <w:spacing/>
        <w:ind/>
        <w:rPr/>
      </w:pPr>
      <w:r>
        <w:rPr>
          <w:b/>
          <w:bCs/>
        </w:rPr>
        <w:t xml:space="preserve">Source:</w:t>
      </w:r>
      <w:r>
        <w:t xml:space="preserve"> Wired (2022).</w:t>
      </w:r>
      <w:r>
        <w:t xml:space="preserve"> </w:t>
      </w:r>
      <w:r>
        <w:t xml:space="preserve">“Doxers Posing as Cops Are Tricking Big Tech Firms Into Sharing People’s Private Data.”</w:t>
      </w:r>
      <w:r>
        <w:t xml:space="preserve"> </w:t>
      </w:r>
      <w:hyperlink r:id="rId84" w:tooltip="https://www.wired.com/story/doxers-posing-as-cops-are-tricking-big-tech-firms-into-sharing-peoples-private-data" w:history="1">
        <w:r>
          <w:rPr>
            <w:rStyle w:val="1008"/>
          </w:rPr>
          <w:t xml:space="preserve">https://www.wired.com/story/doxers-posing-as-cops-are-tricking-big-tech-firms-into-sharing-peoples-private-data</w:t>
        </w:r>
      </w:hyperlink>
      <w:r/>
      <w:r/>
    </w:p>
    <w:p>
      <w:pPr>
        <w:pStyle w:val="962"/>
        <w:pBdr/>
        <w:spacing/>
        <w:ind/>
        <w:rPr/>
      </w:pPr>
      <w:r>
        <w:rPr>
          <w:b/>
          <w:bCs/>
        </w:rPr>
        <w:t xml:space="preserve">2.1.3.56 AI Scapegoating: Corporate Dishonesty in Mass Layoffs</w:t>
      </w:r>
      <w:r/>
    </w:p>
    <w:p>
      <w:pPr>
        <w:pStyle w:val="962"/>
        <w:pBdr/>
        <w:spacing/>
        <w:ind/>
        <w:rPr/>
      </w:pPr>
      <w:r>
        <w:t xml:space="preserve">The technology industry has witnessed unprecedented layoffs since 2022, with over 180,000 tech workers losing their jobs in 2025 alone—averaging 489 positions eliminated per day. Companies consistently attribute these reductions to artificial intelligence</w:t>
      </w:r>
      <w:r>
        <w:t xml:space="preserve"> automation, positioning layoffs as inevitable technological progress. However, rigorous academic research reveals a fundamentally different reality: AI serves primarily as a convenient scapegoat for corporate decisions made for entirely different reasons.</w:t>
      </w:r>
      <w:r/>
    </w:p>
    <w:p>
      <w:pPr>
        <w:pStyle w:val="962"/>
        <w:pBdr/>
        <w:spacing/>
        <w:ind/>
        <w:rPr/>
      </w:pPr>
      <w:r>
        <w:t xml:space="preserve">A 2025 MIT study analyzing 300 public AI deployments and 52 executive interviews found that 95% of companies investing in AI—collectively spending $30-40 billion—received exactly zero measurable return on investment. The study concluded that most AI tools</w:t>
      </w:r>
      <w:r>
        <w:t xml:space="preserve"> </w:t>
      </w:r>
      <w:r>
        <w:t xml:space="preserve">“fail to contribute to profits due to brittle workflows and misalignment with operations.”</w:t>
      </w:r>
      <w:r>
        <w:t xml:space="preserve"> </w:t>
      </w:r>
      <w:r>
        <w:t xml:space="preserve">Meanwhile, Yale University’s Budget Lab, analyzing U.S. labor data from November 2022 to July 2025, found no evidence that AI has caused widespread job losses at a mass scale.</w:t>
      </w:r>
      <w:r/>
    </w:p>
    <w:p>
      <w:pPr>
        <w:pStyle w:val="962"/>
        <w:pBdr/>
        <w:spacing/>
        <w:ind/>
        <w:rPr/>
      </w:pPr>
      <w:r>
        <w:t xml:space="preserve">Professor Fabian Stephany of the Oxford Internet Institute does not mince words: companies are</w:t>
      </w:r>
      <w:r>
        <w:t xml:space="preserve"> </w:t>
      </w:r>
      <w:r>
        <w:t xml:space="preserve">“scapegoating”</w:t>
      </w:r>
      <w:r>
        <w:t xml:space="preserve"> </w:t>
      </w:r>
      <w:r>
        <w:t xml:space="preserve">AI to cover up old-fashioned cost-cutting. The pattern is consistent across major corporations. Salesforce laid off 4,000 customer support positions claiming AI could do</w:t>
      </w:r>
      <w:r>
        <w:t xml:space="preserve"> </w:t>
      </w:r>
      <w:r>
        <w:t xml:space="preserve">“50% of the work,”</w:t>
      </w:r>
      <w:r>
        <w:t xml:space="preserve"> </w:t>
      </w:r>
      <w:r>
        <w:t xml:space="preserve">yet later admitted they</w:t>
      </w:r>
      <w:r>
        <w:t xml:space="preserve"> </w:t>
      </w:r>
      <w:r>
        <w:t xml:space="preserve">“redeployed hundreds of employees into other areas”</w:t>
      </w:r>
      <w:r>
        <w:t xml:space="preserve">—moving people, not replacing them with AI. Klarna became the poster child for AI replacement after cutting 40% of its workforce with CEO Sebastian Siemiatkowski boasting that AI was doing the work of 700 agents—only to later clarify that</w:t>
      </w:r>
      <w:r>
        <w:t xml:space="preserve"> </w:t>
      </w:r>
      <w:r>
        <w:t xml:space="preserve">“We have made 0 layoffs due to AI.”</w:t>
      </w:r>
      <w:r>
        <w:t xml:space="preserve"> </w:t>
      </w:r>
      <w:r>
        <w:t xml:space="preserve">IBM and Klarna subsequently reversed their AI customer service implementations after discovering the technology could not handle actual human interaction complexity.</w:t>
      </w:r>
      <w:r/>
    </w:p>
    <w:p>
      <w:pPr>
        <w:pStyle w:val="962"/>
        <w:pBdr/>
        <w:spacing/>
        <w:ind/>
        <w:rPr/>
      </w:pPr>
      <w:r>
        <w:t xml:space="preserve">The motivation for this</w:t>
      </w:r>
      <w:r>
        <w:t xml:space="preserve"> dishonesty is straightforward corporate communications optimization. Telling investors that layoffs result from overhiring during the pandemic, miscalculated growth projections, and quarterly earnings pressure makes leadership appear incompetent. Claiming</w:t>
      </w:r>
      <w:r>
        <w:t xml:space="preserve"> </w:t>
      </w:r>
      <w:r>
        <w:t xml:space="preserve">“strategic realignment toward an AI-first future”</w:t>
      </w:r>
      <w:r>
        <w:t xml:space="preserve"> </w:t>
      </w:r>
      <w:r>
        <w:t xml:space="preserve">makes leadership appear visionary. As Stephany notes,</w:t>
      </w:r>
      <w:r>
        <w:t xml:space="preserve"> </w:t>
      </w:r>
      <w:r>
        <w:t xml:space="preserve">“Companies can now position themselves at the frontier of AI technology to appear innovative and competitive, and simultaneously conceal the real reasons for layoffs.”</w:t>
      </w:r>
      <w:r/>
    </w:p>
    <w:p>
      <w:pPr>
        <w:pStyle w:val="962"/>
        <w:pBdr/>
        <w:spacing/>
        <w:ind/>
        <w:rPr/>
      </w:pPr>
      <w:r>
        <w:t xml:space="preserve">The human cost is severe: 180,000 people lost their jobs while CEOs collected bonuses for</w:t>
      </w:r>
      <w:r>
        <w:t xml:space="preserve"> </w:t>
      </w:r>
      <w:r>
        <w:t xml:space="preserve">“strategic transformation.”</w:t>
      </w:r>
      <w:r>
        <w:t xml:space="preserve"> </w:t>
      </w:r>
      <w:r>
        <w:t xml:space="preserve">The reality is mass</w:t>
      </w:r>
      <w:r>
        <w:t xml:space="preserve"> </w:t>
      </w:r>
      <w:r>
        <w:t xml:space="preserve">“market clearance”</w:t>
      </w:r>
      <w:r>
        <w:t xml:space="preserve">—firing people who were hired during a bubble, packaged as technological progress.</w:t>
      </w:r>
      <w:r/>
    </w:p>
    <w:p>
      <w:pPr>
        <w:pStyle w:val="962"/>
        <w:pBdr/>
        <w:spacing/>
        <w:ind/>
        <w:rPr/>
      </w:pPr>
      <w:r>
        <w:t xml:space="preserve">From an Islamic perspective, this practice constitutes deliberate deception (kidhb) in corporate communications. Attr</w:t>
      </w:r>
      <w:r>
        <w:t xml:space="preserve">ibuting layoffs to AI when research shows AI is not the cause violates the fundamental principle of truthfulness (sidq). Employees who gave their best efforts—expecting some level of security and honest communication in return—find the social contract shat</w:t>
      </w:r>
      <w:r>
        <w:t xml:space="preserve">tered while leadership deploys euphemisms. The Islamic prohibition against consuming the rights of workers through deception applies directly: dressing up cost-cutting as inevitable technological progress exploits workers’ trust and the public’s ignorance.</w:t>
      </w:r>
      <w:r/>
    </w:p>
    <w:p>
      <w:pPr>
        <w:pStyle w:val="962"/>
        <w:pBdr/>
        <w:spacing/>
        <w:ind/>
        <w:rPr/>
      </w:pPr>
      <w:r>
        <w:rPr>
          <w:b/>
          <w:bCs/>
        </w:rPr>
        <w:t xml:space="preserve">Sources:</w:t>
      </w:r>
      <w:r/>
    </w:p>
    <w:p>
      <w:pPr>
        <w:pStyle w:val="964"/>
        <w:numPr>
          <w:ilvl w:val="0"/>
          <w:numId w:val="258"/>
        </w:numPr>
        <w:pBdr/>
        <w:spacing/>
        <w:ind/>
        <w:rPr/>
      </w:pPr>
      <w:r>
        <w:t xml:space="preserve">Stephany, F. (2025). Oxford Internet Institute research on AI and employment</w:t>
      </w:r>
      <w:r/>
    </w:p>
    <w:p>
      <w:pPr>
        <w:pStyle w:val="964"/>
        <w:numPr>
          <w:ilvl w:val="0"/>
          <w:numId w:val="258"/>
        </w:numPr>
        <w:pBdr/>
        <w:spacing/>
        <w:ind/>
        <w:rPr/>
      </w:pPr>
      <w:r>
        <w:t xml:space="preserve">MIT (2025).</w:t>
      </w:r>
      <w:r>
        <w:t xml:space="preserve"> </w:t>
      </w:r>
      <w:r>
        <w:t xml:space="preserve">“The GenAI Divide: State of AI in Business 2025”</w:t>
      </w:r>
      <w:r/>
    </w:p>
    <w:p>
      <w:pPr>
        <w:pStyle w:val="964"/>
        <w:numPr>
          <w:ilvl w:val="0"/>
          <w:numId w:val="258"/>
        </w:numPr>
        <w:pBdr/>
        <w:spacing/>
        <w:ind/>
        <w:rPr/>
      </w:pPr>
      <w:r>
        <w:t xml:space="preserve">Yale University Budget Lab (2025). AI Labor Market Impact Study</w:t>
      </w:r>
      <w:r/>
    </w:p>
    <w:p>
      <w:pPr>
        <w:pStyle w:val="964"/>
        <w:numPr>
          <w:ilvl w:val="0"/>
          <w:numId w:val="258"/>
        </w:numPr>
        <w:pBdr/>
        <w:spacing/>
        <w:ind/>
        <w:rPr/>
      </w:pPr>
      <w:r>
        <w:t xml:space="preserve">New York Federal Reserve service firm surveys on AI-related layoffs</w:t>
      </w:r>
      <w:r/>
    </w:p>
    <w:p>
      <w:pPr>
        <w:pStyle w:val="964"/>
        <w:numPr>
          <w:ilvl w:val="0"/>
          <w:numId w:val="258"/>
        </w:numPr>
        <w:pBdr/>
        <w:spacing/>
        <w:ind/>
        <w:rPr/>
      </w:pPr>
      <w:r>
        <w:t xml:space="preserve">Larjari, M. (2025).</w:t>
      </w:r>
      <w:r>
        <w:t xml:space="preserve"> </w:t>
      </w:r>
      <w:r>
        <w:t xml:space="preserve">“Companies Are Blaming AI for Layoffs: The Real Reason Will Piss You Off.”</w:t>
      </w:r>
      <w:r>
        <w:t xml:space="preserve"> </w:t>
      </w:r>
      <w:r>
        <w:t xml:space="preserve">Medium. </w:t>
      </w:r>
      <w:hyperlink r:id="rId85" w:tooltip="https://medium.com/@mattlar.jari/companies-are-blaming-ai-for-layoffs-the-real-reason-will-piss-you-off-149639ce47cf" w:history="1">
        <w:r>
          <w:rPr>
            <w:rStyle w:val="1008"/>
          </w:rPr>
          <w:t xml:space="preserve">https://medium.com/</w:t>
        </w:r>
        <w:r>
          <w:rPr>
            <w:rStyle w:val="1008"/>
          </w:rPr>
          <w:t xml:space="preserve">@mattlar.jari/companies-are-blaming-ai-for-layoffs-the-real-reason-will-piss-you-off-149639ce47cf</w:t>
        </w:r>
      </w:hyperlink>
      <w:r/>
      <w:r/>
    </w:p>
    <w:p>
      <w:pPr>
        <w:pStyle w:val="963"/>
        <w:pBdr/>
        <w:spacing/>
        <w:ind/>
        <w:rPr/>
      </w:pPr>
      <w:r>
        <w:rPr>
          <w:b/>
          <w:bCs/>
        </w:rPr>
        <w:t xml:space="preserve">2.1.3.57 The Human Cost of Mass Layoffs: Mental Health and Corporate Betrayal</w:t>
      </w:r>
      <w:r/>
    </w:p>
    <w:p>
      <w:pPr>
        <w:pStyle w:val="962"/>
        <w:pBdr/>
        <w:spacing/>
        <w:ind/>
        <w:rPr/>
      </w:pPr>
      <w:r>
        <w:t xml:space="preserve">The unprecedented wave of technology layoffs—more than 460,000 tech employees globally since 2022—has generated a parallel crisis that receives far less attention than quarterly earnings: severe and lasting damage to mental health among both te</w:t>
      </w:r>
      <w:r>
        <w:t xml:space="preserve">rminated employees and those who remain. A 2023 industry survey revealed that 77% of tech workers reported deteriorated mental well-being due to layoff turmoil and constant fear, while 76% reported increased stress following layoffs at their organizations.</w:t>
      </w:r>
      <w:r/>
    </w:p>
    <w:p>
      <w:pPr>
        <w:pStyle w:val="962"/>
        <w:pBdr/>
        <w:spacing/>
        <w:ind/>
        <w:rPr/>
      </w:pPr>
      <w:r>
        <w:t xml:space="preserve">For those laid off, the psychological impact resembles bereavement. One day, an employee is a valued team member, perhaps celebrated for contributions; the next, they c</w:t>
      </w:r>
      <w:r>
        <w:t xml:space="preserve">onfront failed logins to email and Slack, followed by HR confirmation that their job is gone. This abrupt severance triggers intense emotions—anger, anxiety, sadness, profound loss. Career coach Angela Copeland observes that laid-off workers can shift from</w:t>
      </w:r>
      <w:r>
        <w:t xml:space="preserve"> </w:t>
      </w:r>
      <w:r>
        <w:t xml:space="preserve">“loyal, productive employee one day to a hopeless, crying person the next,”</w:t>
      </w:r>
      <w:r>
        <w:t xml:space="preserve"> </w:t>
      </w:r>
      <w:r>
        <w:t xml:space="preserve">grieving the</w:t>
      </w:r>
      <w:r>
        <w:t xml:space="preserve"> job as profoundly as a death. Research consistently links unemployment to significantly poorer mental health, with one study finding individuals receiving unemployment benefits face roughly double the risk of clinically significant anxiety and depression.</w:t>
      </w:r>
      <w:r/>
    </w:p>
    <w:p>
      <w:pPr>
        <w:pStyle w:val="962"/>
        <w:pBdr/>
        <w:spacing/>
        <w:ind/>
        <w:rPr/>
      </w:pPr>
      <w:r>
        <w:t xml:space="preserve">The loss extends beyond income to community and identity. Workplaces are social hubs; sudden layoff means isolation from colleagues who felt like family. This social </w:t>
      </w:r>
      <w:r>
        <w:t xml:space="preserve">disconnection intensifies feelings of loneliness and grief, with emotional wounds taking significant time to heal. On the extreme end, prolonged unemployment increases risk not only of depression but substance abuse and, in severe cases, suicidal ideation.</w:t>
      </w:r>
      <w:r/>
    </w:p>
    <w:p>
      <w:pPr>
        <w:pStyle w:val="962"/>
        <w:pBdr/>
        <w:spacing/>
        <w:ind/>
        <w:rPr/>
      </w:pPr>
      <w:r>
        <w:t xml:space="preserve">Perhaps counterintuitively, those who survive layoffs often fare worse than those who leave.</w:t>
      </w:r>
      <w:r>
        <w:t xml:space="preserve"> </w:t>
      </w:r>
      <w:r>
        <w:t xml:space="preserve">“Survivor guilt”</w:t>
      </w:r>
      <w:r>
        <w:t xml:space="preserve"> </w:t>
      </w:r>
      <w:r>
        <w:t xml:space="preserve">manifests as complex emotions—gratitude mixed with guilt at retaining one’s job while colleagues did not. A survey found that 65% of remaining employees worry about their own job security after mass layoffs. This chronic fear—</w:t>
      </w:r>
      <w:r>
        <w:t xml:space="preserve">“Am I next?”</w:t>
      </w:r>
      <w:r>
        <w:t xml:space="preserve">—erodes morale and trust in leadership. Professor Joel Brockner’s research found that survivors frequently develop</w:t>
      </w:r>
      <w:r>
        <w:t xml:space="preserve"> </w:t>
      </w:r>
      <w:r>
        <w:t xml:space="preserve">“a cocktail of negative emotions—anger, depression, fear, distrust, and guilt,”</w:t>
      </w:r>
      <w:r>
        <w:t xml:space="preserve"> </w:t>
      </w:r>
      <w:r>
        <w:t xml:space="preserve">resulting in reduced performance and higher absenteeism.</w:t>
      </w:r>
      <w:r/>
    </w:p>
    <w:p>
      <w:pPr>
        <w:pStyle w:val="962"/>
        <w:pBdr/>
        <w:spacing/>
        <w:ind/>
        <w:rPr/>
      </w:pPr>
      <w:r>
        <w:t xml:space="preserve">Survivors also face dramatically increased workloads. When colleagues are laid off, their projects do not disappear; they redistribute to remaining staff.</w:t>
      </w:r>
      <w:r>
        <w:t xml:space="preserve"> </w:t>
      </w:r>
      <w:r>
        <w:t xml:space="preserve">“Doing more with less”</w:t>
      </w:r>
      <w:r>
        <w:t xml:space="preserve"> </w:t>
      </w:r>
      <w:r>
        <w:t xml:space="preserve">becomes an unsustainable normal, contributing to burnout. A Ca</w:t>
      </w:r>
      <w:r>
        <w:t xml:space="preserve">nadian study comparing survivors to laid-off workers who found new jobs found survivors fared worse on multiple measures—higher stress, lower morale and health—while many laid-off individuals rebounded in new roles. The researchers concluded that survivors</w:t>
      </w:r>
      <w:r>
        <w:t xml:space="preserve"> </w:t>
      </w:r>
      <w:r>
        <w:t xml:space="preserve">“ironically were the victims.”</w:t>
      </w:r>
      <w:r/>
    </w:p>
    <w:p>
      <w:pPr>
        <w:pStyle w:val="962"/>
        <w:pBdr/>
        <w:spacing/>
        <w:ind/>
        <w:rPr/>
      </w:pPr>
      <w:r>
        <w:t xml:space="preserve">Corporate culture and leadership response</w:t>
      </w:r>
      <w:r>
        <w:t xml:space="preserve"> determine whether these psychological impacts are mitigated or magnified. Employees notified via impersonal emails, network access cut overnight, workers escorted out by security—these approaches send a clear message: you are disposable. When people are t</w:t>
      </w:r>
      <w:r>
        <w:t xml:space="preserve">reated without dignity, survivors inevitably question what leadership truly thinks of them. Companies that communicate openly, treat departing employees with respect, and support remaining employees can reduce—though not eliminate—the psychological damage.</w:t>
      </w:r>
      <w:r/>
    </w:p>
    <w:p>
      <w:pPr>
        <w:pStyle w:val="962"/>
        <w:pBdr/>
        <w:spacing/>
        <w:ind/>
        <w:rPr/>
      </w:pPr>
      <w:r>
        <w:t xml:space="preserve">The root cause, again, is prioritizing short-term financial metrics over human welfare. Layoffs are often presented as inevitable business necessity when evidence sugges</w:t>
      </w:r>
      <w:r>
        <w:t xml:space="preserve">ts they frequently reflect leadership failures: overhiring during growth phases, miscalculated projections, and shareholder pressure for quarterly performance. The human cost is externalized—absorbed by employees and their families—while executives present</w:t>
      </w:r>
      <w:r>
        <w:t xml:space="preserve"> </w:t>
      </w:r>
      <w:r>
        <w:t xml:space="preserve">“strategic restructuring”</w:t>
      </w:r>
      <w:r>
        <w:t xml:space="preserve"> </w:t>
      </w:r>
      <w:r>
        <w:t xml:space="preserve">narratives.</w:t>
      </w:r>
      <w:r/>
    </w:p>
    <w:p>
      <w:pPr>
        <w:pStyle w:val="962"/>
        <w:pBdr/>
        <w:spacing/>
        <w:ind/>
        <w:rPr/>
      </w:pPr>
      <w:r>
        <w:t xml:space="preserve">From an Islamic perspective, these practices violate multiple fundamental principles. The treatment of employees as disposable resources contradicts the Islamic concept of human dignity (karamah). The prohibition against causing harm (la darar) extends to </w:t>
      </w:r>
      <w:r>
        <w:t xml:space="preserve">psychological and emotional harm inflicted through callous termination processes. The Islamic emphasis on fair treatment of workers—paying wages promptly, treating workers with respect, not overburdening them—applies directly to layoff practices. When lead</w:t>
      </w:r>
      <w:r>
        <w:t xml:space="preserve">ership makes decisions that cause severe psychological harm to hundreds or thousands of people while protecting their own compensation, they violate the Islamic principle of justice (adl) that requires bearing proportionate consequences of one’s decisions.</w:t>
      </w:r>
      <w:r/>
    </w:p>
    <w:p>
      <w:pPr>
        <w:pStyle w:val="962"/>
        <w:pBdr/>
        <w:spacing/>
        <w:ind/>
        <w:rPr/>
      </w:pPr>
      <w:r>
        <w:rPr>
          <w:b/>
          <w:bCs/>
        </w:rPr>
        <w:t xml:space="preserve">Sources:</w:t>
      </w:r>
      <w:r/>
    </w:p>
    <w:p>
      <w:pPr>
        <w:pStyle w:val="964"/>
        <w:numPr>
          <w:ilvl w:val="0"/>
          <w:numId w:val="259"/>
        </w:numPr>
        <w:pBdr/>
        <w:spacing/>
        <w:ind/>
        <w:rPr/>
      </w:pPr>
      <w:r>
        <w:t xml:space="preserve">TITANS (2024). Tech industry layoff statistics</w:t>
      </w:r>
      <w:r/>
    </w:p>
    <w:p>
      <w:pPr>
        <w:pStyle w:val="964"/>
        <w:numPr>
          <w:ilvl w:val="0"/>
          <w:numId w:val="259"/>
        </w:numPr>
        <w:pBdr/>
        <w:spacing/>
        <w:ind/>
        <w:rPr/>
      </w:pPr>
      <w:r>
        <w:t xml:space="preserve">Copeland, A. (2018).</w:t>
      </w:r>
      <w:r>
        <w:t xml:space="preserve"> </w:t>
      </w:r>
      <w:r>
        <w:t xml:space="preserve">“Treating Employees with Dignity.”</w:t>
      </w:r>
      <w:r>
        <w:t xml:space="preserve"> </w:t>
      </w:r>
      <w:r>
        <w:t xml:space="preserve">Copeland Coaching</w:t>
      </w:r>
      <w:r/>
    </w:p>
    <w:p>
      <w:pPr>
        <w:pStyle w:val="964"/>
        <w:numPr>
          <w:ilvl w:val="0"/>
          <w:numId w:val="259"/>
        </w:numPr>
        <w:pBdr/>
        <w:spacing/>
        <w:ind/>
        <w:rPr/>
      </w:pPr>
      <w:r>
        <w:t xml:space="preserve">Brockner, J. Research on layoff survivor psychology</w:t>
      </w:r>
      <w:r/>
    </w:p>
    <w:p>
      <w:pPr>
        <w:pStyle w:val="964"/>
        <w:numPr>
          <w:ilvl w:val="0"/>
          <w:numId w:val="259"/>
        </w:numPr>
        <w:pBdr/>
        <w:spacing/>
        <w:ind/>
        <w:rPr/>
      </w:pPr>
      <w:r>
        <w:t xml:space="preserve">Goswami, T. (2024).</w:t>
      </w:r>
      <w:r>
        <w:t xml:space="preserve"> </w:t>
      </w:r>
      <w:r>
        <w:t xml:space="preserve">“Left Behind: Breaking the Silence Around Survivor Guilt in the Wake of Mass Layoffs.”</w:t>
      </w:r>
      <w:r>
        <w:t xml:space="preserve"> </w:t>
      </w:r>
      <w:r>
        <w:t xml:space="preserve">Welcome to the Jungle</w:t>
      </w:r>
      <w:r/>
    </w:p>
    <w:p>
      <w:pPr>
        <w:pStyle w:val="964"/>
        <w:numPr>
          <w:ilvl w:val="0"/>
          <w:numId w:val="259"/>
        </w:numPr>
        <w:pBdr/>
        <w:spacing/>
        <w:ind/>
        <w:rPr/>
      </w:pPr>
      <w:r>
        <w:t xml:space="preserve">Milbank Memorial Fund (2024).</w:t>
      </w:r>
      <w:r>
        <w:t xml:space="preserve"> </w:t>
      </w:r>
      <w:r>
        <w:t xml:space="preserve">“Unemployment and Mental Health”</w:t>
      </w:r>
      <w:r/>
    </w:p>
    <w:p>
      <w:pPr>
        <w:pStyle w:val="964"/>
        <w:numPr>
          <w:ilvl w:val="0"/>
          <w:numId w:val="259"/>
        </w:numPr>
        <w:pBdr/>
        <w:spacing/>
        <w:ind/>
        <w:rPr/>
      </w:pPr>
      <w:r>
        <w:t xml:space="preserve">Noori, R. (2025).</w:t>
      </w:r>
      <w:r>
        <w:t xml:space="preserve"> </w:t>
      </w:r>
      <w:r>
        <w:t xml:space="preserve">“The Impact of Layoffs: How Surviving Employees Handle the Experience.”</w:t>
      </w:r>
      <w:r>
        <w:t xml:space="preserve"> </w:t>
      </w:r>
      <w:r>
        <w:t xml:space="preserve">Nectar HR</w:t>
      </w:r>
      <w:r/>
    </w:p>
    <w:p>
      <w:pPr>
        <w:pStyle w:val="964"/>
        <w:numPr>
          <w:ilvl w:val="0"/>
          <w:numId w:val="259"/>
        </w:numPr>
        <w:pBdr/>
        <w:spacing/>
        <w:ind/>
        <w:rPr/>
      </w:pPr>
      <w:r>
        <w:t xml:space="preserve">Henry, D. (2025).</w:t>
      </w:r>
      <w:r>
        <w:t xml:space="preserve"> </w:t>
      </w:r>
      <w:r>
        <w:t xml:space="preserve">“The Unseen Scar: The Mental Health Toll of Tech Layoffs on Those Laid Off and Those Who Remain.”</w:t>
      </w:r>
      <w:r>
        <w:t xml:space="preserve"> </w:t>
      </w:r>
      <w:r>
        <w:t xml:space="preserve">LinkedIn. </w:t>
      </w:r>
      <w:hyperlink r:id="rId86" w:tooltip="https://www.linkedin.com/pulse/unseen-scar-mental-health-toll-tech-layoffs-those-laid-dennis-henry-suiee/" w:history="1">
        <w:r>
          <w:rPr>
            <w:rStyle w:val="1008"/>
          </w:rPr>
          <w:t xml:space="preserve">https://www.linkedin.com/pulse/unseen-scar-mental-health-toll-tech-layoffs-those-laid-dennis-henry-suiee/</w:t>
        </w:r>
      </w:hyperlink>
      <w:r/>
      <w:r/>
    </w:p>
    <w:p>
      <w:pPr>
        <w:pStyle w:val="963"/>
        <w:pBdr/>
        <w:spacing/>
        <w:ind/>
        <w:rPr/>
      </w:pPr>
      <w:r>
        <w:rPr>
          <w:b/>
          <w:bCs/>
        </w:rPr>
        <w:t xml:space="preserve">2.1.3.58 Facilitation of Fraud: Software Platforms as Enablers</w:t>
      </w:r>
      <w:r/>
    </w:p>
    <w:p>
      <w:pPr>
        <w:pStyle w:val="962"/>
        <w:pBdr/>
        <w:spacing/>
        <w:ind/>
        <w:rPr/>
      </w:pPr>
      <w:r>
        <w:t xml:space="preserve">The I-VSD framework extends ethical responsibility beyond direct harm to e</w:t>
      </w:r>
      <w:r>
        <w:t xml:space="preserve">ncompass facilitation of harm through others. When software platforms knowingly enable fraud—profiting from criminal activity while maintaining plausible deniability—they become morally complicit regardless of whether they directly commit the harmful acts.</w:t>
      </w:r>
      <w:r/>
    </w:p>
    <w:p>
      <w:pPr>
        <w:pStyle w:val="962"/>
        <w:pBdr/>
        <w:spacing/>
        <w:ind/>
        <w:rPr/>
      </w:pPr>
      <w:r>
        <w:t xml:space="preserve">Credit card fraud provides an instr</w:t>
      </w:r>
      <w:r>
        <w:t xml:space="preserve">uctive case study. When criminals obtain stolen credit card information, purchasing physical goods creates risk of identification through shipping addresses and delivery logistics. Consequently, a common laundering method involves purchasing digital licens</w:t>
      </w:r>
      <w:r>
        <w:t xml:space="preserve">e keys from legitimate platforms, then reselling those keys at a discount on secondary marketplaces. The process is efficient: stolen card information converts to license keys, license keys convert to clean cash, victims and card issuers absorb the losses.</w:t>
      </w:r>
      <w:r/>
    </w:p>
    <w:p>
      <w:pPr>
        <w:pStyle w:val="962"/>
        <w:pBdr/>
        <w:spacing/>
        <w:ind/>
        <w:rPr/>
      </w:pPr>
      <w:r>
        <w:t xml:space="preserve">Software platforms at each stage of this process face a choice. They can implement robust fraud prevention—identity verification, transaction pattern analysis, velocit</w:t>
      </w:r>
      <w:r>
        <w:t xml:space="preserve">y limits, 3D Secure authentication—or they can choose to not ask questions that might reduce revenue. The I-VSD framework argues that deliberately avoiding fraud detection when the platform profits from fraudulent transactions constitutes moral complicity.</w:t>
      </w:r>
      <w:r/>
    </w:p>
    <w:p>
      <w:pPr>
        <w:pStyle w:val="962"/>
        <w:pBdr/>
        <w:spacing/>
        <w:ind/>
        <w:rPr/>
      </w:pPr>
      <w:r>
        <w:t xml:space="preserve">The same principle applies to advertising networks that knowingly serve fraudulent advertisements, payment proces</w:t>
      </w:r>
      <w:r>
        <w:t xml:space="preserve">sors that ignore obvious money laundering patterns, and marketplaces that profit from counterfeit goods. The common thread is deliberate blindness motivated by financial interest: the platform benefits from not knowing too much about its users’ activities.</w:t>
      </w:r>
      <w:r/>
    </w:p>
    <w:p>
      <w:pPr>
        <w:pStyle w:val="962"/>
        <w:pBdr/>
        <w:spacing/>
        <w:ind/>
        <w:rPr/>
      </w:pPr>
      <w:r>
        <w:t xml:space="preserve">Modern fraud pre</w:t>
      </w:r>
      <w:r>
        <w:t xml:space="preserve">vention tools exist and are useful. 3D Secure 2.0 conducts full risk assessment on every transaction, evaluating whether IP addresses match billing locations, whether the device has been used before, whether the purchase pattern is typical for the user, an</w:t>
      </w:r>
      <w:r>
        <w:t xml:space="preserve">d whether the transaction timing is normal. Multi-factor authentication, alternative payment methods like Google Pay and Apple Pay that do not expose raw credit card numbers, velocity monitoring, and behavioral analysis can dramatically reduce fraud rates.</w:t>
      </w:r>
      <w:r/>
    </w:p>
    <w:p>
      <w:pPr>
        <w:pStyle w:val="962"/>
        <w:pBdr/>
        <w:spacing/>
        <w:ind/>
        <w:rPr/>
      </w:pPr>
      <w:r>
        <w:t xml:space="preserve">Platf</w:t>
      </w:r>
      <w:r>
        <w:t xml:space="preserve">orms that sell high-value digital goods without implementing available fraud prevention measures—when they know those goods are frequently purchased with stolen payment credentials—make a choice. They choose revenue over responsibility. They accept that th</w:t>
      </w:r>
      <w:r>
        <w:t xml:space="preserve">eir platform serves as infrastructure for crime. The money-driven optimization that characterizes the industry creates pressure to avoid any measure that might reduce conversion rates, even when that measure would prevent significant harm to fraud victims.</w:t>
      </w:r>
      <w:r/>
    </w:p>
    <w:p>
      <w:pPr>
        <w:pStyle w:val="962"/>
        <w:pBdr/>
        <w:spacing/>
        <w:ind/>
        <w:rPr/>
      </w:pPr>
      <w:r>
        <w:t xml:space="preserve">From an Islamic perspective, the Quranic injunction is explicit:</w:t>
      </w:r>
      <w:r>
        <w:t xml:space="preserve"> </w:t>
      </w:r>
      <w:r>
        <w:t xml:space="preserve">“And cooperate in righteousness and piety, but do not cooperate in sin and aggression”</w:t>
      </w:r>
      <w:r>
        <w:t xml:space="preserve"> </w:t>
      </w:r>
      <w:r>
        <w:t xml:space="preserve">(Quran 5:2). When a platform knows—or deliberately avoids</w:t>
      </w:r>
      <w:r>
        <w:t xml:space="preserve"> knowing—that its services facilitate fraud, it cooperates in sin. The principle of amanah extends to responsibility for reasonably foreseeable misuse of one’s services. While dual-use services may be permissible when misuse is merely possible, platforms w</w:t>
      </w:r>
      <w:r>
        <w:t xml:space="preserve">here fraud constitutes a known, significant use pattern bear responsibility for implementing reasonable preventive measures. Choosing profit over fraud prevention violates both the prohibition against causing harm and the principle of not assisting in sin.</w:t>
      </w:r>
      <w:r/>
    </w:p>
    <w:p>
      <w:pPr>
        <w:pBdr/>
        <w:spacing/>
        <w:ind/>
        <w:rPr/>
      </w:pPr>
      <w:r>
        <mc:AlternateContent>
          <mc:Choice Requires="wpg">
            <w:drawing>
              <wp:inline xmlns:wp="http://schemas.openxmlformats.org/drawingml/2006/wordprocessingDrawing" distT="0" distB="0" distL="0" distR="0">
                <wp:extent cx="0" cy="19050"/>
                <wp:effectExtent l="0" t="0" r="0" b="0"/>
                <wp:docPr id="17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7" o:spid="_x0000_s177" o:spt="1" type="#_x0000_t1" style="width:0.00pt;height:1.50pt;mso-wrap-distance-left:0.00pt;mso-wrap-distance-top:0.00pt;mso-wrap-distance-right:0.00pt;mso-wrap-distance-bottom:0.00pt;visibility:visible;" fillcolor="#FFFFFF" strokecolor="#000000"/>
            </w:pict>
          </mc:Fallback>
        </mc:AlternateContent>
      </w:r>
      <w:bookmarkEnd w:id="273"/>
      <w:r/>
    </w:p>
    <w:p>
      <w:pPr>
        <w:pStyle w:val="978"/>
        <w:pBdr/>
        <w:spacing/>
        <w:ind/>
        <w:rPr/>
      </w:pPr>
      <w:r/>
      <w:bookmarkStart w:id="274" w:name="Xf35fd83cb73dbc957c9f5a48ac26b925d21ae70"/>
      <w:r>
        <w:t xml:space="preserve">Restored original notes from 2.1.3.Z-Islamic-Perspective-Summary</w:t>
      </w:r>
      <w:bookmarkEnd w:id="274"/>
      <w:r/>
    </w:p>
    <w:p>
      <w:pPr>
        <w:pStyle w:val="978"/>
        <w:pBdr/>
        <w:spacing/>
        <w:ind/>
        <w:rPr/>
      </w:pPr>
      <w:r/>
      <w:bookmarkStart w:id="275" w:name="z-islamic-perspective-summary-1"/>
      <w:r>
        <w:t xml:space="preserve">2.1.3.Z Islamic Perspective Summary</w:t>
      </w:r>
      <w:r/>
    </w:p>
    <w:p>
      <w:pPr>
        <w:pStyle w:val="963"/>
        <w:pBdr/>
        <w:spacing/>
        <w:ind/>
        <w:rPr/>
      </w:pPr>
      <w:r>
        <w:t xml:space="preserve">This section synthesizes Islamic ethical guid</w:t>
      </w:r>
      <w:r>
        <w:t xml:space="preserve">ance across all documented violations presented in Section 2.1.3. Rather than repeating Islamic principles at the end of each violation subsection, this consolidated summary provides comprehensive Islamic perspective organized by the eight thematic groups.</w:t>
      </w:r>
      <w:r/>
    </w:p>
    <w:p>
      <w:pPr>
        <w:pStyle w:val="962"/>
        <w:pBdr/>
        <w:spacing/>
        <w:ind/>
        <w:rPr/>
      </w:pPr>
      <w:r>
        <w:rPr>
          <w:b/>
          <w:bCs/>
        </w:rPr>
        <w:t xml:space="preserve">Core Islamic Principles Across All Violations</w:t>
      </w:r>
      <w:r/>
    </w:p>
    <w:p>
      <w:pPr>
        <w:pStyle w:val="962"/>
        <w:pBdr/>
        <w:spacing/>
        <w:ind/>
        <w:rPr/>
      </w:pPr>
      <w:r>
        <w:t xml:space="preserve">All documented violations in Section 2.1.3 share common Islamic ethical failures rooted in five fundamental principles:</w:t>
      </w:r>
      <w:r/>
    </w:p>
    <w:p>
      <w:pPr>
        <w:numPr>
          <w:ilvl w:val="0"/>
          <w:numId w:val="260"/>
        </w:numPr>
        <w:pBdr/>
        <w:spacing/>
        <w:ind/>
        <w:rPr/>
      </w:pPr>
      <w:r>
        <w:rPr>
          <w:b/>
          <w:bCs/>
        </w:rPr>
        <w:t xml:space="preserve">Violation of Amanah (Trust):</w:t>
      </w:r>
      <w:r>
        <w:t xml:space="preserve"> Users place trust in software providers, creating binding obligations to steward data, protect security, and maintain transparency. When users entrust data or reliance on a service, the provider bears moral responsibility.</w:t>
      </w:r>
      <w:r/>
    </w:p>
    <w:p>
      <w:pPr>
        <w:numPr>
          <w:ilvl w:val="0"/>
          <w:numId w:val="260"/>
        </w:numPr>
        <w:pBdr/>
        <w:spacing/>
        <w:ind/>
        <w:rPr/>
      </w:pPr>
      <w:r>
        <w:rPr>
          <w:b/>
          <w:bCs/>
        </w:rPr>
        <w:t xml:space="preserve">Violation of Sidq (Truthfulness):</w:t>
      </w:r>
      <w:r>
        <w:t xml:space="preserve"> Deception in any form—false claims, hidden terms, misleading marketing, fabricated reviews, or misrepresentation—is prohibited. The Quran states:</w:t>
      </w:r>
      <w:r>
        <w:t xml:space="preserve"> </w:t>
      </w:r>
      <w:r>
        <w:t xml:space="preserve">“O you who believe! Why do you say what you do not do? Most hateful it is to Allah that you say what you do not do”</w:t>
      </w:r>
      <w:r>
        <w:t xml:space="preserve"> </w:t>
      </w:r>
      <w:r>
        <w:t xml:space="preserve">(Quran 61:2-3).</w:t>
      </w:r>
      <w:r/>
    </w:p>
    <w:p>
      <w:pPr>
        <w:numPr>
          <w:ilvl w:val="0"/>
          <w:numId w:val="260"/>
        </w:numPr>
        <w:pBdr/>
        <w:spacing/>
        <w:ind/>
        <w:rPr/>
      </w:pPr>
      <w:r>
        <w:rPr>
          <w:b/>
          <w:bCs/>
        </w:rPr>
        <w:t xml:space="preserve">Violation of Adl (Justice):</w:t>
      </w:r>
      <w:r>
        <w:t xml:space="preserve"> Unfair treatment, discriminatory practices, abuse of monopoly power, and selective enforcement violate the Islamic principle of justice. The Quran emphasizes:</w:t>
      </w:r>
      <w:r>
        <w:t xml:space="preserve"> </w:t>
      </w:r>
      <w:r>
        <w:t xml:space="preserve">“O you who believe! Stand out firmly for justice, as witnesses to Allah, even as against yourselves”</w:t>
      </w:r>
      <w:r>
        <w:t xml:space="preserve"> </w:t>
      </w:r>
      <w:r>
        <w:t xml:space="preserve">(Quran 4:135).</w:t>
      </w:r>
      <w:r/>
    </w:p>
    <w:p>
      <w:pPr>
        <w:numPr>
          <w:ilvl w:val="0"/>
          <w:numId w:val="260"/>
        </w:numPr>
        <w:pBdr/>
        <w:spacing/>
        <w:ind/>
        <w:rPr/>
      </w:pPr>
      <w:r>
        <w:rPr>
          <w:b/>
          <w:bCs/>
        </w:rPr>
        <w:t xml:space="preserve">Violation of La Darar (No Harm):</w:t>
      </w:r>
      <w:r>
        <w:t xml:space="preserve"> Causing harm to users through exploitation, manipulation, addictive design, or dangerous practices violates this fundamental prohibition. The Prophet (PBUH) said:</w:t>
      </w:r>
      <w:r>
        <w:t xml:space="preserve"> </w:t>
      </w:r>
      <w:r>
        <w:t xml:space="preserve">“There should be neither harming nor reciprocating harm”</w:t>
      </w:r>
      <w:r>
        <w:t xml:space="preserve"> </w:t>
      </w:r>
      <w:r>
        <w:t xml:space="preserve">(Sunan Ibn Majah 2341).</w:t>
      </w:r>
      <w:r/>
    </w:p>
    <w:p>
      <w:pPr>
        <w:numPr>
          <w:ilvl w:val="0"/>
          <w:numId w:val="260"/>
        </w:numPr>
        <w:pBdr/>
        <w:spacing/>
        <w:ind/>
        <w:rPr/>
      </w:pPr>
      <w:r>
        <w:rPr>
          <w:b/>
          <w:bCs/>
        </w:rPr>
        <w:t xml:space="preserve">Violation of Fair Dealing:</w:t>
      </w:r>
      <w:r>
        <w:t xml:space="preserve"> Asymmetric power dynamics, lock-in strategies, predatory practices, and exploitation of customer ignorance violate principles of fairness in commercial transactions.</w:t>
      </w:r>
      <w:r/>
    </w:p>
    <w:p>
      <w:pPr>
        <w:pStyle w:val="963"/>
        <w:pBdr/>
        <w:spacing/>
        <w:ind/>
        <w:rPr/>
      </w:pPr>
      <w:r>
        <w:rPr>
          <w:b/>
          <w:bCs/>
        </w:rPr>
        <w:t xml:space="preserve">Islamic Perspective on Labor and Exploitation Violations (Group 2.1.3.A)</w:t>
      </w:r>
      <w:r/>
    </w:p>
    <w:p>
      <w:pPr>
        <w:pStyle w:val="962"/>
        <w:pBdr/>
        <w:spacing/>
        <w:ind/>
        <w:rPr/>
      </w:pPr>
      <w:r>
        <w:t xml:space="preserve">These practices violate the Islamic principles of Amanah (trust), honesty in employment contracts, and the prohibition against consuming the rights of workers. Islam emphasizes that workers deserve dignified treatment and timely payment. The hadith states:</w:t>
      </w:r>
      <w:r>
        <w:t xml:space="preserve"> </w:t>
      </w:r>
      <w:r>
        <w:t xml:space="preserve">“Give the worker his wages before his sweat dries”</w:t>
      </w:r>
      <w:r>
        <w:t xml:space="preserve"> </w:t>
      </w:r>
      <w:r>
        <w:t xml:space="preserve">(Ibn Majah</w:t>
      </w:r>
      <w:r>
        <w:t xml:space="preserve">). Deception in employment practices, disregard for employee welfare, and prioritization of company interests over moral obligations all violate fundamental Islamic business ethics. Organizations bear collective responsibility for their members’ wellbeing.</w:t>
      </w:r>
      <w:r/>
    </w:p>
    <w:p>
      <w:pPr>
        <w:pStyle w:val="962"/>
        <w:pBdr/>
        <w:spacing/>
        <w:ind/>
        <w:rPr/>
      </w:pPr>
      <w:r>
        <w:rPr>
          <w:b/>
          <w:bCs/>
        </w:rPr>
        <w:t xml:space="preserve">Islamic Perspective on Deception and Fraud (Group 2.1.3.B)</w:t>
      </w:r>
      <w:r/>
    </w:p>
    <w:p>
      <w:pPr>
        <w:pStyle w:val="962"/>
        <w:pBdr/>
        <w:spacing/>
        <w:ind/>
        <w:rPr/>
      </w:pPr>
      <w:r>
        <w:t xml:space="preserve">These practices constitute clear deception and fraud, strictly prohibited in Islam. The Prophet Muhammad (PBUH) said:</w:t>
      </w:r>
      <w:r>
        <w:t xml:space="preserve"> </w:t>
      </w:r>
      <w:r>
        <w:t xml:space="preserve">“Whoever cheats us is not one of us”</w:t>
      </w:r>
      <w:r>
        <w:t xml:space="preserve"> </w:t>
      </w:r>
      <w:r>
        <w:t xml:space="preserve">(Sahih Muslim). Breaking promises is explicitly forbidden, and the Prophet emphasized that</w:t>
      </w:r>
      <w:r>
        <w:t xml:space="preserve"> </w:t>
      </w:r>
      <w:r>
        <w:t xml:space="preserve">“keeping promises is a fundamental characteristic of a believer.”</w:t>
      </w:r>
      <w:r>
        <w:t xml:space="preserve"> </w:t>
      </w:r>
      <w:r>
        <w:t xml:space="preserve">This encompasses false malware warnings, fabricated reviews, false urgency, misleading branding, greenwashing, and deceptive freemium practices.</w:t>
      </w:r>
      <w:r/>
    </w:p>
    <w:p>
      <w:pPr>
        <w:pStyle w:val="962"/>
        <w:pBdr/>
        <w:spacing/>
        <w:ind/>
        <w:rPr/>
      </w:pPr>
      <w:r>
        <w:rPr>
          <w:b/>
          <w:bCs/>
        </w:rPr>
        <w:t xml:space="preserve">Islamic Perspective on Data, Privacy and Security Violations (Group 2.1.3.C)</w:t>
      </w:r>
      <w:r/>
    </w:p>
    <w:p>
      <w:pPr>
        <w:pStyle w:val="962"/>
        <w:pBdr/>
        <w:spacing/>
        <w:ind/>
        <w:rPr/>
      </w:pPr>
      <w:r>
        <w:t xml:space="preserve">Amanah (trustworthiness) with user data is obligatory. Transparency about data collection and usage is required. Proper security measures constitute part of main</w:t>
      </w:r>
      <w:r>
        <w:t xml:space="preserve">taining trust. Selling or sharing data without explicit, informed consent is prohibited. When companies change ownership, new owners must be verified as trustworthy stewards of user data. Privacy protection is a fundamental Islamic value. The Quran states:</w:t>
      </w:r>
      <w:r>
        <w:t xml:space="preserve"> </w:t>
      </w:r>
      <w:r>
        <w:t xml:space="preserve">“And spy not”</w:t>
      </w:r>
      <w:r>
        <w:t xml:space="preserve"> </w:t>
      </w:r>
      <w:r>
        <w:t xml:space="preserve">(Quran 49:12). Surveillance and spying are explicitly prohibited.</w:t>
      </w:r>
      <w:r/>
    </w:p>
    <w:p>
      <w:pPr>
        <w:pStyle w:val="962"/>
        <w:pBdr/>
        <w:spacing/>
        <w:ind/>
        <w:rPr/>
      </w:pPr>
      <w:r>
        <w:rPr>
          <w:b/>
          <w:bCs/>
        </w:rPr>
        <w:t xml:space="preserve">Islamic Perspective on Transparency and Business Practice Violations (Group 2.1.3.D)</w:t>
      </w:r>
      <w:r/>
    </w:p>
    <w:p>
      <w:pPr>
        <w:pStyle w:val="962"/>
        <w:pBdr/>
        <w:spacing/>
        <w:ind/>
        <w:rPr/>
      </w:pPr>
      <w:r>
        <w:t xml:space="preserve">Transparency is a core business principle. Hidden terms and deliberate obscurity violate the requirement for clear, informed consent in transactions. Justice (Adl) requires </w:t>
      </w:r>
      <w:r>
        <w:t xml:space="preserve">consistent application of community standards. Fair competition must be based on merit and value, not deception or sabotage. Honest attribution and credit for others’ contributions is obligatory. The industry must maintain ethical advertising standards, as</w:t>
      </w:r>
      <w:r>
        <w:t xml:space="preserve"> </w:t>
      </w:r>
      <w:r>
        <w:t xml:space="preserve">“platform owners bear responsibility for the advertisements they display.”</w:t>
      </w:r>
      <w:r/>
    </w:p>
    <w:p>
      <w:pPr>
        <w:pStyle w:val="962"/>
        <w:pBdr/>
        <w:spacing/>
        <w:ind/>
        <w:rPr/>
      </w:pPr>
      <w:r>
        <w:rPr>
          <w:b/>
          <w:bCs/>
        </w:rPr>
        <w:t xml:space="preserve">Islamic Perspective on Platform Abuse and User Exploitation (Group 2.1.3.E)</w:t>
      </w:r>
      <w:r/>
    </w:p>
    <w:p>
      <w:pPr>
        <w:pStyle w:val="962"/>
        <w:pBdr/>
        <w:spacing/>
        <w:ind/>
        <w:rPr/>
      </w:pPr>
      <w:r>
        <w:t xml:space="preserve">Platforms that abuse users through exploitation, monopoly</w:t>
      </w:r>
      <w:r>
        <w:t xml:space="preserve"> power, or systemic harm violate multiple Islamic principles. Exploiting psychological vulnerabilities violates fair dealing. Breaking implicit promises violates Amanah. Contributing to evil, war crimes, or genocide constitutes the gravest moral violation:</w:t>
      </w:r>
      <w:r>
        <w:t xml:space="preserve"> </w:t>
      </w:r>
      <w:r>
        <w:t xml:space="preserve">“And cooperate in righteousness and piety, but do not cooperate in sin and aggression”</w:t>
      </w:r>
      <w:r>
        <w:t xml:space="preserve"> </w:t>
      </w:r>
      <w:r>
        <w:t xml:space="preserve">(Quran 5:2). Revenue-driven decisions that prioritize profit over ethical considerations violate the Islamic principle that ethics must guide all business decisions. Enshittification violates principles of keeping promises and maintaining trust.</w:t>
      </w:r>
      <w:r/>
    </w:p>
    <w:p>
      <w:pPr>
        <w:pStyle w:val="962"/>
        <w:pBdr/>
        <w:spacing/>
        <w:ind/>
        <w:rPr/>
      </w:pPr>
      <w:r>
        <w:rPr>
          <w:b/>
          <w:bCs/>
        </w:rPr>
        <w:t xml:space="preserve">Islamic Perspective on Technical and AI System Violations (Group 2.1.3.F)</w:t>
      </w:r>
      <w:r/>
    </w:p>
    <w:p>
      <w:pPr>
        <w:pStyle w:val="962"/>
        <w:pBdr/>
        <w:spacing/>
        <w:ind/>
        <w:rPr/>
      </w:pPr>
      <w:r>
        <w:t xml:space="preserve">IoT spying and surveillance violate the </w:t>
      </w:r>
      <w:r>
        <w:t xml:space="preserve">prohibition against invasion of privacy. AI systems that generate false information violate the prohibition of deception. Biased AI leading to discrimination violates fairness principles. Inadequate safety measures allowing harmful outputs violate the duty</w:t>
      </w:r>
      <w:r>
        <w:t xml:space="preserve"> to prevent harm. Black-box AI systems that prevent informed consent violate Amanah principles. Financial exploitation through billing abuse, hidden fees, and automatic upgrades constitute taking money beyond what was agreed upon, which is a form of theft:</w:t>
      </w:r>
      <w:r>
        <w:t xml:space="preserve"> </w:t>
      </w:r>
      <w:r>
        <w:t xml:space="preserve">“A Muslim’s wealth is not permissible [to take] except with his willing consent”</w:t>
      </w:r>
      <w:r>
        <w:t xml:space="preserve"> </w:t>
      </w:r>
      <w:r>
        <w:t xml:space="preserve">(Ahmad). Charity platform exploitation is particularly grave as it misappropriates funds for the poor.</w:t>
      </w:r>
      <w:r/>
    </w:p>
    <w:p>
      <w:pPr>
        <w:pStyle w:val="962"/>
        <w:pBdr/>
        <w:spacing/>
        <w:ind/>
        <w:rPr/>
      </w:pPr>
      <w:r>
        <w:rPr>
          <w:b/>
          <w:bCs/>
        </w:rPr>
        <w:t xml:space="preserve">Islamic Perspective on Market Dynamics and Systemic Bias (Group 2.1.3.G)</w:t>
      </w:r>
      <w:r/>
    </w:p>
    <w:p>
      <w:pPr>
        <w:pStyle w:val="962"/>
        <w:pBdr/>
        <w:spacing/>
        <w:ind/>
        <w:rPr/>
      </w:pPr>
      <w:r>
        <w:t xml:space="preserve">Biased markets violate principles of fairness. Fear-based marketing and spreading false information constitute Ghish (deception) for commercial gain. Exploiting customer ignorance to charge ex</w:t>
      </w:r>
      <w:r>
        <w:t xml:space="preserve">cessive prices violates Ghaban Fahish (gross overpricing). Misleading benchmarks, false urgency, and selective enforcement all constitute deception. Biased moderation aligning with platform owner’s political views violates the Islamic principle of justice.</w:t>
      </w:r>
      <w:r/>
    </w:p>
    <w:p>
      <w:pPr>
        <w:pStyle w:val="962"/>
        <w:pBdr/>
        <w:spacing/>
        <w:ind/>
        <w:rPr/>
      </w:pPr>
      <w:r>
        <w:rPr>
          <w:b/>
          <w:bCs/>
        </w:rPr>
        <w:t xml:space="preserve">Islamic Perspective on Employee Rights and Competitive Practices (Group 2.1.3.H)</w:t>
      </w:r>
      <w:r/>
    </w:p>
    <w:p>
      <w:pPr>
        <w:pStyle w:val="962"/>
        <w:pBdr/>
        <w:spacing/>
        <w:ind/>
        <w:rPr/>
      </w:pPr>
      <w:r>
        <w:t xml:space="preserve">Worker righ</w:t>
      </w:r>
      <w:r>
        <w:t xml:space="preserve">ts extend beyond wages to include dignified, ethical work. Moral injury occurs when employees are forced into unethical acts. Organizations bear collective responsibility for members’ wellbeing. Exploiting religious communities by weaponizing religious obl</w:t>
      </w:r>
      <w:r>
        <w:t xml:space="preserve">igations is particularly grave. Anti-competitive practices violate fair competition principles. Addictive design using variable rewards resembles gambling mechanics, which are prohibited in Islam. Software piracy constitutes theft of intellectual property.</w:t>
      </w:r>
      <w:r/>
    </w:p>
    <w:p>
      <w:pPr>
        <w:pStyle w:val="962"/>
        <w:pBdr/>
        <w:spacing/>
        <w:ind/>
        <w:rPr/>
      </w:pPr>
      <w:r>
        <w:rPr>
          <w:b/>
          <w:bCs/>
        </w:rPr>
        <w:t xml:space="preserve">The Merchant’s Moral Responsibility</w:t>
      </w:r>
      <w:r/>
    </w:p>
    <w:p>
      <w:pPr>
        <w:pStyle w:val="962"/>
        <w:pBdr/>
        <w:spacing/>
        <w:ind/>
        <w:rPr/>
      </w:pPr>
      <w:r>
        <w:t xml:space="preserve">The Prophet (PBUH) emphasized these principles clearly:</w:t>
      </w:r>
      <w:r>
        <w:t xml:space="preserve"> </w:t>
      </w:r>
      <w:r>
        <w:t xml:space="preserve">“The merchants will be raised on the Day of Resurrection as evildoers, except those who fear Allah, are honest and speak the truth”</w:t>
      </w:r>
      <w:r>
        <w:t xml:space="preserve"> </w:t>
      </w:r>
      <w:r>
        <w:t xml:space="preserve">(Jami` at-Tirmidhi 1210). This hadith emphasizes that ethical conduct is not mer</w:t>
      </w:r>
      <w:r>
        <w:t xml:space="preserve">ely a business best practice but a religious obligation with eternal consequences. Software companies, as merchants in the digital economy, bear the same moral responsibility to conduct business with integrity, honesty, and concern for stakeholder welfare.</w:t>
      </w:r>
      <w:r/>
    </w:p>
    <w:p>
      <w:pPr>
        <w:pBdr/>
        <w:spacing/>
        <w:ind/>
        <w:rPr/>
      </w:pPr>
      <w:r>
        <mc:AlternateContent>
          <mc:Choice Requires="wpg">
            <w:drawing>
              <wp:inline xmlns:wp="http://schemas.openxmlformats.org/drawingml/2006/wordprocessingDrawing" distT="0" distB="0" distL="0" distR="0">
                <wp:extent cx="0" cy="19050"/>
                <wp:effectExtent l="0" t="0" r="0" b="0"/>
                <wp:docPr id="17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8" o:spid="_x0000_s178" o:spt="1" type="#_x0000_t1" style="width:0.00pt;height:1.50pt;mso-wrap-distance-left:0.00pt;mso-wrap-distance-top:0.00pt;mso-wrap-distance-right:0.00pt;mso-wrap-distance-bottom:0.00pt;visibility:visible;" fillcolor="#FFFFFF" strokecolor="#000000"/>
            </w:pict>
          </mc:Fallback>
        </mc:AlternateContent>
      </w:r>
      <w:bookmarkEnd w:id="275"/>
      <w:bookmarkEnd w:id="276"/>
      <w:r/>
    </w:p>
    <w:p>
      <w:pPr>
        <w:pStyle w:val="977"/>
        <w:pBdr/>
        <w:spacing/>
        <w:ind/>
        <w:rPr/>
      </w:pPr>
      <w:r/>
      <w:bookmarkStart w:id="277" w:name="Xf9f6d8d28ac4ac995e5d06ac6ee5bcda7af8b65"/>
      <w:r>
        <w:t xml:space="preserve">D.3 Preserved Expanded Islamic Principle Notes</w:t>
      </w:r>
      <w:r/>
    </w:p>
    <w:p>
      <w:pPr>
        <w:pStyle w:val="963"/>
        <w:pBdr/>
        <w:spacing/>
        <w:ind/>
        <w:rPr/>
      </w:pPr>
      <w:r>
        <w:t xml:space="preserve">The following</w:t>
      </w:r>
      <w:r>
        <w:t xml:space="preserve"> section restores the expanded source-and-principle exposition that was compressed in Chapter 2. The main chapter now uses an operational bridge; this appendix preserves the fuller source notes for later checking, citation refinement, or supervisor review.</w:t>
      </w:r>
      <w:bookmarkEnd w:id="277"/>
      <w:r/>
    </w:p>
    <w:p>
      <w:pPr>
        <w:pStyle w:val="977"/>
        <w:pBdr/>
        <w:spacing/>
        <w:ind/>
        <w:rPr/>
      </w:pPr>
      <w:r/>
      <w:bookmarkStart w:id="278" w:name="X328b4765aeb7deeb95bb7d70b9178362d7f99b2"/>
      <w:r>
        <w:t xml:space="preserve">2.3.1 Core Islamic Ethical Principles Applicable to Software Development</w:t>
      </w:r>
      <w:r/>
    </w:p>
    <w:p>
      <w:pPr>
        <w:pBdr/>
        <w:spacing/>
        <w:ind/>
        <w:rPr/>
      </w:pPr>
      <w:r>
        <mc:AlternateContent>
          <mc:Choice Requires="wpg">
            <w:drawing>
              <wp:inline xmlns:wp="http://schemas.openxmlformats.org/drawingml/2006/wordprocessingDrawing" distT="0" distB="0" distL="0" distR="0">
                <wp:extent cx="0" cy="19050"/>
                <wp:effectExtent l="0" t="0" r="0" b="0"/>
                <wp:docPr id="18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79" o:spid="_x0000_s179"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1. Amanah (Trust and Responsibility)</w:t>
      </w:r>
      <w:r/>
    </w:p>
    <w:p>
      <w:pPr>
        <w:pStyle w:val="962"/>
        <w:pBdr/>
        <w:spacing/>
        <w:ind/>
        <w:rPr/>
      </w:pPr>
      <w:r>
        <w:rPr>
          <w:b/>
          <w:bCs/>
        </w:rPr>
        <w:t xml:space="preserve">Definition:</w:t>
      </w:r>
      <w:r>
        <w:t xml:space="preserve"> Amanah refers to the concept of trust, trustworthiness, and the moral responsibility to fulfill obligations and protect what has been entrusted to one’s care.</w:t>
      </w:r>
      <w:r/>
    </w:p>
    <w:p>
      <w:pPr>
        <w:pStyle w:val="962"/>
        <w:pBdr/>
        <w:spacing/>
        <w:ind/>
        <w:rPr/>
      </w:pPr>
      <w:r>
        <w:rPr>
          <w:b/>
          <w:bCs/>
        </w:rPr>
        <w:t xml:space="preserve">Quranic Sources:</w:t>
      </w:r>
      <w:r/>
    </w:p>
    <w:p>
      <w:pPr>
        <w:pStyle w:val="992"/>
        <w:pBdr/>
        <w:spacing/>
        <w:ind/>
        <w:rPr/>
      </w:pPr>
      <w:r>
        <w:t xml:space="preserve">“Indeed, Allah commands you to render trusts to whom they are due and when you judge between people to judge with justice.”</w:t>
      </w:r>
      <w:r>
        <w:t xml:space="preserve"> </w:t>
      </w:r>
      <w:r>
        <w:t xml:space="preserve">— </w:t>
      </w:r>
      <w:r>
        <w:rPr>
          <w:b/>
          <w:bCs/>
        </w:rPr>
        <w:t xml:space="preserve">Quran 4:58</w:t>
      </w:r>
      <w:r/>
    </w:p>
    <w:p>
      <w:pPr>
        <w:pStyle w:val="992"/>
        <w:pBdr/>
        <w:spacing/>
        <w:ind/>
        <w:rPr/>
      </w:pPr>
      <w:r>
        <w:t xml:space="preserve">“O you who believe! Betray not Allah and His Messenger, nor betray knowingly your Amanat (things entrusted to you).”</w:t>
      </w:r>
      <w:r>
        <w:t xml:space="preserve"> </w:t>
      </w:r>
      <w:r>
        <w:t xml:space="preserve">— </w:t>
      </w:r>
      <w:r>
        <w:rPr>
          <w:b/>
          <w:bCs/>
        </w:rPr>
        <w:t xml:space="preserve">Quran 8:27</w:t>
      </w:r>
      <w:r/>
    </w:p>
    <w:p>
      <w:pPr>
        <w:pStyle w:val="992"/>
        <w:pBdr/>
        <w:spacing/>
        <w:ind/>
        <w:rPr/>
      </w:pPr>
      <w:r>
        <w:t xml:space="preserve">“Indeed, We offered the Trust (Amanah) to the heavens and the earth and the mountains, and they declined to bear it and feared it; but man [undertook to] bear it. Indeed, he was unjust and ignorant.”</w:t>
      </w:r>
      <w:r>
        <w:t xml:space="preserve"> </w:t>
      </w:r>
      <w:r>
        <w:t xml:space="preserve">— </w:t>
      </w:r>
      <w:r>
        <w:rPr>
          <w:b/>
          <w:bCs/>
        </w:rPr>
        <w:t xml:space="preserve">Quran 33:72</w:t>
      </w:r>
      <w:r/>
    </w:p>
    <w:p>
      <w:pPr>
        <w:pStyle w:val="963"/>
        <w:pBdr/>
        <w:spacing/>
        <w:ind/>
        <w:rPr/>
      </w:pPr>
      <w:r>
        <w:rPr>
          <w:b/>
          <w:bCs/>
        </w:rPr>
        <w:t xml:space="preserve">Hadith Sources:</w:t>
      </w:r>
      <w:r/>
    </w:p>
    <w:p>
      <w:pPr>
        <w:pStyle w:val="992"/>
        <w:pBdr/>
        <w:spacing/>
        <w:ind/>
        <w:rPr/>
      </w:pPr>
      <w:r>
        <w:t xml:space="preserve">“The signs of a hypocrite are three: when he speaks, he lies; when he makes a promise, he breaks it; and when he is entrusted with something, he betrays that trust.”</w:t>
      </w:r>
      <w:r>
        <w:t xml:space="preserve"> </w:t>
      </w:r>
      <w:r>
        <w:t xml:space="preserve">— </w:t>
      </w:r>
      <w:r>
        <w:rPr>
          <w:b/>
          <w:bCs/>
        </w:rPr>
        <w:t xml:space="preserve">Sahih al-Bukhari 33, Sahih Muslim 59</w:t>
      </w:r>
      <w:r/>
    </w:p>
    <w:p>
      <w:pPr>
        <w:pStyle w:val="992"/>
        <w:pBdr/>
        <w:spacing/>
        <w:ind/>
        <w:rPr/>
      </w:pPr>
      <w:r>
        <w:t xml:space="preserve">“There is no faith for one who has no trust (amanah), and there is no religion for one who does not keep his promises.”</w:t>
      </w:r>
      <w:r>
        <w:t xml:space="preserve"> </w:t>
      </w:r>
      <w:r>
        <w:t xml:space="preserve">— </w:t>
      </w:r>
      <w:r>
        <w:rPr>
          <w:b/>
          <w:bCs/>
        </w:rPr>
        <w:t xml:space="preserve">Musnad Ahmad</w:t>
      </w:r>
      <w:r/>
    </w:p>
    <w:p>
      <w:pPr>
        <w:pStyle w:val="992"/>
        <w:pBdr/>
        <w:spacing/>
        <w:ind/>
        <w:rPr/>
      </w:pPr>
      <w:r>
        <w:t xml:space="preserve">“Give back the trust to the one who entrusted you, and do not betray the one who betrayed you.”</w:t>
      </w:r>
      <w:r>
        <w:t xml:space="preserve"> </w:t>
      </w:r>
      <w:r>
        <w:t xml:space="preserve">— </w:t>
      </w:r>
      <w:r>
        <w:rPr>
          <w:b/>
          <w:bCs/>
        </w:rPr>
        <w:t xml:space="preserve">Sunan Abu Dawud 3535, Jami` at-Tirmidhi 1264</w:t>
      </w:r>
      <w:r/>
    </w:p>
    <w:p>
      <w:pPr>
        <w:pStyle w:val="963"/>
        <w:pBdr/>
        <w:spacing/>
        <w:ind/>
        <w:rPr/>
      </w:pPr>
      <w:r>
        <w:rPr>
          <w:b/>
          <w:bCs/>
        </w:rPr>
        <w:t xml:space="preserve">Scholarly Consensus (Ijma):</w:t>
      </w:r>
      <w:r>
        <w:br/>
      </w:r>
      <w:r>
        <w:t xml:space="preserve">The scholars unanimously agree that betraying trust is among the major sins in Islam. Imam al-Ghazali in his Ihya Ulum al-Din classifies trustworthiness as one of the essential qualities of moral character.</w:t>
      </w:r>
      <w:r/>
    </w:p>
    <w:p>
      <w:pPr>
        <w:pStyle w:val="962"/>
        <w:pBdr/>
        <w:spacing/>
        <w:ind/>
        <w:rPr/>
      </w:pPr>
      <w:r>
        <w:rPr>
          <w:b/>
          <w:bCs/>
        </w:rPr>
        <w:t xml:space="preserve">Application to Software:</w:t>
      </w:r>
      <w:r/>
    </w:p>
    <w:p>
      <w:pPr>
        <w:pStyle w:val="964"/>
        <w:numPr>
          <w:ilvl w:val="0"/>
          <w:numId w:val="261"/>
        </w:numPr>
        <w:pBdr/>
        <w:spacing/>
        <w:ind/>
        <w:rPr/>
      </w:pPr>
      <w:r>
        <w:t xml:space="preserve">User data is an amanah that must be protected</w:t>
      </w:r>
      <w:r/>
    </w:p>
    <w:p>
      <w:pPr>
        <w:pStyle w:val="964"/>
        <w:numPr>
          <w:ilvl w:val="0"/>
          <w:numId w:val="261"/>
        </w:numPr>
        <w:pBdr/>
        <w:spacing/>
        <w:ind/>
        <w:rPr/>
      </w:pPr>
      <w:r>
        <w:t xml:space="preserve">Promises made in marketing must be fulfilled</w:t>
      </w:r>
      <w:r/>
    </w:p>
    <w:p>
      <w:pPr>
        <w:pStyle w:val="964"/>
        <w:numPr>
          <w:ilvl w:val="0"/>
          <w:numId w:val="261"/>
        </w:numPr>
        <w:pBdr/>
        <w:spacing/>
        <w:ind/>
        <w:rPr/>
      </w:pPr>
      <w:r>
        <w:t xml:space="preserve">Service level agreements are binding trusts</w:t>
      </w:r>
      <w:r/>
    </w:p>
    <w:p>
      <w:pPr>
        <w:pStyle w:val="964"/>
        <w:numPr>
          <w:ilvl w:val="0"/>
          <w:numId w:val="261"/>
        </w:numPr>
        <w:pBdr/>
        <w:spacing/>
        <w:ind/>
        <w:rPr/>
      </w:pPr>
      <w:r>
        <w:t xml:space="preserve">User credentials must be properly secured</w:t>
      </w:r>
      <w:r/>
    </w:p>
    <w:p>
      <w:pPr>
        <w:pStyle w:val="964"/>
        <w:numPr>
          <w:ilvl w:val="0"/>
          <w:numId w:val="261"/>
        </w:numPr>
        <w:pBdr/>
        <w:spacing/>
        <w:ind/>
        <w:rPr/>
      </w:pPr>
      <w:r>
        <w:t xml:space="preserve">When a platform is sold, user data must be protected or returned</w:t>
      </w:r>
      <w:r/>
    </w:p>
    <w:p>
      <w:pPr>
        <w:pBdr/>
        <w:spacing/>
        <w:ind/>
        <w:rPr/>
      </w:pPr>
      <w:r>
        <mc:AlternateContent>
          <mc:Choice Requires="wpg">
            <w:drawing>
              <wp:inline xmlns:wp="http://schemas.openxmlformats.org/drawingml/2006/wordprocessingDrawing" distT="0" distB="0" distL="0" distR="0">
                <wp:extent cx="0" cy="19050"/>
                <wp:effectExtent l="0" t="0" r="0" b="0"/>
                <wp:docPr id="18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0" o:spid="_x0000_s180"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2. Sidq (Truthfulness and Honesty)</w:t>
      </w:r>
      <w:r/>
    </w:p>
    <w:p>
      <w:pPr>
        <w:pStyle w:val="962"/>
        <w:pBdr/>
        <w:spacing/>
        <w:ind/>
        <w:rPr/>
      </w:pPr>
      <w:r>
        <w:rPr>
          <w:b/>
          <w:bCs/>
        </w:rPr>
        <w:t xml:space="preserve">Definition:</w:t>
      </w:r>
      <w:r>
        <w:t xml:space="preserve"> Sidq encompasses complete honesty in speech, action, and intention. It prohibits all forms of lying, deception, and misrepresentation.</w:t>
      </w:r>
      <w:r/>
    </w:p>
    <w:p>
      <w:pPr>
        <w:pStyle w:val="962"/>
        <w:pBdr/>
        <w:spacing/>
        <w:ind/>
        <w:rPr/>
      </w:pPr>
      <w:r>
        <w:rPr>
          <w:b/>
          <w:bCs/>
        </w:rPr>
        <w:t xml:space="preserve">Quranic Sources:</w:t>
      </w:r>
      <w:r/>
    </w:p>
    <w:p>
      <w:pPr>
        <w:pStyle w:val="992"/>
        <w:pBdr/>
        <w:spacing/>
        <w:ind/>
        <w:rPr/>
      </w:pPr>
      <w:r>
        <w:t xml:space="preserve">“O you who believe! Fear Allah and be with those who are true (in word and deed).”</w:t>
      </w:r>
      <w:r>
        <w:t xml:space="preserve"> </w:t>
      </w:r>
      <w:r>
        <w:t xml:space="preserve">— </w:t>
      </w:r>
      <w:r>
        <w:rPr>
          <w:b/>
          <w:bCs/>
        </w:rPr>
        <w:t xml:space="preserve">Quran 9:119</w:t>
      </w:r>
      <w:r/>
    </w:p>
    <w:p>
      <w:pPr>
        <w:pStyle w:val="992"/>
        <w:pBdr/>
        <w:spacing/>
        <w:ind/>
        <w:rPr/>
      </w:pPr>
      <w:r>
        <w:t xml:space="preserve">“O you who believe! Why do you say what you do not do? Most hateful it is to Allah that you say what you do not do.”</w:t>
      </w:r>
      <w:r>
        <w:t xml:space="preserve"> </w:t>
      </w:r>
      <w:r>
        <w:t xml:space="preserve">— </w:t>
      </w:r>
      <w:r>
        <w:rPr>
          <w:b/>
          <w:bCs/>
        </w:rPr>
        <w:t xml:space="preserve">Quran 61:2-3</w:t>
      </w:r>
      <w:r/>
    </w:p>
    <w:p>
      <w:pPr>
        <w:pStyle w:val="992"/>
        <w:pBdr/>
        <w:spacing/>
        <w:ind/>
        <w:rPr/>
      </w:pPr>
      <w:r>
        <w:t xml:space="preserve">“And do not mix the truth with falsehood or conceal the truth while you know [it].”</w:t>
      </w:r>
      <w:r>
        <w:t xml:space="preserve"> </w:t>
      </w:r>
      <w:r>
        <w:t xml:space="preserve">— </w:t>
      </w:r>
      <w:r>
        <w:rPr>
          <w:b/>
          <w:bCs/>
        </w:rPr>
        <w:t xml:space="preserve">Quran 2:42</w:t>
      </w:r>
      <w:r/>
    </w:p>
    <w:p>
      <w:pPr>
        <w:pStyle w:val="992"/>
        <w:pBdr/>
        <w:spacing/>
        <w:ind/>
        <w:rPr/>
      </w:pPr>
      <w:r>
        <w:t xml:space="preserve">“And speak to people good [words].”</w:t>
      </w:r>
      <w:r>
        <w:t xml:space="preserve"> </w:t>
      </w:r>
      <w:r>
        <w:t xml:space="preserve">— </w:t>
      </w:r>
      <w:r>
        <w:rPr>
          <w:b/>
          <w:bCs/>
        </w:rPr>
        <w:t xml:space="preserve">Quran 2:83</w:t>
      </w:r>
      <w:r/>
    </w:p>
    <w:p>
      <w:pPr>
        <w:pStyle w:val="963"/>
        <w:pBdr/>
        <w:spacing/>
        <w:ind/>
        <w:rPr/>
      </w:pPr>
      <w:r>
        <w:rPr>
          <w:b/>
          <w:bCs/>
        </w:rPr>
        <w:t xml:space="preserve">Hadith Sources:</w:t>
      </w:r>
      <w:r/>
    </w:p>
    <w:p>
      <w:pPr>
        <w:pStyle w:val="992"/>
        <w:pBdr/>
        <w:spacing/>
        <w:ind/>
        <w:rPr/>
      </w:pPr>
      <w:r>
        <w:t xml:space="preserve">“Truthfulness leads to righte</w:t>
      </w:r>
      <w:r>
        <w:t xml:space="preserve">ousness, and righteousness leads to Paradise. A man continues to tell the truth until he becomes a truthful person. Falsehood leads to wickedness and wickedness leads to the Hellfire. A man continues to tell lies until he is recorded as a liar with Allah.”</w:t>
      </w:r>
      <w:r>
        <w:t xml:space="preserve"> </w:t>
      </w:r>
      <w:r>
        <w:t xml:space="preserve">— </w:t>
      </w:r>
      <w:r>
        <w:rPr>
          <w:b/>
          <w:bCs/>
        </w:rPr>
        <w:t xml:space="preserve">Sahih al-Bukhari 6094, Sahih Muslim 2607</w:t>
      </w:r>
      <w:r/>
    </w:p>
    <w:p>
      <w:pPr>
        <w:pStyle w:val="992"/>
        <w:pBdr/>
        <w:spacing/>
        <w:ind/>
        <w:rPr/>
      </w:pPr>
      <w:r>
        <w:t xml:space="preserve">“The merchants will be raised on the Day of Resurrection as evildoers, except those who fear Allah, are honest and speak the truth.”</w:t>
      </w:r>
      <w:r>
        <w:t xml:space="preserve"> </w:t>
      </w:r>
      <w:r>
        <w:t xml:space="preserve">— </w:t>
      </w:r>
      <w:r>
        <w:rPr>
          <w:b/>
          <w:bCs/>
        </w:rPr>
        <w:t xml:space="preserve">Jami` at-Tirmidhi 1210</w:t>
      </w:r>
      <w:r/>
    </w:p>
    <w:p>
      <w:pPr>
        <w:pStyle w:val="992"/>
        <w:pBdr/>
        <w:spacing/>
        <w:ind/>
        <w:rPr/>
      </w:pPr>
      <w:r>
        <w:t xml:space="preserve">“Whoever cheats us is not one of us.”</w:t>
      </w:r>
      <w:r>
        <w:t xml:space="preserve"> </w:t>
      </w:r>
      <w:r>
        <w:t xml:space="preserve">— </w:t>
      </w:r>
      <w:r>
        <w:rPr>
          <w:b/>
          <w:bCs/>
        </w:rPr>
        <w:t xml:space="preserve">Sahih Muslim 102</w:t>
      </w:r>
      <w:r/>
    </w:p>
    <w:p>
      <w:pPr>
        <w:pStyle w:val="963"/>
        <w:pBdr/>
        <w:spacing/>
        <w:ind/>
        <w:rPr/>
      </w:pPr>
      <w:r>
        <w:rPr>
          <w:b/>
          <w:bCs/>
        </w:rPr>
        <w:t xml:space="preserve">Scholarly Interpretation:</w:t>
      </w:r>
      <w:r>
        <w:br/>
      </w:r>
      <w:r>
        <w:t xml:space="preserve">I</w:t>
      </w:r>
      <w:r>
        <w:t xml:space="preserve">bn Qayyim al-Jawziyyah states that truthfulness must be present in three dimensions: truthfulness with Allah, truthfulness with people, and truthfulness with oneself. Concealing relevant information from customers is considered a form of lying by omission.</w:t>
      </w:r>
      <w:r/>
    </w:p>
    <w:p>
      <w:pPr>
        <w:pStyle w:val="962"/>
        <w:pBdr/>
        <w:spacing/>
        <w:ind/>
        <w:rPr/>
      </w:pPr>
      <w:r>
        <w:rPr>
          <w:b/>
          <w:bCs/>
        </w:rPr>
        <w:t xml:space="preserve">Application to Software:</w:t>
      </w:r>
      <w:r/>
    </w:p>
    <w:p>
      <w:pPr>
        <w:pStyle w:val="964"/>
        <w:numPr>
          <w:ilvl w:val="0"/>
          <w:numId w:val="262"/>
        </w:numPr>
        <w:pBdr/>
        <w:spacing/>
        <w:ind/>
        <w:rPr/>
      </w:pPr>
      <w:r>
        <w:t xml:space="preserve">Product capabilities must be honestly represented</w:t>
      </w:r>
      <w:r/>
    </w:p>
    <w:p>
      <w:pPr>
        <w:pStyle w:val="964"/>
        <w:numPr>
          <w:ilvl w:val="0"/>
          <w:numId w:val="262"/>
        </w:numPr>
        <w:pBdr/>
        <w:spacing/>
        <w:ind/>
        <w:rPr/>
      </w:pPr>
      <w:r>
        <w:t xml:space="preserve">Marketing claims must be truthful</w:t>
      </w:r>
      <w:r/>
    </w:p>
    <w:p>
      <w:pPr>
        <w:pStyle w:val="964"/>
        <w:numPr>
          <w:ilvl w:val="0"/>
          <w:numId w:val="262"/>
        </w:numPr>
        <w:pBdr/>
        <w:spacing/>
        <w:ind/>
        <w:rPr/>
      </w:pPr>
      <w:r>
        <w:t xml:space="preserve">Limitations and risks must be disclosed</w:t>
      </w:r>
      <w:r/>
    </w:p>
    <w:p>
      <w:pPr>
        <w:pStyle w:val="964"/>
        <w:numPr>
          <w:ilvl w:val="0"/>
          <w:numId w:val="262"/>
        </w:numPr>
        <w:pBdr/>
        <w:spacing/>
        <w:ind/>
        <w:rPr/>
      </w:pPr>
      <w:r>
        <w:t xml:space="preserve">Pricing must be transparent</w:t>
      </w:r>
      <w:r/>
    </w:p>
    <w:p>
      <w:pPr>
        <w:pStyle w:val="964"/>
        <w:numPr>
          <w:ilvl w:val="0"/>
          <w:numId w:val="262"/>
        </w:numPr>
        <w:pBdr/>
        <w:spacing/>
        <w:ind/>
        <w:rPr/>
      </w:pPr>
      <w:r>
        <w:t xml:space="preserve">“AI-powered”</w:t>
      </w:r>
      <w:r>
        <w:t xml:space="preserve"> </w:t>
      </w:r>
      <w:r>
        <w:t xml:space="preserve">claims must be genuine</w:t>
      </w:r>
      <w:r/>
    </w:p>
    <w:p>
      <w:pPr>
        <w:pStyle w:val="964"/>
        <w:numPr>
          <w:ilvl w:val="0"/>
          <w:numId w:val="262"/>
        </w:numPr>
        <w:pBdr/>
        <w:spacing/>
        <w:ind/>
        <w:rPr/>
      </w:pPr>
      <w:r>
        <w:t xml:space="preserve">Reviews and testimonials must be authentic</w:t>
      </w:r>
      <w:r/>
    </w:p>
    <w:p>
      <w:pPr>
        <w:pBdr/>
        <w:spacing/>
        <w:ind/>
        <w:rPr/>
      </w:pPr>
      <w:r>
        <mc:AlternateContent>
          <mc:Choice Requires="wpg">
            <w:drawing>
              <wp:inline xmlns:wp="http://schemas.openxmlformats.org/drawingml/2006/wordprocessingDrawing" distT="0" distB="0" distL="0" distR="0">
                <wp:extent cx="0" cy="19050"/>
                <wp:effectExtent l="0" t="0" r="0" b="0"/>
                <wp:docPr id="18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1" o:spid="_x0000_s181"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3. Adl (Justice and Fairness)</w:t>
      </w:r>
      <w:r/>
    </w:p>
    <w:p>
      <w:pPr>
        <w:pStyle w:val="962"/>
        <w:pBdr/>
        <w:spacing/>
        <w:ind/>
        <w:rPr/>
      </w:pPr>
      <w:r>
        <w:rPr>
          <w:b/>
          <w:bCs/>
        </w:rPr>
        <w:t xml:space="preserve">Definition:</w:t>
      </w:r>
      <w:r>
        <w:t xml:space="preserve"> Adl means justice, fairness, and equity in all dealings. It requires treating all parties fairly and giving each their due rights.</w:t>
      </w:r>
      <w:r/>
    </w:p>
    <w:p>
      <w:pPr>
        <w:pStyle w:val="962"/>
        <w:pBdr/>
        <w:spacing/>
        <w:ind/>
        <w:rPr/>
      </w:pPr>
      <w:r>
        <w:rPr>
          <w:b/>
          <w:bCs/>
        </w:rPr>
        <w:t xml:space="preserve">Quranic Sources:</w:t>
      </w:r>
      <w:r/>
    </w:p>
    <w:p>
      <w:pPr>
        <w:pStyle w:val="992"/>
        <w:pBdr/>
        <w:spacing/>
        <w:ind/>
        <w:rPr/>
      </w:pPr>
      <w:r>
        <w:t xml:space="preserve">“O you who believe! Stand out firmly for justice, as witnesses to Allah, even as against yourselves, or your parents, or your kin, and whether it be (against) rich or poor.”</w:t>
      </w:r>
      <w:r>
        <w:t xml:space="preserve"> </w:t>
      </w:r>
      <w:r>
        <w:t xml:space="preserve">— </w:t>
      </w:r>
      <w:r>
        <w:rPr>
          <w:b/>
          <w:bCs/>
        </w:rPr>
        <w:t xml:space="preserve">Quran 4:135</w:t>
      </w:r>
      <w:r/>
    </w:p>
    <w:p>
      <w:pPr>
        <w:pStyle w:val="992"/>
        <w:pBdr/>
        <w:spacing/>
        <w:ind/>
        <w:rPr/>
      </w:pPr>
      <w:r>
        <w:t xml:space="preserve">“Indeed, Allah orders justice and good conduct.”</w:t>
      </w:r>
      <w:r>
        <w:t xml:space="preserve"> </w:t>
      </w:r>
      <w:r>
        <w:t xml:space="preserve">— </w:t>
      </w:r>
      <w:r>
        <w:rPr>
          <w:b/>
          <w:bCs/>
        </w:rPr>
        <w:t xml:space="preserve">Quran 16:90</w:t>
      </w:r>
      <w:r/>
    </w:p>
    <w:p>
      <w:pPr>
        <w:pStyle w:val="992"/>
        <w:pBdr/>
        <w:spacing/>
        <w:ind/>
        <w:rPr/>
      </w:pPr>
      <w:r>
        <w:t xml:space="preserve">“And when you testify, be just, even if [it concerns] a near relative.”</w:t>
      </w:r>
      <w:r>
        <w:t xml:space="preserve"> </w:t>
      </w:r>
      <w:r>
        <w:t xml:space="preserve">— </w:t>
      </w:r>
      <w:r>
        <w:rPr>
          <w:b/>
          <w:bCs/>
        </w:rPr>
        <w:t xml:space="preserve">Quran 6:152</w:t>
      </w:r>
      <w:r/>
    </w:p>
    <w:p>
      <w:pPr>
        <w:pStyle w:val="992"/>
        <w:pBdr/>
        <w:spacing/>
        <w:ind/>
        <w:rPr/>
      </w:pPr>
      <w:r>
        <w:t xml:space="preserve">“O you who believe! Be persistently standing firm for Allah, witnesses in justice, and do not let the hatred of a people prevent you from being just. Be just; that is nearer to righteousness.”</w:t>
      </w:r>
      <w:r>
        <w:t xml:space="preserve"> </w:t>
      </w:r>
      <w:r>
        <w:t xml:space="preserve">— </w:t>
      </w:r>
      <w:r>
        <w:rPr>
          <w:b/>
          <w:bCs/>
        </w:rPr>
        <w:t xml:space="preserve">Quran 5:8</w:t>
      </w:r>
      <w:r/>
    </w:p>
    <w:p>
      <w:pPr>
        <w:pStyle w:val="963"/>
        <w:pBdr/>
        <w:spacing/>
        <w:ind/>
        <w:rPr/>
      </w:pPr>
      <w:r>
        <w:rPr>
          <w:b/>
          <w:bCs/>
        </w:rPr>
        <w:t xml:space="preserve">Hadith Sources:</w:t>
      </w:r>
      <w:r/>
    </w:p>
    <w:p>
      <w:pPr>
        <w:pStyle w:val="992"/>
        <w:pBdr/>
        <w:spacing/>
        <w:ind/>
        <w:rPr/>
      </w:pPr>
      <w:r>
        <w:t xml:space="preserve">“Beware of injustice, for injustice will be darkness on the Day of Resurrection.”</w:t>
      </w:r>
      <w:r>
        <w:t xml:space="preserve"> </w:t>
      </w:r>
      <w:r>
        <w:rPr>
          <w:b/>
          <w:bCs/>
        </w:rPr>
        <w:t xml:space="preserve">Sahih al-Bukhari 2447, Sahih Muslim 2578</w:t>
      </w:r>
      <w:r/>
    </w:p>
    <w:p>
      <w:pPr>
        <w:pStyle w:val="992"/>
        <w:pBdr/>
        <w:spacing/>
        <w:ind/>
        <w:rPr/>
      </w:pPr>
      <w:r>
        <w:t xml:space="preserve">“The just will be with Allah on pulpits of light… those who are just in their rulings and with their families and in all that they are responsible for.”</w:t>
      </w:r>
      <w:r>
        <w:t xml:space="preserve"> </w:t>
      </w:r>
      <w:r>
        <w:rPr>
          <w:b/>
          <w:bCs/>
        </w:rPr>
        <w:t xml:space="preserve">Sahih Muslim 1827</w:t>
      </w:r>
      <w:r/>
    </w:p>
    <w:p>
      <w:pPr>
        <w:pStyle w:val="963"/>
        <w:pBdr/>
        <w:spacing/>
        <w:ind/>
        <w:rPr/>
      </w:pPr>
      <w:r>
        <w:rPr>
          <w:b/>
          <w:bCs/>
        </w:rPr>
        <w:t xml:space="preserve">Scholarly Interpretation:</w:t>
      </w:r>
      <w:r>
        <w:br/>
      </w:r>
      <w:r>
        <w:t xml:space="preserve">Imam al-Mawardi in Al-Ahkam al-Sultaniyyah emphasizes that justice must be applied consistently, not selectively. Preferential treatment based on wealth or status violates the principle of Adl.</w:t>
      </w:r>
      <w:r/>
    </w:p>
    <w:p>
      <w:pPr>
        <w:pStyle w:val="962"/>
        <w:pBdr/>
        <w:spacing/>
        <w:ind/>
        <w:rPr/>
      </w:pPr>
      <w:r>
        <w:rPr>
          <w:b/>
          <w:bCs/>
        </w:rPr>
        <w:t xml:space="preserve">Application to Software:</w:t>
      </w:r>
      <w:r/>
    </w:p>
    <w:p>
      <w:pPr>
        <w:pStyle w:val="964"/>
        <w:numPr>
          <w:ilvl w:val="0"/>
          <w:numId w:val="263"/>
        </w:numPr>
        <w:pBdr/>
        <w:spacing/>
        <w:ind/>
        <w:rPr/>
      </w:pPr>
      <w:r>
        <w:t xml:space="preserve">Equal service quality for all users</w:t>
      </w:r>
      <w:r/>
    </w:p>
    <w:p>
      <w:pPr>
        <w:pStyle w:val="964"/>
        <w:numPr>
          <w:ilvl w:val="0"/>
          <w:numId w:val="263"/>
        </w:numPr>
        <w:pBdr/>
        <w:spacing/>
        <w:ind/>
        <w:rPr/>
      </w:pPr>
      <w:r>
        <w:t xml:space="preserve">Consistent application of terms of service</w:t>
      </w:r>
      <w:r/>
    </w:p>
    <w:p>
      <w:pPr>
        <w:pStyle w:val="964"/>
        <w:numPr>
          <w:ilvl w:val="0"/>
          <w:numId w:val="263"/>
        </w:numPr>
        <w:pBdr/>
        <w:spacing/>
        <w:ind/>
        <w:rPr/>
      </w:pPr>
      <w:r>
        <w:t xml:space="preserve">Fair content moderation without bias</w:t>
      </w:r>
      <w:r/>
    </w:p>
    <w:p>
      <w:pPr>
        <w:pStyle w:val="964"/>
        <w:numPr>
          <w:ilvl w:val="0"/>
          <w:numId w:val="263"/>
        </w:numPr>
        <w:pBdr/>
        <w:spacing/>
        <w:ind/>
        <w:rPr/>
      </w:pPr>
      <w:r>
        <w:t xml:space="preserve">Equitable pricing structures</w:t>
      </w:r>
      <w:r/>
    </w:p>
    <w:p>
      <w:pPr>
        <w:pStyle w:val="964"/>
        <w:numPr>
          <w:ilvl w:val="0"/>
          <w:numId w:val="263"/>
        </w:numPr>
        <w:pBdr/>
        <w:spacing/>
        <w:ind/>
        <w:rPr/>
      </w:pPr>
      <w:r>
        <w:t xml:space="preserve">No preferential treatment for paying customers in terms of basic rights</w:t>
      </w:r>
      <w:r/>
    </w:p>
    <w:p>
      <w:pPr>
        <w:pStyle w:val="964"/>
        <w:numPr>
          <w:ilvl w:val="0"/>
          <w:numId w:val="263"/>
        </w:numPr>
        <w:pBdr/>
        <w:spacing/>
        <w:ind/>
        <w:rPr/>
      </w:pPr>
      <w:r>
        <w:t xml:space="preserve">Consistent bug fixes and support across user tiers</w:t>
      </w:r>
      <w:r/>
    </w:p>
    <w:p>
      <w:pPr>
        <w:pBdr/>
        <w:spacing/>
        <w:ind/>
        <w:rPr/>
      </w:pPr>
      <w:r>
        <mc:AlternateContent>
          <mc:Choice Requires="wpg">
            <w:drawing>
              <wp:inline xmlns:wp="http://schemas.openxmlformats.org/drawingml/2006/wordprocessingDrawing" distT="0" distB="0" distL="0" distR="0">
                <wp:extent cx="0" cy="19050"/>
                <wp:effectExtent l="0" t="0" r="0" b="0"/>
                <wp:docPr id="18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2" o:spid="_x0000_s182"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4. La Darar wa La Dirar (No Harm and No Reciprocating Harm)</w:t>
      </w:r>
      <w:r/>
    </w:p>
    <w:p>
      <w:pPr>
        <w:pStyle w:val="962"/>
        <w:pBdr/>
        <w:spacing/>
        <w:ind/>
        <w:rPr/>
      </w:pPr>
      <w:r>
        <w:rPr>
          <w:b/>
          <w:bCs/>
        </w:rPr>
        <w:t xml:space="preserve">Definition:</w:t>
      </w:r>
      <w:r>
        <w:t xml:space="preserve"> This foundational legal maxim prohibits causing harm to others and retaliating with harm. It establishes a duty to prevent damage.</w:t>
      </w:r>
      <w:r/>
    </w:p>
    <w:p>
      <w:pPr>
        <w:pStyle w:val="962"/>
        <w:pBdr/>
        <w:spacing/>
        <w:ind/>
        <w:rPr/>
      </w:pPr>
      <w:r>
        <w:rPr>
          <w:b/>
          <w:bCs/>
        </w:rPr>
        <w:t xml:space="preserve">Hadith Source:</w:t>
      </w:r>
      <w:r/>
    </w:p>
    <w:p>
      <w:pPr>
        <w:pStyle w:val="992"/>
        <w:pBdr/>
        <w:spacing/>
        <w:ind/>
        <w:rPr/>
      </w:pPr>
      <w:r>
        <w:t xml:space="preserve">“There should be neither harming nor reciprocating harm.”</w:t>
      </w:r>
      <w:r>
        <w:t xml:space="preserve"> </w:t>
      </w:r>
      <w:r>
        <w:rPr>
          <w:b/>
          <w:bCs/>
        </w:rPr>
        <w:t xml:space="preserve">Sunan Ibn Majah 2341</w:t>
      </w:r>
      <w:r>
        <w:t xml:space="preserve"> (One of the forty hadith of Imam al-Nawawi, considered a foundational principle of Islamic law)</w:t>
      </w:r>
      <w:r/>
    </w:p>
    <w:p>
      <w:pPr>
        <w:pStyle w:val="963"/>
        <w:pBdr/>
        <w:spacing/>
        <w:ind/>
        <w:rPr/>
      </w:pPr>
      <w:r>
        <w:rPr>
          <w:b/>
          <w:bCs/>
        </w:rPr>
        <w:t xml:space="preserve">Quranic Support:</w:t>
      </w:r>
      <w:r/>
    </w:p>
    <w:p>
      <w:pPr>
        <w:pStyle w:val="992"/>
        <w:pBdr/>
        <w:spacing/>
        <w:ind/>
        <w:rPr/>
      </w:pPr>
      <w:r>
        <w:t xml:space="preserve">“And do not kill yourselves [or one another]. Indeed, Allah is to you ever Merciful.”</w:t>
      </w:r>
      <w:r>
        <w:t xml:space="preserve"> </w:t>
      </w:r>
      <w:r>
        <w:rPr>
          <w:b/>
          <w:bCs/>
        </w:rPr>
        <w:t xml:space="preserve">Quran 4:29</w:t>
      </w:r>
      <w:r/>
    </w:p>
    <w:p>
      <w:pPr>
        <w:pStyle w:val="992"/>
        <w:pBdr/>
        <w:spacing/>
        <w:ind/>
        <w:rPr/>
      </w:pPr>
      <w:r>
        <w:t xml:space="preserve">“And do not throw [yourselves] with your [own] hands into destruction.”</w:t>
      </w:r>
      <w:r>
        <w:t xml:space="preserve"> </w:t>
      </w:r>
      <w:r>
        <w:rPr>
          <w:b/>
          <w:bCs/>
        </w:rPr>
        <w:t xml:space="preserve">Quran 2:195</w:t>
      </w:r>
      <w:r/>
    </w:p>
    <w:p>
      <w:pPr>
        <w:pStyle w:val="963"/>
        <w:pBdr/>
        <w:spacing/>
        <w:ind/>
        <w:rPr/>
      </w:pPr>
      <w:r>
        <w:rPr>
          <w:b/>
          <w:bCs/>
        </w:rPr>
        <w:t xml:space="preserve">Scholarly Development:</w:t>
      </w:r>
      <w:r>
        <w:br/>
      </w:r>
      <w:r>
        <w:t xml:space="preserve">This principle is considered one of the five universal maxims (al-qawa’id al-kulliyyah) of Islamic jurisprudence. Scholars derive from it that:</w:t>
      </w:r>
      <w:r/>
    </w:p>
    <w:p>
      <w:pPr>
        <w:pStyle w:val="964"/>
        <w:numPr>
          <w:ilvl w:val="0"/>
          <w:numId w:val="264"/>
        </w:numPr>
        <w:pBdr/>
        <w:spacing/>
        <w:ind/>
        <w:rPr/>
      </w:pPr>
      <w:r>
        <w:t xml:space="preserve">Preventing harm takes precedence over obtaining benefit</w:t>
      </w:r>
      <w:r/>
    </w:p>
    <w:p>
      <w:pPr>
        <w:pStyle w:val="964"/>
        <w:numPr>
          <w:ilvl w:val="0"/>
          <w:numId w:val="264"/>
        </w:numPr>
        <w:pBdr/>
        <w:spacing/>
        <w:ind/>
        <w:rPr/>
      </w:pPr>
      <w:r>
        <w:t xml:space="preserve">Private harm may be tolerated to prevent public harm</w:t>
      </w:r>
      <w:r/>
    </w:p>
    <w:p>
      <w:pPr>
        <w:pStyle w:val="964"/>
        <w:numPr>
          <w:ilvl w:val="0"/>
          <w:numId w:val="264"/>
        </w:numPr>
        <w:pBdr/>
        <w:spacing/>
        <w:ind/>
        <w:rPr/>
      </w:pPr>
      <w:r>
        <w:t xml:space="preserve">Greater harm is removed by lesser harm</w:t>
      </w:r>
      <w:r/>
    </w:p>
    <w:p>
      <w:pPr>
        <w:pStyle w:val="964"/>
        <w:numPr>
          <w:ilvl w:val="0"/>
          <w:numId w:val="264"/>
        </w:numPr>
        <w:pBdr/>
        <w:spacing/>
        <w:ind/>
        <w:rPr/>
      </w:pPr>
      <w:r>
        <w:t xml:space="preserve">Harm must be removed as much as possible</w:t>
      </w:r>
      <w:r/>
    </w:p>
    <w:p>
      <w:pPr>
        <w:pStyle w:val="963"/>
        <w:pBdr/>
        <w:spacing/>
        <w:ind/>
        <w:rPr/>
      </w:pPr>
      <w:r>
        <w:rPr>
          <w:b/>
          <w:bCs/>
        </w:rPr>
        <w:t xml:space="preserve">Application to Software:</w:t>
      </w:r>
      <w:r/>
    </w:p>
    <w:p>
      <w:pPr>
        <w:pStyle w:val="964"/>
        <w:numPr>
          <w:ilvl w:val="0"/>
          <w:numId w:val="265"/>
        </w:numPr>
        <w:pBdr/>
        <w:spacing/>
        <w:ind/>
        <w:rPr/>
      </w:pPr>
      <w:r>
        <w:t xml:space="preserve">Security vulnerabilities must be promptly patched</w:t>
      </w:r>
      <w:r/>
    </w:p>
    <w:p>
      <w:pPr>
        <w:pStyle w:val="964"/>
        <w:numPr>
          <w:ilvl w:val="0"/>
          <w:numId w:val="265"/>
        </w:numPr>
        <w:pBdr/>
        <w:spacing/>
        <w:ind/>
        <w:rPr/>
      </w:pPr>
      <w:r>
        <w:t xml:space="preserve">Software must not enable harm to users</w:t>
      </w:r>
      <w:r/>
    </w:p>
    <w:p>
      <w:pPr>
        <w:pStyle w:val="964"/>
        <w:numPr>
          <w:ilvl w:val="0"/>
          <w:numId w:val="265"/>
        </w:numPr>
        <w:pBdr/>
        <w:spacing/>
        <w:ind/>
        <w:rPr/>
      </w:pPr>
      <w:r>
        <w:t xml:space="preserve">Privacy protections are mandatory</w:t>
      </w:r>
      <w:r/>
    </w:p>
    <w:p>
      <w:pPr>
        <w:pStyle w:val="964"/>
        <w:numPr>
          <w:ilvl w:val="0"/>
          <w:numId w:val="265"/>
        </w:numPr>
        <w:pBdr/>
        <w:spacing/>
        <w:ind/>
        <w:rPr/>
      </w:pPr>
      <w:r>
        <w:t xml:space="preserve">Dark patterns that cause financial or psychological harm are prohibited</w:t>
      </w:r>
      <w:r/>
    </w:p>
    <w:p>
      <w:pPr>
        <w:pStyle w:val="964"/>
        <w:numPr>
          <w:ilvl w:val="0"/>
          <w:numId w:val="265"/>
        </w:numPr>
        <w:pBdr/>
        <w:spacing/>
        <w:ind/>
        <w:rPr/>
      </w:pPr>
      <w:r>
        <w:t xml:space="preserve">Addictive design patterns violate this principle</w:t>
      </w:r>
      <w:r/>
    </w:p>
    <w:p>
      <w:pPr>
        <w:pStyle w:val="964"/>
        <w:numPr>
          <w:ilvl w:val="0"/>
          <w:numId w:val="265"/>
        </w:numPr>
        <w:pBdr/>
        <w:spacing/>
        <w:ind/>
        <w:rPr/>
      </w:pPr>
      <w:r>
        <w:t xml:space="preserve">Surveillance features must not enable persecution</w:t>
      </w:r>
      <w:r/>
    </w:p>
    <w:p>
      <w:pPr>
        <w:pBdr/>
        <w:spacing/>
        <w:ind/>
        <w:rPr/>
      </w:pPr>
      <w:r>
        <mc:AlternateContent>
          <mc:Choice Requires="wpg">
            <w:drawing>
              <wp:inline xmlns:wp="http://schemas.openxmlformats.org/drawingml/2006/wordprocessingDrawing" distT="0" distB="0" distL="0" distR="0">
                <wp:extent cx="0" cy="19050"/>
                <wp:effectExtent l="0" t="0" r="0" b="0"/>
                <wp:docPr id="18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3" o:spid="_x0000_s183"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5. Huquq al-’Ibad (Rights of People)</w:t>
      </w:r>
      <w:r/>
    </w:p>
    <w:p>
      <w:pPr>
        <w:pStyle w:val="962"/>
        <w:pBdr/>
        <w:spacing/>
        <w:ind/>
        <w:rPr/>
      </w:pPr>
      <w:r>
        <w:rPr>
          <w:b/>
          <w:bCs/>
        </w:rPr>
        <w:t xml:space="preserve">Definition:</w:t>
      </w:r>
      <w:r>
        <w:t xml:space="preserve"> Islam distinguishes between rights owed to Allah (Huquq Allah) and rights owed to people (Huquq al-’Ibad). The latter cannot be forgiven except by the person wronged.</w:t>
      </w:r>
      <w:r/>
    </w:p>
    <w:p>
      <w:pPr>
        <w:pStyle w:val="962"/>
        <w:pBdr/>
        <w:spacing/>
        <w:ind/>
        <w:rPr/>
      </w:pPr>
      <w:r>
        <w:rPr>
          <w:b/>
          <w:bCs/>
        </w:rPr>
        <w:t xml:space="preserve">Hadith Sources:</w:t>
      </w:r>
      <w:r/>
    </w:p>
    <w:p>
      <w:pPr>
        <w:pStyle w:val="992"/>
        <w:pBdr/>
        <w:spacing/>
        <w:ind/>
        <w:rPr/>
      </w:pPr>
      <w:r>
        <w:t xml:space="preserve">“Whoever has wronged his brother with regard to his honor or anything else, let him seek his forgiveness today, before there will</w:t>
      </w:r>
      <w:r>
        <w:t xml:space="preserve"> be no dinar or dirham, and if he has any good deeds to his credit they will be taken from him in a measure commensurate with the wrong he did, and if he has no good deeds, some of the bad deeds of the one he wronged will be taken and added to his burden.”</w:t>
      </w:r>
      <w:r>
        <w:t xml:space="preserve"> </w:t>
      </w:r>
      <w:r>
        <w:rPr>
          <w:b/>
          <w:bCs/>
        </w:rPr>
        <w:t xml:space="preserve">Sahih al-Bukhari 2449</w:t>
      </w:r>
      <w:r/>
    </w:p>
    <w:p>
      <w:pPr>
        <w:pStyle w:val="992"/>
        <w:pBdr/>
        <w:spacing/>
        <w:ind/>
        <w:rPr/>
      </w:pPr>
      <w:r>
        <w:t xml:space="preserve">“Give the worker his wages before his sweat dries.”</w:t>
      </w:r>
      <w:r>
        <w:t xml:space="preserve"> </w:t>
      </w:r>
      <w:r>
        <w:rPr>
          <w:b/>
          <w:bCs/>
        </w:rPr>
        <w:t xml:space="preserve">Sunan Ibn Majah 2443</w:t>
      </w:r>
      <w:r/>
    </w:p>
    <w:p>
      <w:pPr>
        <w:pStyle w:val="992"/>
        <w:pBdr/>
        <w:spacing/>
        <w:ind/>
        <w:rPr/>
      </w:pPr>
      <w:r>
        <w:t xml:space="preserve">“A Muslim’s wealth is not permissible except with his willing consent.”</w:t>
      </w:r>
      <w:r>
        <w:t xml:space="preserve"> </w:t>
      </w:r>
      <w:r>
        <w:rPr>
          <w:b/>
          <w:bCs/>
        </w:rPr>
        <w:t xml:space="preserve">Musnad Ahmad</w:t>
      </w:r>
      <w:r/>
    </w:p>
    <w:p>
      <w:pPr>
        <w:pStyle w:val="963"/>
        <w:pBdr/>
        <w:spacing/>
        <w:ind/>
        <w:rPr/>
      </w:pPr>
      <w:r>
        <w:rPr>
          <w:b/>
          <w:bCs/>
        </w:rPr>
        <w:t xml:space="preserve">Scholarly Interpretation:</w:t>
      </w:r>
      <w:r>
        <w:br/>
      </w:r>
      <w:r>
        <w:t xml:space="preserve">Scholars </w:t>
      </w:r>
      <w:r>
        <w:t xml:space="preserve">emphasize that violating the rights of people is more severe in some ways than violating rights owed to Allah, because Allah may forgive transgressions against Himself, but He will not forgive transgressions against others until the wronged party forgives.</w:t>
      </w:r>
      <w:r/>
    </w:p>
    <w:p>
      <w:pPr>
        <w:pStyle w:val="962"/>
        <w:pBdr/>
        <w:spacing/>
        <w:ind/>
        <w:rPr/>
      </w:pPr>
      <w:r>
        <w:rPr>
          <w:b/>
          <w:bCs/>
        </w:rPr>
        <w:t xml:space="preserve">Application to Software:</w:t>
      </w:r>
      <w:r/>
    </w:p>
    <w:p>
      <w:pPr>
        <w:pStyle w:val="964"/>
        <w:numPr>
          <w:ilvl w:val="0"/>
          <w:numId w:val="266"/>
        </w:numPr>
        <w:pBdr/>
        <w:spacing/>
        <w:ind/>
        <w:rPr/>
      </w:pPr>
      <w:r>
        <w:t xml:space="preserve">User data belongs to users (property right)</w:t>
      </w:r>
      <w:r/>
    </w:p>
    <w:p>
      <w:pPr>
        <w:pStyle w:val="964"/>
        <w:numPr>
          <w:ilvl w:val="0"/>
          <w:numId w:val="266"/>
        </w:numPr>
        <w:pBdr/>
        <w:spacing/>
        <w:ind/>
        <w:rPr/>
      </w:pPr>
      <w:r>
        <w:t xml:space="preserve">Contributors to open source deserve credit</w:t>
      </w:r>
      <w:r/>
    </w:p>
    <w:p>
      <w:pPr>
        <w:pStyle w:val="964"/>
        <w:numPr>
          <w:ilvl w:val="0"/>
          <w:numId w:val="266"/>
        </w:numPr>
        <w:pBdr/>
        <w:spacing/>
        <w:ind/>
        <w:rPr/>
      </w:pPr>
      <w:r>
        <w:t xml:space="preserve">Workers deserve fair compensation</w:t>
      </w:r>
      <w:r/>
    </w:p>
    <w:p>
      <w:pPr>
        <w:pStyle w:val="964"/>
        <w:numPr>
          <w:ilvl w:val="0"/>
          <w:numId w:val="266"/>
        </w:numPr>
        <w:pBdr/>
        <w:spacing/>
        <w:ind/>
        <w:rPr/>
      </w:pPr>
      <w:r>
        <w:t xml:space="preserve">Customers have right to what they paid for</w:t>
      </w:r>
      <w:r/>
    </w:p>
    <w:p>
      <w:pPr>
        <w:pStyle w:val="964"/>
        <w:numPr>
          <w:ilvl w:val="0"/>
          <w:numId w:val="266"/>
        </w:numPr>
        <w:pBdr/>
        <w:spacing/>
        <w:ind/>
        <w:rPr/>
      </w:pPr>
      <w:r>
        <w:t xml:space="preserve">Subscribers have right to cancel without undue difficulty</w:t>
      </w:r>
      <w:r/>
    </w:p>
    <w:p>
      <w:pPr>
        <w:pStyle w:val="964"/>
        <w:numPr>
          <w:ilvl w:val="0"/>
          <w:numId w:val="266"/>
        </w:numPr>
        <w:pBdr/>
        <w:spacing/>
        <w:ind/>
        <w:rPr/>
      </w:pPr>
      <w:r>
        <w:t xml:space="preserve">Users have right to their own content and data export</w:t>
      </w:r>
      <w:r/>
    </w:p>
    <w:p>
      <w:pPr>
        <w:pBdr/>
        <w:spacing/>
        <w:ind/>
        <w:rPr/>
      </w:pPr>
      <w:r>
        <mc:AlternateContent>
          <mc:Choice Requires="wpg">
            <w:drawing>
              <wp:inline xmlns:wp="http://schemas.openxmlformats.org/drawingml/2006/wordprocessingDrawing" distT="0" distB="0" distL="0" distR="0">
                <wp:extent cx="0" cy="19050"/>
                <wp:effectExtent l="0" t="0" r="0" b="0"/>
                <wp:docPr id="18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4" o:spid="_x0000_s184"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6. Prohibition of Riba (Interest/Usury)</w:t>
      </w:r>
      <w:r/>
    </w:p>
    <w:p>
      <w:pPr>
        <w:pStyle w:val="962"/>
        <w:pBdr/>
        <w:spacing/>
        <w:ind/>
        <w:rPr/>
      </w:pPr>
      <w:r>
        <w:rPr>
          <w:b/>
          <w:bCs/>
        </w:rPr>
        <w:t xml:space="preserve">Definition:</w:t>
      </w:r>
      <w:r>
        <w:t xml:space="preserve"> Riba refers to any guaranteed return on money or goods lent, beyond the principal amount. It is absolutely prohibited in Islam.</w:t>
      </w:r>
      <w:r/>
    </w:p>
    <w:p>
      <w:pPr>
        <w:pStyle w:val="962"/>
        <w:pBdr/>
        <w:spacing/>
        <w:ind/>
        <w:rPr/>
      </w:pPr>
      <w:r>
        <w:rPr>
          <w:b/>
          <w:bCs/>
        </w:rPr>
        <w:t xml:space="preserve">Quranic Sources:</w:t>
      </w:r>
      <w:r/>
    </w:p>
    <w:p>
      <w:pPr>
        <w:pStyle w:val="992"/>
        <w:pBdr/>
        <w:spacing/>
        <w:ind/>
        <w:rPr/>
      </w:pPr>
      <w:r>
        <w:t xml:space="preserve">“Those who consume interest cannot stand [on the Day of Resurrection] except as one stands who is being beaten by Satan into insanity… Allah has permitted trade and has forbidden interest.”</w:t>
      </w:r>
      <w:r>
        <w:t xml:space="preserve"> </w:t>
      </w:r>
      <w:r>
        <w:rPr>
          <w:b/>
          <w:bCs/>
        </w:rPr>
        <w:t xml:space="preserve">Quran 2:275</w:t>
      </w:r>
      <w:r/>
    </w:p>
    <w:p>
      <w:pPr>
        <w:pStyle w:val="992"/>
        <w:pBdr/>
        <w:spacing/>
        <w:ind/>
        <w:rPr/>
      </w:pPr>
      <w:r>
        <w:t xml:space="preserve">“O you who believe! Fear Allah and give up what remains [due to you] of interest, if you should be believers. And if you do not, then be informed of a war [against you] from Allah and His Messenger.”</w:t>
      </w:r>
      <w:r>
        <w:t xml:space="preserve"> </w:t>
      </w:r>
      <w:r>
        <w:rPr>
          <w:b/>
          <w:bCs/>
        </w:rPr>
        <w:t xml:space="preserve">Quran 2:278-279</w:t>
      </w:r>
      <w:r/>
    </w:p>
    <w:p>
      <w:pPr>
        <w:pStyle w:val="992"/>
        <w:pBdr/>
        <w:spacing/>
        <w:ind/>
        <w:rPr/>
      </w:pPr>
      <w:r>
        <w:t xml:space="preserve">“O you who believe! Do not consume usury, doubled and multiplied, but fear Allah that you may be successful.”</w:t>
      </w:r>
      <w:r>
        <w:t xml:space="preserve"> </w:t>
      </w:r>
      <w:r>
        <w:rPr>
          <w:b/>
          <w:bCs/>
        </w:rPr>
        <w:t xml:space="preserve">Quran 3:130</w:t>
      </w:r>
      <w:r/>
    </w:p>
    <w:p>
      <w:pPr>
        <w:pStyle w:val="963"/>
        <w:pBdr/>
        <w:spacing/>
        <w:ind/>
        <w:rPr/>
      </w:pPr>
      <w:r>
        <w:rPr>
          <w:b/>
          <w:bCs/>
        </w:rPr>
        <w:t xml:space="preserve">Hadith Sources:</w:t>
      </w:r>
      <w:r/>
    </w:p>
    <w:p>
      <w:pPr>
        <w:pStyle w:val="992"/>
        <w:pBdr/>
        <w:spacing/>
        <w:ind/>
        <w:rPr/>
      </w:pPr>
      <w:r>
        <w:t xml:space="preserve">“Allah has cursed the one who consumes riba, the one who pays it, the one who writes it down, and the two witnesses to it, and said they are all the same.”</w:t>
      </w:r>
      <w:r>
        <w:t xml:space="preserve"> </w:t>
      </w:r>
      <w:r>
        <w:rPr>
          <w:b/>
          <w:bCs/>
        </w:rPr>
        <w:t xml:space="preserve">Sahih Muslim 1598</w:t>
      </w:r>
      <w:r/>
    </w:p>
    <w:p>
      <w:pPr>
        <w:pStyle w:val="963"/>
        <w:pBdr/>
        <w:spacing/>
        <w:ind/>
        <w:rPr/>
      </w:pPr>
      <w:r>
        <w:rPr>
          <w:b/>
          <w:bCs/>
        </w:rPr>
        <w:t xml:space="preserve">Scholarly Consensus:</w:t>
      </w:r>
      <w:r>
        <w:br/>
      </w:r>
      <w:r>
        <w:t xml:space="preserve">The prohibition of riba is one of the most strongly established rulings in Islam, with consensus among all schools of thought. Modern scholars have extensively analyzed how this applies to contemporary finance.</w:t>
      </w:r>
      <w:r/>
    </w:p>
    <w:p>
      <w:pPr>
        <w:pStyle w:val="962"/>
        <w:pBdr/>
        <w:spacing/>
        <w:ind/>
        <w:rPr/>
      </w:pPr>
      <w:r>
        <w:rPr>
          <w:b/>
          <w:bCs/>
        </w:rPr>
        <w:t xml:space="preserve">Application to Software:</w:t>
      </w:r>
      <w:r/>
    </w:p>
    <w:p>
      <w:pPr>
        <w:pStyle w:val="964"/>
        <w:numPr>
          <w:ilvl w:val="0"/>
          <w:numId w:val="267"/>
        </w:numPr>
        <w:pBdr/>
        <w:spacing/>
        <w:ind/>
        <w:rPr/>
      </w:pPr>
      <w:r>
        <w:t xml:space="preserve">Business funding should not come from interest-bearing loans</w:t>
      </w:r>
      <w:r/>
    </w:p>
    <w:p>
      <w:pPr>
        <w:pStyle w:val="964"/>
        <w:numPr>
          <w:ilvl w:val="0"/>
          <w:numId w:val="267"/>
        </w:numPr>
        <w:pBdr/>
        <w:spacing/>
        <w:ind/>
        <w:rPr/>
      </w:pPr>
      <w:r>
        <w:t xml:space="preserve">Investment structures should be equity-based (profit/loss sharing)</w:t>
      </w:r>
      <w:r/>
    </w:p>
    <w:p>
      <w:pPr>
        <w:pStyle w:val="964"/>
        <w:numPr>
          <w:ilvl w:val="0"/>
          <w:numId w:val="267"/>
        </w:numPr>
        <w:pBdr/>
        <w:spacing/>
        <w:ind/>
        <w:rPr/>
      </w:pPr>
      <w:r>
        <w:t xml:space="preserve">Payment processing should not involve interest</w:t>
      </w:r>
      <w:r/>
    </w:p>
    <w:p>
      <w:pPr>
        <w:pStyle w:val="964"/>
        <w:numPr>
          <w:ilvl w:val="0"/>
          <w:numId w:val="267"/>
        </w:numPr>
        <w:pBdr/>
        <w:spacing/>
        <w:ind/>
        <w:rPr/>
      </w:pPr>
      <w:r>
        <w:t xml:space="preserve">“Buy now, pay later”</w:t>
      </w:r>
      <w:r>
        <w:t xml:space="preserve"> </w:t>
      </w:r>
      <w:r>
        <w:t xml:space="preserve">features with interest charges are prohibited</w:t>
      </w:r>
      <w:r/>
    </w:p>
    <w:p>
      <w:pPr>
        <w:pStyle w:val="964"/>
        <w:numPr>
          <w:ilvl w:val="0"/>
          <w:numId w:val="267"/>
        </w:numPr>
        <w:pBdr/>
        <w:spacing/>
        <w:ind/>
        <w:rPr/>
      </w:pPr>
      <w:r>
        <w:t xml:space="preserve">Credit card interest revenue sharing is problematic</w:t>
      </w:r>
      <w:r/>
    </w:p>
    <w:p>
      <w:pPr>
        <w:pBdr/>
        <w:spacing/>
        <w:ind/>
        <w:rPr/>
      </w:pPr>
      <w:r>
        <mc:AlternateContent>
          <mc:Choice Requires="wpg">
            <w:drawing>
              <wp:inline xmlns:wp="http://schemas.openxmlformats.org/drawingml/2006/wordprocessingDrawing" distT="0" distB="0" distL="0" distR="0">
                <wp:extent cx="0" cy="19050"/>
                <wp:effectExtent l="0" t="0" r="0" b="0"/>
                <wp:docPr id="18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5" o:spid="_x0000_s185"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7. Prohibition of Gharar (Excessive Uncertainty)</w:t>
      </w:r>
      <w:r/>
    </w:p>
    <w:p>
      <w:pPr>
        <w:pStyle w:val="962"/>
        <w:pBdr/>
        <w:spacing/>
        <w:ind/>
        <w:rPr/>
      </w:pPr>
      <w:r>
        <w:rPr>
          <w:b/>
          <w:bCs/>
        </w:rPr>
        <w:t xml:space="preserve">Definition:</w:t>
      </w:r>
      <w:r>
        <w:t xml:space="preserve"> Gharar refers to excessive uncertainty or ambiguity in contracts that could lead to dispute or one party being harmed.</w:t>
      </w:r>
      <w:r/>
    </w:p>
    <w:p>
      <w:pPr>
        <w:pStyle w:val="962"/>
        <w:pBdr/>
        <w:spacing/>
        <w:ind/>
        <w:rPr/>
      </w:pPr>
      <w:r>
        <w:rPr>
          <w:b/>
          <w:bCs/>
        </w:rPr>
        <w:t xml:space="preserve">Hadith Sources:</w:t>
      </w:r>
      <w:r/>
    </w:p>
    <w:p>
      <w:pPr>
        <w:pStyle w:val="992"/>
        <w:pBdr/>
        <w:spacing/>
        <w:ind/>
        <w:rPr/>
      </w:pPr>
      <w:r>
        <w:t xml:space="preserve">“The Messenger of Allah (PBUH) forbade the sale of gharar.”</w:t>
      </w:r>
      <w:r>
        <w:t xml:space="preserve"> </w:t>
      </w:r>
      <w:r>
        <w:rPr>
          <w:b/>
          <w:bCs/>
        </w:rPr>
        <w:t xml:space="preserve">Sahih Muslim 1513</w:t>
      </w:r>
      <w:r/>
    </w:p>
    <w:p>
      <w:pPr>
        <w:pStyle w:val="992"/>
        <w:pBdr/>
        <w:spacing/>
        <w:ind/>
        <w:rPr/>
      </w:pPr>
      <w:r>
        <w:t xml:space="preserve">“The Prophet (PBUH) forbade the sale of what is not with you.”</w:t>
      </w:r>
      <w:r>
        <w:t xml:space="preserve"> </w:t>
      </w:r>
      <w:r>
        <w:rPr>
          <w:b/>
          <w:bCs/>
        </w:rPr>
        <w:t xml:space="preserve">Sunan al-Tirmidhi</w:t>
      </w:r>
      <w:r/>
    </w:p>
    <w:p>
      <w:pPr>
        <w:pStyle w:val="963"/>
        <w:pBdr/>
        <w:spacing/>
        <w:ind/>
        <w:rPr/>
      </w:pPr>
      <w:r>
        <w:rPr>
          <w:b/>
          <w:bCs/>
        </w:rPr>
        <w:t xml:space="preserve">Types of Gharar:</w:t>
      </w:r>
      <w:r/>
    </w:p>
    <w:p>
      <w:pPr>
        <w:pStyle w:val="964"/>
        <w:numPr>
          <w:ilvl w:val="0"/>
          <w:numId w:val="268"/>
        </w:numPr>
        <w:pBdr/>
        <w:spacing/>
        <w:ind/>
        <w:rPr/>
      </w:pPr>
      <w:r>
        <w:rPr>
          <w:b/>
          <w:bCs/>
        </w:rPr>
        <w:t xml:space="preserve">Gharar in existence:</w:t>
      </w:r>
      <w:r>
        <w:t xml:space="preserve"> Selling something that may not exist</w:t>
      </w:r>
      <w:r/>
    </w:p>
    <w:p>
      <w:pPr>
        <w:pStyle w:val="964"/>
        <w:numPr>
          <w:ilvl w:val="0"/>
          <w:numId w:val="268"/>
        </w:numPr>
        <w:pBdr/>
        <w:spacing/>
        <w:ind/>
        <w:rPr/>
      </w:pPr>
      <w:r>
        <w:rPr>
          <w:b/>
          <w:bCs/>
        </w:rPr>
        <w:t xml:space="preserve">Gharar in possession:</w:t>
      </w:r>
      <w:r>
        <w:t xml:space="preserve"> Selling what you don’t possess</w:t>
      </w:r>
      <w:r/>
    </w:p>
    <w:p>
      <w:pPr>
        <w:pStyle w:val="964"/>
        <w:numPr>
          <w:ilvl w:val="0"/>
          <w:numId w:val="268"/>
        </w:numPr>
        <w:pBdr/>
        <w:spacing/>
        <w:ind/>
        <w:rPr/>
      </w:pPr>
      <w:r>
        <w:rPr>
          <w:b/>
          <w:bCs/>
        </w:rPr>
        <w:t xml:space="preserve">Gharar in quantity:</w:t>
      </w:r>
      <w:r>
        <w:t xml:space="preserve"> Uncertainty about how much is being sold</w:t>
      </w:r>
      <w:r/>
    </w:p>
    <w:p>
      <w:pPr>
        <w:pStyle w:val="964"/>
        <w:numPr>
          <w:ilvl w:val="0"/>
          <w:numId w:val="268"/>
        </w:numPr>
        <w:pBdr/>
        <w:spacing/>
        <w:ind/>
        <w:rPr/>
      </w:pPr>
      <w:r>
        <w:rPr>
          <w:b/>
          <w:bCs/>
        </w:rPr>
        <w:t xml:space="preserve">Gharar in quality:</w:t>
      </w:r>
      <w:r>
        <w:t xml:space="preserve"> Uncertainty about the nature of what is sold</w:t>
      </w:r>
      <w:r/>
    </w:p>
    <w:p>
      <w:pPr>
        <w:pStyle w:val="964"/>
        <w:numPr>
          <w:ilvl w:val="0"/>
          <w:numId w:val="268"/>
        </w:numPr>
        <w:pBdr/>
        <w:spacing/>
        <w:ind/>
        <w:rPr/>
      </w:pPr>
      <w:r>
        <w:rPr>
          <w:b/>
          <w:bCs/>
        </w:rPr>
        <w:t xml:space="preserve">Gharar in price:</w:t>
      </w:r>
      <w:r>
        <w:t xml:space="preserve"> Unclear or changing pricing</w:t>
      </w:r>
      <w:r/>
    </w:p>
    <w:p>
      <w:pPr>
        <w:pStyle w:val="964"/>
        <w:numPr>
          <w:ilvl w:val="0"/>
          <w:numId w:val="268"/>
        </w:numPr>
        <w:pBdr/>
        <w:spacing/>
        <w:ind/>
        <w:rPr/>
      </w:pPr>
      <w:r>
        <w:rPr>
          <w:b/>
          <w:bCs/>
        </w:rPr>
        <w:t xml:space="preserve">Gharar in delivery:</w:t>
      </w:r>
      <w:r>
        <w:t xml:space="preserve"> Uncertainty about whether delivery will occur</w:t>
      </w:r>
      <w:r/>
    </w:p>
    <w:p>
      <w:pPr>
        <w:pStyle w:val="963"/>
        <w:pBdr/>
        <w:spacing/>
        <w:ind/>
        <w:rPr/>
      </w:pPr>
      <w:r>
        <w:rPr>
          <w:b/>
          <w:bCs/>
        </w:rPr>
        <w:t xml:space="preserve">Application to Software:</w:t>
      </w:r>
      <w:r/>
    </w:p>
    <w:p>
      <w:pPr>
        <w:pStyle w:val="964"/>
        <w:numPr>
          <w:ilvl w:val="0"/>
          <w:numId w:val="269"/>
        </w:numPr>
        <w:pBdr/>
        <w:spacing/>
        <w:ind/>
        <w:rPr/>
      </w:pPr>
      <w:r>
        <w:t xml:space="preserve">Pricing must be clear and unambiguous</w:t>
      </w:r>
      <w:r/>
    </w:p>
    <w:p>
      <w:pPr>
        <w:pStyle w:val="964"/>
        <w:numPr>
          <w:ilvl w:val="0"/>
          <w:numId w:val="269"/>
        </w:numPr>
        <w:pBdr/>
        <w:spacing/>
        <w:ind/>
        <w:rPr/>
      </w:pPr>
      <w:r>
        <w:t xml:space="preserve">Terms of service must be understandable</w:t>
      </w:r>
      <w:r/>
    </w:p>
    <w:p>
      <w:pPr>
        <w:pStyle w:val="964"/>
        <w:numPr>
          <w:ilvl w:val="0"/>
          <w:numId w:val="269"/>
        </w:numPr>
        <w:pBdr/>
        <w:spacing/>
        <w:ind/>
        <w:rPr/>
      </w:pPr>
      <w:r>
        <w:t xml:space="preserve">“Coming soon”</w:t>
      </w:r>
      <w:r>
        <w:t xml:space="preserve"> </w:t>
      </w:r>
      <w:r>
        <w:t xml:space="preserve">features should not be sold</w:t>
      </w:r>
      <w:r/>
    </w:p>
    <w:p>
      <w:pPr>
        <w:pStyle w:val="964"/>
        <w:numPr>
          <w:ilvl w:val="0"/>
          <w:numId w:val="269"/>
        </w:numPr>
        <w:pBdr/>
        <w:spacing/>
        <w:ind/>
        <w:rPr/>
      </w:pPr>
      <w:r>
        <w:t xml:space="preserve">Subscription terms must be explicit</w:t>
      </w:r>
      <w:r/>
    </w:p>
    <w:p>
      <w:pPr>
        <w:pStyle w:val="964"/>
        <w:numPr>
          <w:ilvl w:val="0"/>
          <w:numId w:val="269"/>
        </w:numPr>
        <w:pBdr/>
        <w:spacing/>
        <w:ind/>
        <w:rPr/>
      </w:pPr>
      <w:r>
        <w:t xml:space="preserve">Data usage policies must be clear</w:t>
      </w:r>
      <w:r/>
    </w:p>
    <w:p>
      <w:pPr>
        <w:pStyle w:val="964"/>
        <w:numPr>
          <w:ilvl w:val="0"/>
          <w:numId w:val="269"/>
        </w:numPr>
        <w:pBdr/>
        <w:spacing/>
        <w:ind/>
        <w:rPr/>
      </w:pPr>
      <w:r>
        <w:t xml:space="preserve">Refund policies must be transparent</w:t>
      </w:r>
      <w:r/>
    </w:p>
    <w:p>
      <w:pPr>
        <w:pBdr/>
        <w:spacing/>
        <w:ind/>
        <w:rPr/>
      </w:pPr>
      <w:r>
        <mc:AlternateContent>
          <mc:Choice Requires="wpg">
            <w:drawing>
              <wp:inline xmlns:wp="http://schemas.openxmlformats.org/drawingml/2006/wordprocessingDrawing" distT="0" distB="0" distL="0" distR="0">
                <wp:extent cx="0" cy="19050"/>
                <wp:effectExtent l="0" t="0" r="0" b="0"/>
                <wp:docPr id="18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6" o:spid="_x0000_s186"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8. Prohibition of Ghish (Cheating/Fraud)</w:t>
      </w:r>
      <w:r/>
    </w:p>
    <w:p>
      <w:pPr>
        <w:pStyle w:val="962"/>
        <w:pBdr/>
        <w:spacing/>
        <w:ind/>
        <w:rPr/>
      </w:pPr>
      <w:r>
        <w:rPr>
          <w:b/>
          <w:bCs/>
        </w:rPr>
        <w:t xml:space="preserve">Definition:</w:t>
      </w:r>
      <w:r>
        <w:t xml:space="preserve"> Ghish encompasses all forms of cheating, fraud, and deception in commerce and other dealings.</w:t>
      </w:r>
      <w:r/>
    </w:p>
    <w:p>
      <w:pPr>
        <w:pStyle w:val="962"/>
        <w:pBdr/>
        <w:spacing/>
        <w:ind/>
        <w:rPr/>
      </w:pPr>
      <w:r>
        <w:rPr>
          <w:b/>
          <w:bCs/>
        </w:rPr>
        <w:t xml:space="preserve">Hadith Sources:</w:t>
      </w:r>
      <w:r/>
    </w:p>
    <w:p>
      <w:pPr>
        <w:pStyle w:val="992"/>
        <w:pBdr/>
        <w:spacing/>
        <w:ind/>
        <w:rPr/>
      </w:pPr>
      <w:r>
        <w:t xml:space="preserve">“Whoever cheats us is not one of us.”</w:t>
      </w:r>
      <w:r>
        <w:t xml:space="preserve"> </w:t>
      </w:r>
      <w:r>
        <w:rPr>
          <w:b/>
          <w:bCs/>
        </w:rPr>
        <w:t xml:space="preserve">Sahih Muslim 102</w:t>
      </w:r>
      <w:r/>
    </w:p>
    <w:p>
      <w:pPr>
        <w:pStyle w:val="992"/>
        <w:pBdr/>
        <w:spacing/>
        <w:ind/>
        <w:rPr/>
      </w:pPr>
      <w:r>
        <w:t xml:space="preserve">The Prophet (PBUH) passed by a pile of food in the market. He put his hand inside it and found it was wet. He said,</w:t>
      </w:r>
      <w:r>
        <w:t xml:space="preserve"> </w:t>
      </w:r>
      <w:r>
        <w:t xml:space="preserve">“What is this, O seller of the food?”</w:t>
      </w:r>
      <w:r>
        <w:t xml:space="preserve"> </w:t>
      </w:r>
      <w:r>
        <w:t xml:space="preserve">The man said,</w:t>
      </w:r>
      <w:r>
        <w:t xml:space="preserve"> </w:t>
      </w:r>
      <w:r>
        <w:t xml:space="preserve">“It got rained on, O Messenger of Allah.”</w:t>
      </w:r>
      <w:r>
        <w:t xml:space="preserve"> </w:t>
      </w:r>
      <w:r>
        <w:t xml:space="preserve">He said,</w:t>
      </w:r>
      <w:r>
        <w:t xml:space="preserve"> </w:t>
      </w:r>
      <w:r>
        <w:t xml:space="preserve">“Why did you not put it on top of the pile so that people could see it? Whoever cheats is not one of us.”</w:t>
      </w:r>
      <w:r>
        <w:t xml:space="preserve"> </w:t>
      </w:r>
      <w:r>
        <w:rPr>
          <w:b/>
          <w:bCs/>
        </w:rPr>
        <w:t xml:space="preserve">Sahih Muslim 102</w:t>
      </w:r>
      <w:r/>
    </w:p>
    <w:p>
      <w:pPr>
        <w:pStyle w:val="963"/>
        <w:pBdr/>
        <w:spacing/>
        <w:ind/>
        <w:rPr/>
      </w:pPr>
      <w:r>
        <w:rPr>
          <w:b/>
          <w:bCs/>
        </w:rPr>
        <w:t xml:space="preserve">Forms of Ghish Relevant to Software:</w:t>
      </w:r>
      <w:r/>
    </w:p>
    <w:p>
      <w:pPr>
        <w:pStyle w:val="964"/>
        <w:numPr>
          <w:ilvl w:val="0"/>
          <w:numId w:val="270"/>
        </w:numPr>
        <w:pBdr/>
        <w:spacing/>
        <w:ind/>
        <w:rPr/>
      </w:pPr>
      <w:r>
        <w:rPr>
          <w:b/>
          <w:bCs/>
        </w:rPr>
        <w:t xml:space="preserve">Najsh:</w:t>
      </w:r>
      <w:r>
        <w:t xml:space="preserve"> Fake bidding/reviews to drive up perceived value</w:t>
      </w:r>
      <w:r/>
    </w:p>
    <w:p>
      <w:pPr>
        <w:pStyle w:val="964"/>
        <w:numPr>
          <w:ilvl w:val="0"/>
          <w:numId w:val="270"/>
        </w:numPr>
        <w:pBdr/>
        <w:spacing/>
        <w:ind/>
        <w:rPr/>
      </w:pPr>
      <w:r>
        <w:rPr>
          <w:b/>
          <w:bCs/>
        </w:rPr>
        <w:t xml:space="preserve">Tadlis:</w:t>
      </w:r>
      <w:r>
        <w:t xml:space="preserve"> Concealing defects in what is sold</w:t>
      </w:r>
      <w:r/>
    </w:p>
    <w:p>
      <w:pPr>
        <w:pStyle w:val="964"/>
        <w:numPr>
          <w:ilvl w:val="0"/>
          <w:numId w:val="270"/>
        </w:numPr>
        <w:pBdr/>
        <w:spacing/>
        <w:ind/>
        <w:rPr/>
      </w:pPr>
      <w:r>
        <w:rPr>
          <w:b/>
          <w:bCs/>
        </w:rPr>
        <w:t xml:space="preserve">Ghaban Fahish:</w:t>
      </w:r>
      <w:r>
        <w:t xml:space="preserve"> Extreme exploitation of customer ignorance</w:t>
      </w:r>
      <w:r/>
    </w:p>
    <w:p>
      <w:pPr>
        <w:pStyle w:val="964"/>
        <w:numPr>
          <w:ilvl w:val="0"/>
          <w:numId w:val="270"/>
        </w:numPr>
        <w:pBdr/>
        <w:spacing/>
        <w:ind/>
        <w:rPr/>
      </w:pPr>
      <w:r>
        <w:rPr>
          <w:b/>
          <w:bCs/>
        </w:rPr>
        <w:t xml:space="preserve">Talaqqi al-Rukban:</w:t>
      </w:r>
      <w:r>
        <w:t xml:space="preserve"> Intercepting before they can get fair market information</w:t>
      </w:r>
      <w:r/>
    </w:p>
    <w:p>
      <w:pPr>
        <w:pStyle w:val="963"/>
        <w:pBdr/>
        <w:spacing/>
        <w:ind/>
        <w:rPr/>
      </w:pPr>
      <w:r>
        <w:rPr>
          <w:b/>
          <w:bCs/>
        </w:rPr>
        <w:t xml:space="preserve">Application to Software:</w:t>
      </w:r>
      <w:r/>
    </w:p>
    <w:p>
      <w:pPr>
        <w:pStyle w:val="964"/>
        <w:numPr>
          <w:ilvl w:val="0"/>
          <w:numId w:val="271"/>
        </w:numPr>
        <w:pBdr/>
        <w:spacing/>
        <w:ind/>
        <w:rPr/>
      </w:pPr>
      <w:r>
        <w:t xml:space="preserve">No fake reviews or testimonials</w:t>
      </w:r>
      <w:r/>
    </w:p>
    <w:p>
      <w:pPr>
        <w:pStyle w:val="964"/>
        <w:numPr>
          <w:ilvl w:val="0"/>
          <w:numId w:val="271"/>
        </w:numPr>
        <w:pBdr/>
        <w:spacing/>
        <w:ind/>
        <w:rPr/>
      </w:pPr>
      <w:r>
        <w:t xml:space="preserve">No concealing bugs or security issues</w:t>
      </w:r>
      <w:r/>
    </w:p>
    <w:p>
      <w:pPr>
        <w:pStyle w:val="964"/>
        <w:numPr>
          <w:ilvl w:val="0"/>
          <w:numId w:val="271"/>
        </w:numPr>
        <w:pBdr/>
        <w:spacing/>
        <w:ind/>
        <w:rPr/>
      </w:pPr>
      <w:r>
        <w:t xml:space="preserve">No exploiting user ignorance for excessive pricing</w:t>
      </w:r>
      <w:r/>
    </w:p>
    <w:p>
      <w:pPr>
        <w:pStyle w:val="964"/>
        <w:numPr>
          <w:ilvl w:val="0"/>
          <w:numId w:val="271"/>
        </w:numPr>
        <w:pBdr/>
        <w:spacing/>
        <w:ind/>
        <w:rPr/>
      </w:pPr>
      <w:r>
        <w:t xml:space="preserve">No dark patterns to manipulate user decisions</w:t>
      </w:r>
      <w:r/>
    </w:p>
    <w:p>
      <w:pPr>
        <w:pStyle w:val="964"/>
        <w:numPr>
          <w:ilvl w:val="0"/>
          <w:numId w:val="271"/>
        </w:numPr>
        <w:pBdr/>
        <w:spacing/>
        <w:ind/>
        <w:rPr/>
      </w:pPr>
      <w:r>
        <w:t xml:space="preserve">No bait-and-switch tactics</w:t>
      </w:r>
      <w:r/>
    </w:p>
    <w:p>
      <w:pPr>
        <w:pStyle w:val="964"/>
        <w:numPr>
          <w:ilvl w:val="0"/>
          <w:numId w:val="271"/>
        </w:numPr>
        <w:pBdr/>
        <w:spacing/>
        <w:ind/>
        <w:rPr/>
      </w:pPr>
      <w:r>
        <w:t xml:space="preserve">Full disclosure of product limitations</w:t>
      </w:r>
      <w:r/>
    </w:p>
    <w:p>
      <w:pPr>
        <w:pBdr/>
        <w:spacing/>
        <w:ind/>
        <w:rPr/>
      </w:pPr>
      <w:r>
        <mc:AlternateContent>
          <mc:Choice Requires="wpg">
            <w:drawing>
              <wp:inline xmlns:wp="http://schemas.openxmlformats.org/drawingml/2006/wordprocessingDrawing" distT="0" distB="0" distL="0" distR="0">
                <wp:extent cx="0" cy="19050"/>
                <wp:effectExtent l="0" t="0" r="0" b="0"/>
                <wp:docPr id="18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7" o:spid="_x0000_s187"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9. Fulfilling Contracts and Promises (Wafa bil-’Ahd)</w:t>
      </w:r>
      <w:r/>
    </w:p>
    <w:p>
      <w:pPr>
        <w:pStyle w:val="962"/>
        <w:pBdr/>
        <w:spacing/>
        <w:ind/>
        <w:rPr/>
      </w:pPr>
      <w:r>
        <w:rPr>
          <w:b/>
          <w:bCs/>
        </w:rPr>
        <w:t xml:space="preserve">Definition:</w:t>
      </w:r>
      <w:r>
        <w:t xml:space="preserve"> Muslims are obligated to fulfill their contracts, promises, and agreements. Breaking promises is considered among the signs of hypocrisy.</w:t>
      </w:r>
      <w:r/>
    </w:p>
    <w:p>
      <w:pPr>
        <w:pStyle w:val="962"/>
        <w:pBdr/>
        <w:spacing/>
        <w:ind/>
        <w:rPr/>
      </w:pPr>
      <w:r>
        <w:rPr>
          <w:b/>
          <w:bCs/>
        </w:rPr>
        <w:t xml:space="preserve">Quranic Sources:</w:t>
      </w:r>
      <w:r/>
    </w:p>
    <w:p>
      <w:pPr>
        <w:pStyle w:val="992"/>
        <w:pBdr/>
        <w:spacing/>
        <w:ind/>
        <w:rPr/>
      </w:pPr>
      <w:r>
        <w:t xml:space="preserve">“O you who believe! Fulfill [all] obligations.”</w:t>
      </w:r>
      <w:r>
        <w:t xml:space="preserve"> </w:t>
      </w:r>
      <w:r>
        <w:rPr>
          <w:b/>
          <w:bCs/>
        </w:rPr>
        <w:t xml:space="preserve">Quran 5:1</w:t>
      </w:r>
      <w:r/>
    </w:p>
    <w:p>
      <w:pPr>
        <w:pStyle w:val="992"/>
        <w:pBdr/>
        <w:spacing/>
        <w:ind/>
        <w:rPr/>
      </w:pPr>
      <w:r>
        <w:t xml:space="preserve">“And fulfill the covenant of Allah when you have taken it, and do not break oaths after their confirmation while you have made Allah, over you, a witness.”</w:t>
      </w:r>
      <w:r>
        <w:t xml:space="preserve"> </w:t>
      </w:r>
      <w:r>
        <w:rPr>
          <w:b/>
          <w:bCs/>
        </w:rPr>
        <w:t xml:space="preserve">Quran 16:91</w:t>
      </w:r>
      <w:r/>
    </w:p>
    <w:p>
      <w:pPr>
        <w:pStyle w:val="992"/>
        <w:pBdr/>
        <w:spacing/>
        <w:ind/>
        <w:rPr/>
      </w:pPr>
      <w:r>
        <w:t xml:space="preserve">“And fulfill [every] commitment. Indeed, the commitment is ever [that about which one will be] questioned.”</w:t>
      </w:r>
      <w:r>
        <w:t xml:space="preserve"> </w:t>
      </w:r>
      <w:r>
        <w:rPr>
          <w:b/>
          <w:bCs/>
        </w:rPr>
        <w:t xml:space="preserve">Quran 17:34</w:t>
      </w:r>
      <w:r/>
    </w:p>
    <w:p>
      <w:pPr>
        <w:pStyle w:val="963"/>
        <w:pBdr/>
        <w:spacing/>
        <w:ind/>
        <w:rPr/>
      </w:pPr>
      <w:r>
        <w:rPr>
          <w:b/>
          <w:bCs/>
        </w:rPr>
        <w:t xml:space="preserve">Hadith Sources:</w:t>
      </w:r>
      <w:r/>
    </w:p>
    <w:p>
      <w:pPr>
        <w:pStyle w:val="992"/>
        <w:pBdr/>
        <w:spacing/>
        <w:ind/>
        <w:rPr/>
      </w:pPr>
      <w:r>
        <w:t xml:space="preserve">“The signs of a hypocrite are three: when he speaks he lies, when he makes a promise he breaks it, and when he is entrusted with something he betrays that trust.”</w:t>
      </w:r>
      <w:r>
        <w:t xml:space="preserve"> </w:t>
      </w:r>
      <w:r>
        <w:rPr>
          <w:b/>
          <w:bCs/>
        </w:rPr>
        <w:t xml:space="preserve">Sahih al-Bukhari 33</w:t>
      </w:r>
      <w:r/>
    </w:p>
    <w:p>
      <w:pPr>
        <w:pStyle w:val="992"/>
        <w:pBdr/>
        <w:spacing/>
        <w:ind/>
        <w:rPr/>
      </w:pPr>
      <w:r>
        <w:t xml:space="preserve">“Muslims are bound by their conditions, except a condition that makes the lawful unlawful, or the unlawful lawful.”</w:t>
      </w:r>
      <w:r>
        <w:t xml:space="preserve"> </w:t>
      </w:r>
      <w:r>
        <w:rPr>
          <w:b/>
          <w:bCs/>
        </w:rPr>
        <w:t xml:space="preserve">Jami` at-Tirmidhi 1352</w:t>
      </w:r>
      <w:r/>
    </w:p>
    <w:p>
      <w:pPr>
        <w:pStyle w:val="963"/>
        <w:pBdr/>
        <w:spacing/>
        <w:ind/>
        <w:rPr/>
      </w:pPr>
      <w:r>
        <w:rPr>
          <w:b/>
          <w:bCs/>
        </w:rPr>
        <w:t xml:space="preserve">Application to Software:</w:t>
      </w:r>
      <w:r/>
    </w:p>
    <w:p>
      <w:pPr>
        <w:pStyle w:val="964"/>
        <w:numPr>
          <w:ilvl w:val="0"/>
          <w:numId w:val="272"/>
        </w:numPr>
        <w:pBdr/>
        <w:spacing/>
        <w:ind/>
        <w:rPr/>
      </w:pPr>
      <w:r>
        <w:t xml:space="preserve">Terms of service are binding on both parties</w:t>
      </w:r>
      <w:r/>
    </w:p>
    <w:p>
      <w:pPr>
        <w:pStyle w:val="964"/>
        <w:numPr>
          <w:ilvl w:val="0"/>
          <w:numId w:val="272"/>
        </w:numPr>
        <w:pBdr/>
        <w:spacing/>
        <w:ind/>
        <w:rPr/>
      </w:pPr>
      <w:r>
        <w:t xml:space="preserve">Lifetime deals must be honored</w:t>
      </w:r>
      <w:r/>
    </w:p>
    <w:p>
      <w:pPr>
        <w:pStyle w:val="964"/>
        <w:numPr>
          <w:ilvl w:val="0"/>
          <w:numId w:val="272"/>
        </w:numPr>
        <w:pBdr/>
        <w:spacing/>
        <w:ind/>
        <w:rPr/>
      </w:pPr>
      <w:r>
        <w:t xml:space="preserve">Feature promises must be kept</w:t>
      </w:r>
      <w:r/>
    </w:p>
    <w:p>
      <w:pPr>
        <w:pStyle w:val="964"/>
        <w:numPr>
          <w:ilvl w:val="0"/>
          <w:numId w:val="272"/>
        </w:numPr>
        <w:pBdr/>
        <w:spacing/>
        <w:ind/>
        <w:rPr/>
      </w:pPr>
      <w:r>
        <w:t xml:space="preserve">Privacy commitments must be maintained</w:t>
      </w:r>
      <w:r/>
    </w:p>
    <w:p>
      <w:pPr>
        <w:pStyle w:val="964"/>
        <w:numPr>
          <w:ilvl w:val="0"/>
          <w:numId w:val="272"/>
        </w:numPr>
        <w:pBdr/>
        <w:spacing/>
        <w:ind/>
        <w:rPr/>
      </w:pPr>
      <w:r>
        <w:t xml:space="preserve">Service level agreements are sacred</w:t>
      </w:r>
      <w:r/>
    </w:p>
    <w:p>
      <w:pPr>
        <w:pStyle w:val="964"/>
        <w:numPr>
          <w:ilvl w:val="0"/>
          <w:numId w:val="272"/>
        </w:numPr>
        <w:pBdr/>
        <w:spacing/>
        <w:ind/>
        <w:rPr/>
      </w:pPr>
      <w:r>
        <w:t xml:space="preserve">Grandfather clauses should be respected when changing terms</w:t>
      </w:r>
      <w:r/>
    </w:p>
    <w:p>
      <w:pPr>
        <w:pBdr/>
        <w:spacing/>
        <w:ind/>
        <w:rPr/>
      </w:pPr>
      <w:r>
        <mc:AlternateContent>
          <mc:Choice Requires="wpg">
            <w:drawing>
              <wp:inline xmlns:wp="http://schemas.openxmlformats.org/drawingml/2006/wordprocessingDrawing" distT="0" distB="0" distL="0" distR="0">
                <wp:extent cx="0" cy="19050"/>
                <wp:effectExtent l="0" t="0" r="0" b="0"/>
                <wp:docPr id="18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8" o:spid="_x0000_s188"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10. Ihsan (Excellence and Benevolence)</w:t>
      </w:r>
      <w:r/>
    </w:p>
    <w:p>
      <w:pPr>
        <w:pStyle w:val="962"/>
        <w:pBdr/>
        <w:spacing/>
        <w:ind/>
        <w:rPr/>
      </w:pPr>
      <w:r>
        <w:rPr>
          <w:b/>
          <w:bCs/>
        </w:rPr>
        <w:t xml:space="preserve">Definition:</w:t>
      </w:r>
      <w:r>
        <w:t xml:space="preserve"> Ihsan means doing things with excellence and going beyond the minimum requirements. It involves treating others better than they might deserve.</w:t>
      </w:r>
      <w:r/>
    </w:p>
    <w:p>
      <w:pPr>
        <w:pStyle w:val="962"/>
        <w:pBdr/>
        <w:spacing/>
        <w:ind/>
        <w:rPr/>
      </w:pPr>
      <w:r>
        <w:rPr>
          <w:b/>
          <w:bCs/>
        </w:rPr>
        <w:t xml:space="preserve">Quranic Source:</w:t>
      </w:r>
      <w:r/>
    </w:p>
    <w:p>
      <w:pPr>
        <w:pStyle w:val="992"/>
        <w:pBdr/>
        <w:spacing/>
        <w:ind/>
        <w:rPr/>
      </w:pPr>
      <w:r>
        <w:t xml:space="preserve">“Indeed, Allah orders justice and Ihsan.”</w:t>
      </w:r>
      <w:r>
        <w:t xml:space="preserve"> </w:t>
      </w:r>
      <w:r>
        <w:rPr>
          <w:b/>
          <w:bCs/>
        </w:rPr>
        <w:t xml:space="preserve">Quran 16:90</w:t>
      </w:r>
      <w:r/>
    </w:p>
    <w:p>
      <w:pPr>
        <w:pStyle w:val="963"/>
        <w:pBdr/>
        <w:spacing/>
        <w:ind/>
        <w:rPr/>
      </w:pPr>
      <w:r>
        <w:rPr>
          <w:b/>
          <w:bCs/>
        </w:rPr>
        <w:t xml:space="preserve">Hadith Source:</w:t>
      </w:r>
      <w:r/>
    </w:p>
    <w:p>
      <w:pPr>
        <w:pStyle w:val="992"/>
        <w:pBdr/>
        <w:spacing/>
        <w:ind/>
        <w:rPr/>
      </w:pPr>
      <w:r>
        <w:t xml:space="preserve">“[Ihsan is] to worship Allah as if you see Him, and if you cannot see Him, then indeed He sees you.”</w:t>
      </w:r>
      <w:r>
        <w:t xml:space="preserve"> </w:t>
      </w:r>
      <w:r>
        <w:rPr>
          <w:b/>
          <w:bCs/>
        </w:rPr>
        <w:t xml:space="preserve">Sahih al-Bukhari 50</w:t>
      </w:r>
      <w:r>
        <w:t xml:space="preserve"> (Part of Hadith Jibril)</w:t>
      </w:r>
      <w:r/>
    </w:p>
    <w:p>
      <w:pPr>
        <w:pStyle w:val="992"/>
        <w:pBdr/>
        <w:spacing/>
        <w:ind/>
        <w:rPr/>
      </w:pPr>
      <w:r>
        <w:t xml:space="preserve">“Verily, Allah has prescribed Ihsan in all things. So if you kill, kill well; and if you slaughter, slaughter well. Let each one of you sharpen his blade and spare suffering to the animal he slaughters.”</w:t>
      </w:r>
      <w:r>
        <w:t xml:space="preserve"> </w:t>
      </w:r>
      <w:r>
        <w:rPr>
          <w:b/>
          <w:bCs/>
        </w:rPr>
        <w:t xml:space="preserve">Sahih Muslim 1955</w:t>
      </w:r>
      <w:r/>
    </w:p>
    <w:p>
      <w:pPr>
        <w:pStyle w:val="963"/>
        <w:pBdr/>
        <w:spacing/>
        <w:ind/>
        <w:rPr/>
      </w:pPr>
      <w:r>
        <w:rPr>
          <w:b/>
          <w:bCs/>
        </w:rPr>
        <w:t xml:space="preserve">Application to Software:</w:t>
      </w:r>
      <w:r/>
    </w:p>
    <w:p>
      <w:pPr>
        <w:pStyle w:val="964"/>
        <w:numPr>
          <w:ilvl w:val="0"/>
          <w:numId w:val="273"/>
        </w:numPr>
        <w:pBdr/>
        <w:spacing/>
        <w:ind/>
        <w:rPr/>
      </w:pPr>
      <w:r>
        <w:t xml:space="preserve">Exceed user expectations when possible</w:t>
      </w:r>
      <w:r/>
    </w:p>
    <w:p>
      <w:pPr>
        <w:pStyle w:val="964"/>
        <w:numPr>
          <w:ilvl w:val="0"/>
          <w:numId w:val="273"/>
        </w:numPr>
        <w:pBdr/>
        <w:spacing/>
        <w:ind/>
        <w:rPr/>
      </w:pPr>
      <w:r>
        <w:t xml:space="preserve">Provide excellent customer service</w:t>
      </w:r>
      <w:r/>
    </w:p>
    <w:p>
      <w:pPr>
        <w:pStyle w:val="964"/>
        <w:numPr>
          <w:ilvl w:val="0"/>
          <w:numId w:val="273"/>
        </w:numPr>
        <w:pBdr/>
        <w:spacing/>
        <w:ind/>
        <w:rPr/>
      </w:pPr>
      <w:r>
        <w:t xml:space="preserve">Go beyond minimum security requirements</w:t>
      </w:r>
      <w:r/>
    </w:p>
    <w:p>
      <w:pPr>
        <w:pStyle w:val="964"/>
        <w:numPr>
          <w:ilvl w:val="0"/>
          <w:numId w:val="273"/>
        </w:numPr>
        <w:pBdr/>
        <w:spacing/>
        <w:ind/>
        <w:rPr/>
      </w:pPr>
      <w:r>
        <w:t xml:space="preserve">Design with care and attention</w:t>
      </w:r>
      <w:r/>
    </w:p>
    <w:p>
      <w:pPr>
        <w:pStyle w:val="964"/>
        <w:numPr>
          <w:ilvl w:val="0"/>
          <w:numId w:val="273"/>
        </w:numPr>
        <w:pBdr/>
        <w:spacing/>
        <w:ind/>
        <w:rPr/>
      </w:pPr>
      <w:r>
        <w:t xml:space="preserve">Treat users better than strictly required</w:t>
      </w:r>
      <w:r/>
    </w:p>
    <w:p>
      <w:pPr>
        <w:pStyle w:val="964"/>
        <w:numPr>
          <w:ilvl w:val="0"/>
          <w:numId w:val="273"/>
        </w:numPr>
        <w:pBdr/>
        <w:spacing/>
        <w:ind/>
        <w:rPr/>
      </w:pPr>
      <w:r>
        <w:t xml:space="preserve">Maintain software beyond contractual obligations</w:t>
      </w:r>
      <w:r/>
    </w:p>
    <w:p>
      <w:pPr>
        <w:pBdr/>
        <w:spacing/>
        <w:ind/>
        <w:rPr/>
      </w:pPr>
      <w:r>
        <mc:AlternateContent>
          <mc:Choice Requires="wpg">
            <w:drawing>
              <wp:inline xmlns:wp="http://schemas.openxmlformats.org/drawingml/2006/wordprocessingDrawing" distT="0" distB="0" distL="0" distR="0">
                <wp:extent cx="0" cy="19050"/>
                <wp:effectExtent l="0" t="0" r="0" b="0"/>
                <wp:docPr id="19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89" o:spid="_x0000_s189"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11. Haya (Modesty) and Content Standards</w:t>
      </w:r>
      <w:r/>
    </w:p>
    <w:p>
      <w:pPr>
        <w:pStyle w:val="962"/>
        <w:pBdr/>
        <w:spacing/>
        <w:ind/>
        <w:rPr/>
      </w:pPr>
      <w:r>
        <w:rPr>
          <w:b/>
          <w:bCs/>
        </w:rPr>
        <w:t xml:space="preserve">Definition:</w:t>
      </w:r>
      <w:r>
        <w:t xml:space="preserve"> Haya encompasses modesty, shyness, and decency. It affects both personal behavior and what content is permissible to create or distribute.</w:t>
      </w:r>
      <w:r/>
    </w:p>
    <w:p>
      <w:pPr>
        <w:pStyle w:val="962"/>
        <w:pBdr/>
        <w:spacing/>
        <w:ind/>
        <w:rPr/>
      </w:pPr>
      <w:r>
        <w:rPr>
          <w:b/>
          <w:bCs/>
        </w:rPr>
        <w:t xml:space="preserve">Hadith Sources:</w:t>
      </w:r>
      <w:r/>
    </w:p>
    <w:p>
      <w:pPr>
        <w:pStyle w:val="992"/>
        <w:pBdr/>
        <w:spacing/>
        <w:ind/>
        <w:rPr/>
      </w:pPr>
      <w:r>
        <w:t xml:space="preserve">“Haya (modesty) is a branch of faith.”</w:t>
      </w:r>
      <w:r>
        <w:t xml:space="preserve"> </w:t>
      </w:r>
      <w:r>
        <w:rPr>
          <w:b/>
          <w:bCs/>
        </w:rPr>
        <w:t xml:space="preserve">Sahih al-Bukhari 9, Sahih Muslim 35</w:t>
      </w:r>
      <w:r/>
    </w:p>
    <w:p>
      <w:pPr>
        <w:pStyle w:val="992"/>
        <w:pBdr/>
        <w:spacing/>
        <w:ind/>
        <w:rPr/>
      </w:pPr>
      <w:r>
        <w:t xml:space="preserve">“Haya does not bring anything except good.”</w:t>
      </w:r>
      <w:r>
        <w:t xml:space="preserve"> </w:t>
      </w:r>
      <w:r>
        <w:rPr>
          <w:b/>
          <w:bCs/>
        </w:rPr>
        <w:t xml:space="preserve">Sahih al-Bukhari 6117, Sahih Muslim 37</w:t>
      </w:r>
      <w:r/>
    </w:p>
    <w:p>
      <w:pPr>
        <w:pStyle w:val="992"/>
        <w:pBdr/>
        <w:spacing/>
        <w:ind/>
        <w:rPr/>
      </w:pPr>
      <w:r>
        <w:t xml:space="preserve">“Every religion has a distinctive characteristic, and the distinctive characteristic of Islam is Haya.”</w:t>
      </w:r>
      <w:r>
        <w:t xml:space="preserve"> </w:t>
      </w:r>
      <w:r>
        <w:rPr>
          <w:b/>
          <w:bCs/>
        </w:rPr>
        <w:t xml:space="preserve">Sunan Ibn Majah 4182</w:t>
      </w:r>
      <w:r/>
    </w:p>
    <w:p>
      <w:pPr>
        <w:pStyle w:val="963"/>
        <w:pBdr/>
        <w:spacing/>
        <w:ind/>
        <w:rPr/>
      </w:pPr>
      <w:r>
        <w:rPr>
          <w:b/>
          <w:bCs/>
        </w:rPr>
        <w:t xml:space="preserve">Application to Software:</w:t>
      </w:r>
      <w:r/>
    </w:p>
    <w:p>
      <w:pPr>
        <w:pStyle w:val="964"/>
        <w:numPr>
          <w:ilvl w:val="0"/>
          <w:numId w:val="274"/>
        </w:numPr>
        <w:pBdr/>
        <w:spacing/>
        <w:ind/>
        <w:rPr/>
      </w:pPr>
      <w:r>
        <w:t xml:space="preserve">No adult or indecent content</w:t>
      </w:r>
      <w:r/>
    </w:p>
    <w:p>
      <w:pPr>
        <w:pStyle w:val="964"/>
        <w:numPr>
          <w:ilvl w:val="0"/>
          <w:numId w:val="274"/>
        </w:numPr>
        <w:pBdr/>
        <w:spacing/>
        <w:ind/>
        <w:rPr/>
      </w:pPr>
      <w:r>
        <w:t xml:space="preserve">Modest imagery in marketing and UI</w:t>
      </w:r>
      <w:r/>
    </w:p>
    <w:p>
      <w:pPr>
        <w:pStyle w:val="964"/>
        <w:numPr>
          <w:ilvl w:val="0"/>
          <w:numId w:val="274"/>
        </w:numPr>
        <w:pBdr/>
        <w:spacing/>
        <w:ind/>
        <w:rPr/>
      </w:pPr>
      <w:r>
        <w:t xml:space="preserve">Content moderation aligned with Islamic standards</w:t>
      </w:r>
      <w:r/>
    </w:p>
    <w:p>
      <w:pPr>
        <w:pStyle w:val="964"/>
        <w:numPr>
          <w:ilvl w:val="0"/>
          <w:numId w:val="274"/>
        </w:numPr>
        <w:pBdr/>
        <w:spacing/>
        <w:ind/>
        <w:rPr/>
      </w:pPr>
      <w:r>
        <w:t xml:space="preserve">No exploitation of sexual imagery for marketing</w:t>
      </w:r>
      <w:r/>
    </w:p>
    <w:p>
      <w:pPr>
        <w:pStyle w:val="964"/>
        <w:numPr>
          <w:ilvl w:val="0"/>
          <w:numId w:val="274"/>
        </w:numPr>
        <w:pBdr/>
        <w:spacing/>
        <w:ind/>
        <w:rPr/>
      </w:pPr>
      <w:r>
        <w:t xml:space="preserve">AI systems should not generate immodest content</w:t>
      </w:r>
      <w:r/>
    </w:p>
    <w:p>
      <w:pPr>
        <w:pBdr/>
        <w:spacing/>
        <w:ind/>
        <w:rPr/>
      </w:pPr>
      <w:r>
        <mc:AlternateContent>
          <mc:Choice Requires="wpg">
            <w:drawing>
              <wp:inline xmlns:wp="http://schemas.openxmlformats.org/drawingml/2006/wordprocessingDrawing" distT="0" distB="0" distL="0" distR="0">
                <wp:extent cx="0" cy="19050"/>
                <wp:effectExtent l="0" t="0" r="0" b="0"/>
                <wp:docPr id="19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0" o:spid="_x0000_s190" o:spt="1" type="#_x0000_t1" style="width:0.00pt;height:1.50pt;mso-wrap-distance-left:0.00pt;mso-wrap-distance-top:0.00pt;mso-wrap-distance-right:0.00pt;mso-wrap-distance-bottom:0.00pt;visibility:visible;" fillcolor="#FFFFFF" strokecolor="#000000"/>
            </w:pict>
          </mc:Fallback>
        </mc:AlternateContent>
      </w:r>
      <w:r/>
    </w:p>
    <w:p>
      <w:pPr>
        <w:pStyle w:val="963"/>
        <w:pBdr/>
        <w:spacing/>
        <w:ind/>
        <w:rPr/>
      </w:pPr>
      <w:r>
        <w:rPr>
          <w:b/>
          <w:bCs/>
        </w:rPr>
        <w:t xml:space="preserve">12. Prohibition of Spying (Tajassus) and Protection of Privacy</w:t>
      </w:r>
      <w:r/>
    </w:p>
    <w:p>
      <w:pPr>
        <w:pStyle w:val="962"/>
        <w:pBdr/>
        <w:spacing/>
        <w:ind/>
        <w:rPr/>
      </w:pPr>
      <w:r>
        <w:rPr>
          <w:b/>
          <w:bCs/>
        </w:rPr>
        <w:t xml:space="preserve">Definition:</w:t>
      </w:r>
      <w:r>
        <w:t xml:space="preserve"> Islam strongly protects individual privacy and prohibits spying on others without legitimate cause.</w:t>
      </w:r>
      <w:r/>
    </w:p>
    <w:p>
      <w:pPr>
        <w:pStyle w:val="962"/>
        <w:pBdr/>
        <w:spacing/>
        <w:ind/>
        <w:rPr/>
      </w:pPr>
      <w:r>
        <w:rPr>
          <w:b/>
          <w:bCs/>
        </w:rPr>
        <w:t xml:space="preserve">Quranic Source:</w:t>
      </w:r>
      <w:r/>
    </w:p>
    <w:p>
      <w:pPr>
        <w:pStyle w:val="992"/>
        <w:pBdr/>
        <w:spacing/>
        <w:ind/>
        <w:rPr/>
      </w:pPr>
      <w:r>
        <w:t xml:space="preserve">“O you who believe! Avoid much suspicion, indeed some suspicions are sins. And spy not, neither backbite one another.”</w:t>
      </w:r>
      <w:r>
        <w:t xml:space="preserve"> </w:t>
      </w:r>
      <w:r>
        <w:rPr>
          <w:b/>
          <w:bCs/>
        </w:rPr>
        <w:t xml:space="preserve">Quran 49:12</w:t>
      </w:r>
      <w:r/>
    </w:p>
    <w:p>
      <w:pPr>
        <w:pStyle w:val="963"/>
        <w:pBdr/>
        <w:spacing/>
        <w:ind/>
        <w:rPr/>
      </w:pPr>
      <w:r>
        <w:rPr>
          <w:b/>
          <w:bCs/>
        </w:rPr>
        <w:t xml:space="preserve">Hadith Sources:</w:t>
      </w:r>
      <w:r/>
    </w:p>
    <w:p>
      <w:pPr>
        <w:pStyle w:val="992"/>
        <w:pBdr/>
        <w:spacing/>
        <w:ind/>
        <w:rPr/>
      </w:pPr>
      <w:r>
        <w:t xml:space="preserve">“Beware of suspicion,</w:t>
      </w:r>
      <w:r>
        <w:t xml:space="preserve"> for suspicion is the worst of false tales. Do not spy on one another, do not look for each other’s faults, do not be jealous of one another, do not envy one another, do not hate one another, and do not desert one another. Be, O slaves of Allah, brothers.”</w:t>
      </w:r>
      <w:r>
        <w:t xml:space="preserve"> </w:t>
      </w:r>
      <w:r>
        <w:rPr>
          <w:b/>
          <w:bCs/>
        </w:rPr>
        <w:t xml:space="preserve">Sahih al-Bukhari 6064, Sahih Muslim 2563</w:t>
      </w:r>
      <w:r/>
    </w:p>
    <w:p>
      <w:pPr>
        <w:pStyle w:val="992"/>
        <w:pBdr/>
        <w:spacing/>
        <w:ind/>
        <w:rPr/>
      </w:pPr>
      <w:r>
        <w:t xml:space="preserve">“Whoever listens to the private conversation of people who do not want him to hear, or they try to escape from him, molten lead will be poured into his ears on the Day of Resurrection.”</w:t>
      </w:r>
      <w:r>
        <w:t xml:space="preserve"> </w:t>
      </w:r>
      <w:r>
        <w:rPr>
          <w:b/>
          <w:bCs/>
        </w:rPr>
        <w:t xml:space="preserve">Sahih al-Bukhari 7042</w:t>
      </w:r>
      <w:r/>
    </w:p>
    <w:p>
      <w:pPr>
        <w:pStyle w:val="963"/>
        <w:pBdr/>
        <w:spacing/>
        <w:ind/>
        <w:rPr/>
      </w:pPr>
      <w:r>
        <w:rPr>
          <w:b/>
          <w:bCs/>
        </w:rPr>
        <w:t xml:space="preserve">Application to Software:</w:t>
      </w:r>
      <w:r/>
    </w:p>
    <w:p>
      <w:pPr>
        <w:pStyle w:val="964"/>
        <w:numPr>
          <w:ilvl w:val="0"/>
          <w:numId w:val="275"/>
        </w:numPr>
        <w:pBdr/>
        <w:spacing/>
        <w:ind/>
        <w:rPr/>
      </w:pPr>
      <w:r>
        <w:t xml:space="preserve">Data collection must be minimized</w:t>
      </w:r>
      <w:r/>
    </w:p>
    <w:p>
      <w:pPr>
        <w:pStyle w:val="964"/>
        <w:numPr>
          <w:ilvl w:val="0"/>
          <w:numId w:val="275"/>
        </w:numPr>
        <w:pBdr/>
        <w:spacing/>
        <w:ind/>
        <w:rPr/>
      </w:pPr>
      <w:r>
        <w:t xml:space="preserve">Users must consent to monitoring</w:t>
      </w:r>
      <w:r/>
    </w:p>
    <w:p>
      <w:pPr>
        <w:pStyle w:val="964"/>
        <w:numPr>
          <w:ilvl w:val="0"/>
          <w:numId w:val="275"/>
        </w:numPr>
        <w:pBdr/>
        <w:spacing/>
        <w:ind/>
        <w:rPr/>
      </w:pPr>
      <w:r>
        <w:t xml:space="preserve">Surveillance features require ethical justification</w:t>
      </w:r>
      <w:r/>
    </w:p>
    <w:p>
      <w:pPr>
        <w:pStyle w:val="964"/>
        <w:numPr>
          <w:ilvl w:val="0"/>
          <w:numId w:val="275"/>
        </w:numPr>
        <w:pBdr/>
        <w:spacing/>
        <w:ind/>
        <w:rPr/>
      </w:pPr>
      <w:r>
        <w:t xml:space="preserve">Private communications must be protected</w:t>
      </w:r>
      <w:r/>
    </w:p>
    <w:p>
      <w:pPr>
        <w:pStyle w:val="964"/>
        <w:numPr>
          <w:ilvl w:val="0"/>
          <w:numId w:val="275"/>
        </w:numPr>
        <w:pBdr/>
        <w:spacing/>
        <w:ind/>
        <w:rPr/>
      </w:pPr>
      <w:r>
        <w:t xml:space="preserve">Location tracking requires explicit consent</w:t>
      </w:r>
      <w:r/>
    </w:p>
    <w:p>
      <w:pPr>
        <w:pStyle w:val="964"/>
        <w:numPr>
          <w:ilvl w:val="0"/>
          <w:numId w:val="275"/>
        </w:numPr>
        <w:pBdr/>
        <w:spacing/>
        <w:ind/>
        <w:rPr/>
      </w:pPr>
      <w:r>
        <w:t xml:space="preserve">Smart devices must not secretly record</w:t>
      </w:r>
      <w:r/>
    </w:p>
    <w:p>
      <w:pPr>
        <w:pBdr/>
        <w:spacing/>
        <w:ind/>
        <w:rPr/>
      </w:pPr>
      <w:r>
        <mc:AlternateContent>
          <mc:Choice Requires="wpg">
            <w:drawing>
              <wp:inline xmlns:wp="http://schemas.openxmlformats.org/drawingml/2006/wordprocessingDrawing" distT="0" distB="0" distL="0" distR="0">
                <wp:extent cx="0" cy="19050"/>
                <wp:effectExtent l="0" t="0" r="0" b="0"/>
                <wp:docPr id="19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1" o:spid="_x0000_s191" o:spt="1" type="#_x0000_t1" style="width:0.00pt;height:1.50pt;mso-wrap-distance-left:0.00pt;mso-wrap-distance-top:0.00pt;mso-wrap-distance-right:0.00pt;mso-wrap-distance-bottom:0.00pt;visibility:visible;" fillcolor="#FFFFFF" strokecolor="#000000"/>
            </w:pict>
          </mc:Fallback>
        </mc:AlternateContent>
      </w:r>
      <w:r/>
    </w:p>
    <w:p>
      <w:pPr>
        <w:pBdr/>
        <w:spacing/>
        <w:ind/>
        <w:rPr/>
      </w:pPr>
      <w:r>
        <mc:AlternateContent>
          <mc:Choice Requires="wpg">
            <w:drawing>
              <wp:inline xmlns:wp="http://schemas.openxmlformats.org/drawingml/2006/wordprocessingDrawing" distT="0" distB="0" distL="0" distR="0">
                <wp:extent cx="0" cy="19050"/>
                <wp:effectExtent l="0" t="0" r="0" b="0"/>
                <wp:docPr id="19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2" o:spid="_x0000_s192" o:spt="1" type="#_x0000_t1" style="width:0.00pt;height:1.50pt;mso-wrap-distance-left:0.00pt;mso-wrap-distance-top:0.00pt;mso-wrap-distance-right:0.00pt;mso-wrap-distance-bottom:0.00pt;visibility:visible;" fillcolor="#FFFFFF" strokecolor="#000000"/>
            </w:pict>
          </mc:Fallback>
        </mc:AlternateContent>
      </w:r>
      <w:bookmarkEnd w:id="278"/>
      <w:bookmarkEnd w:id="279"/>
      <w:r/>
    </w:p>
    <w:p>
      <w:pPr>
        <w:pStyle w:val="976"/>
        <w:pBdr/>
        <w:spacing/>
        <w:ind/>
        <w:rPr/>
      </w:pPr>
      <w:r/>
      <w:bookmarkStart w:id="280" w:name="X7201cfd108b19644f905f93e792e3643e10b4be"/>
      <w:r>
        <w:t xml:space="preserve">Appendix E: Technical Stack Evaluation Matrix</w:t>
      </w:r>
      <w:r/>
    </w:p>
    <w:p>
      <w:pPr>
        <w:pStyle w:val="963"/>
        <w:pBdr/>
        <w:spacing/>
        <w:ind/>
        <w:rPr/>
      </w:pPr>
      <w:r>
        <w:t xml:space="preserve">This appendix documents the technical evaluatio</w:t>
      </w:r>
      <w:r>
        <w:t xml:space="preserve">n criteria used for ISLAMU project technology selection, based on I-VSD principles. It should be read as a design and implementation-traceability appendix, not as proof that the selected technologies have achieved the intended ethical outcomes in practice.</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Criterion</w:t>
            </w:r>
            <w:r/>
          </w:p>
        </w:tc>
        <w:tc>
          <w:tcPr>
            <w:tcBorders/>
          </w:tcPr>
          <w:p>
            <w:pPr>
              <w:pStyle w:val="964"/>
              <w:pBdr/>
              <w:spacing/>
              <w:ind/>
              <w:rPr/>
            </w:pPr>
            <w:r>
              <w:t xml:space="preserve">Weight</w:t>
            </w:r>
            <w:r/>
          </w:p>
        </w:tc>
        <w:tc>
          <w:tcPr>
            <w:tcBorders/>
          </w:tcPr>
          <w:p>
            <w:pPr>
              <w:pStyle w:val="964"/>
              <w:pBdr/>
              <w:spacing/>
              <w:ind/>
              <w:rPr/>
            </w:pPr>
            <w:r>
              <w:t xml:space="preserve">Evaluation Question</w:t>
            </w:r>
            <w:r/>
          </w:p>
        </w:tc>
      </w:tr>
      <w:tr>
        <w:trPr/>
        <w:tc>
          <w:tcPr>
            <w:tcBorders/>
          </w:tcPr>
          <w:p>
            <w:pPr>
              <w:pStyle w:val="964"/>
              <w:pBdr/>
              <w:spacing/>
              <w:ind/>
              <w:rPr/>
            </w:pPr>
            <w:r>
              <w:rPr>
                <w:b/>
                <w:bCs/>
              </w:rPr>
              <w:t xml:space="preserve">Open Source</w:t>
            </w:r>
            <w:r/>
          </w:p>
        </w:tc>
        <w:tc>
          <w:tcPr>
            <w:tcBorders/>
          </w:tcPr>
          <w:p>
            <w:pPr>
              <w:pStyle w:val="964"/>
              <w:pBdr/>
              <w:spacing/>
              <w:ind/>
              <w:rPr/>
            </w:pPr>
            <w:r>
              <w:t xml:space="preserve">High</w:t>
            </w:r>
            <w:r/>
          </w:p>
        </w:tc>
        <w:tc>
          <w:tcPr>
            <w:tcBorders/>
          </w:tcPr>
          <w:p>
            <w:pPr>
              <w:pStyle w:val="964"/>
              <w:pBdr/>
              <w:spacing/>
              <w:ind/>
              <w:rPr/>
            </w:pPr>
            <w:r>
              <w:t xml:space="preserve">Is the source code publicly available under an OSI-approved license?</w:t>
            </w:r>
            <w:r/>
          </w:p>
        </w:tc>
      </w:tr>
      <w:tr>
        <w:trPr/>
        <w:tc>
          <w:tcPr>
            <w:tcBorders/>
          </w:tcPr>
          <w:p>
            <w:pPr>
              <w:pStyle w:val="964"/>
              <w:pBdr/>
              <w:spacing/>
              <w:ind/>
              <w:rPr/>
            </w:pPr>
            <w:r>
              <w:rPr>
                <w:b/>
                <w:bCs/>
              </w:rPr>
              <w:t xml:space="preserve">Self-Hostable</w:t>
            </w:r>
            <w:r/>
          </w:p>
        </w:tc>
        <w:tc>
          <w:tcPr>
            <w:tcBorders/>
          </w:tcPr>
          <w:p>
            <w:pPr>
              <w:pStyle w:val="964"/>
              <w:pBdr/>
              <w:spacing/>
              <w:ind/>
              <w:rPr/>
            </w:pPr>
            <w:r>
              <w:t xml:space="preserve">High</w:t>
            </w:r>
            <w:r/>
          </w:p>
        </w:tc>
        <w:tc>
          <w:tcPr>
            <w:tcBorders/>
          </w:tcPr>
          <w:p>
            <w:pPr>
              <w:pStyle w:val="964"/>
              <w:pBdr/>
              <w:spacing/>
              <w:ind/>
              <w:rPr/>
            </w:pPr>
            <w:r>
              <w:t xml:space="preserve">Can organizations deploy and control their own instances?</w:t>
            </w:r>
            <w:r/>
          </w:p>
        </w:tc>
      </w:tr>
      <w:tr>
        <w:trPr/>
        <w:tc>
          <w:tcPr>
            <w:tcBorders/>
          </w:tcPr>
          <w:p>
            <w:pPr>
              <w:pStyle w:val="964"/>
              <w:pBdr/>
              <w:spacing/>
              <w:ind/>
              <w:rPr/>
            </w:pPr>
            <w:r>
              <w:rPr>
                <w:b/>
                <w:bCs/>
              </w:rPr>
              <w:t xml:space="preserve">Data Portability</w:t>
            </w:r>
            <w:r/>
          </w:p>
        </w:tc>
        <w:tc>
          <w:tcPr>
            <w:tcBorders/>
          </w:tcPr>
          <w:p>
            <w:pPr>
              <w:pStyle w:val="964"/>
              <w:pBdr/>
              <w:spacing/>
              <w:ind/>
              <w:rPr/>
            </w:pPr>
            <w:r>
              <w:t xml:space="preserve">High</w:t>
            </w:r>
            <w:r/>
          </w:p>
        </w:tc>
        <w:tc>
          <w:tcPr>
            <w:tcBorders/>
          </w:tcPr>
          <w:p>
            <w:pPr>
              <w:pStyle w:val="964"/>
              <w:pBdr/>
              <w:spacing/>
              <w:ind/>
              <w:rPr/>
            </w:pPr>
            <w:r>
              <w:t xml:space="preserve">Can users export their data in standard formats?</w:t>
            </w:r>
            <w:r/>
          </w:p>
        </w:tc>
      </w:tr>
      <w:tr>
        <w:trPr/>
        <w:tc>
          <w:tcPr>
            <w:tcBorders/>
          </w:tcPr>
          <w:p>
            <w:pPr>
              <w:pStyle w:val="964"/>
              <w:pBdr/>
              <w:spacing/>
              <w:ind/>
              <w:rPr/>
            </w:pPr>
            <w:r>
              <w:rPr>
                <w:b/>
                <w:bCs/>
              </w:rPr>
              <w:t xml:space="preserve">Client Instance Freedom</w:t>
            </w:r>
            <w:r/>
          </w:p>
        </w:tc>
        <w:tc>
          <w:tcPr>
            <w:tcBorders/>
          </w:tcPr>
          <w:p>
            <w:pPr>
              <w:pStyle w:val="964"/>
              <w:pBdr/>
              <w:spacing/>
              <w:ind/>
              <w:rPr/>
            </w:pPr>
            <w:r>
              <w:t xml:space="preserve">High</w:t>
            </w:r>
            <w:r/>
          </w:p>
        </w:tc>
        <w:tc>
          <w:tcPr>
            <w:tcBorders/>
          </w:tcPr>
          <w:p>
            <w:pPr>
              <w:pStyle w:val="964"/>
              <w:pBdr/>
              <w:spacing/>
              <w:ind/>
              <w:rPr/>
            </w:pPr>
            <w:r>
              <w:t xml:space="preserve">Do official or recommended clients allow users to select, verify, customize, and switch API/instance connections, including tenants inside multi-tenant deployments?</w:t>
            </w:r>
            <w:r/>
          </w:p>
        </w:tc>
      </w:tr>
      <w:tr>
        <w:trPr/>
        <w:tc>
          <w:tcPr>
            <w:tcBorders/>
          </w:tcPr>
          <w:p>
            <w:pPr>
              <w:pStyle w:val="964"/>
              <w:pBdr/>
              <w:spacing/>
              <w:ind/>
              <w:rPr/>
            </w:pPr>
            <w:r>
              <w:rPr>
                <w:b/>
                <w:bCs/>
              </w:rPr>
              <w:t xml:space="preserve">No Vendor Lock-in</w:t>
            </w:r>
            <w:r/>
          </w:p>
        </w:tc>
        <w:tc>
          <w:tcPr>
            <w:tcBorders/>
          </w:tcPr>
          <w:p>
            <w:pPr>
              <w:pStyle w:val="964"/>
              <w:pBdr/>
              <w:spacing/>
              <w:ind/>
              <w:rPr/>
            </w:pPr>
            <w:r>
              <w:t xml:space="preserve">High</w:t>
            </w:r>
            <w:r/>
          </w:p>
        </w:tc>
        <w:tc>
          <w:tcPr>
            <w:tcBorders/>
          </w:tcPr>
          <w:p>
            <w:pPr>
              <w:pStyle w:val="964"/>
              <w:pBdr/>
              <w:spacing/>
              <w:ind/>
              <w:rPr/>
            </w:pPr>
            <w:r>
              <w:t xml:space="preserve">Can the solution be replaced without data loss?</w:t>
            </w:r>
            <w:r/>
          </w:p>
        </w:tc>
      </w:tr>
      <w:tr>
        <w:trPr/>
        <w:tc>
          <w:tcPr>
            <w:tcBorders/>
          </w:tcPr>
          <w:p>
            <w:pPr>
              <w:pStyle w:val="964"/>
              <w:pBdr/>
              <w:spacing/>
              <w:ind/>
              <w:rPr/>
            </w:pPr>
            <w:r>
              <w:rPr>
                <w:b/>
                <w:bCs/>
              </w:rPr>
              <w:t xml:space="preserve">Privacy Respecting</w:t>
            </w:r>
            <w:r/>
          </w:p>
        </w:tc>
        <w:tc>
          <w:tcPr>
            <w:tcBorders/>
          </w:tcPr>
          <w:p>
            <w:pPr>
              <w:pStyle w:val="964"/>
              <w:pBdr/>
              <w:spacing/>
              <w:ind/>
              <w:rPr/>
            </w:pPr>
            <w:r>
              <w:t xml:space="preserve">High</w:t>
            </w:r>
            <w:r/>
          </w:p>
        </w:tc>
        <w:tc>
          <w:tcPr>
            <w:tcBorders/>
          </w:tcPr>
          <w:p>
            <w:pPr>
              <w:pStyle w:val="964"/>
              <w:pBdr/>
              <w:spacing/>
              <w:ind/>
              <w:rPr/>
            </w:pPr>
            <w:r>
              <w:t xml:space="preserve">Does the technology make privacy-preserving design practical?</w:t>
            </w:r>
            <w:r/>
          </w:p>
        </w:tc>
      </w:tr>
      <w:tr>
        <w:trPr/>
        <w:tc>
          <w:tcPr>
            <w:tcBorders/>
          </w:tcPr>
          <w:p>
            <w:pPr>
              <w:pStyle w:val="964"/>
              <w:pBdr/>
              <w:spacing/>
              <w:ind/>
              <w:rPr/>
            </w:pPr>
            <w:r>
              <w:rPr>
                <w:b/>
                <w:bCs/>
              </w:rPr>
              <w:t xml:space="preserve">Authority Boundaries</w:t>
            </w:r>
            <w:r/>
          </w:p>
        </w:tc>
        <w:tc>
          <w:tcPr>
            <w:tcBorders/>
          </w:tcPr>
          <w:p>
            <w:pPr>
              <w:pStyle w:val="964"/>
              <w:pBdr/>
              <w:spacing/>
              <w:ind/>
              <w:rPr/>
            </w:pPr>
            <w:r>
              <w:t xml:space="preserve">High</w:t>
            </w:r>
            <w:r/>
          </w:p>
        </w:tc>
        <w:tc>
          <w:tcPr>
            <w:tcBorders/>
          </w:tcPr>
          <w:p>
            <w:pPr>
              <w:pStyle w:val="964"/>
              <w:pBdr/>
              <w:spacing/>
              <w:ind/>
              <w:rPr/>
            </w:pPr>
            <w:r>
              <w:t xml:space="preserve">Can authentication, authorization, tenancy, and administrative powers be made inspectable and enforceable?</w:t>
            </w:r>
            <w:r/>
          </w:p>
        </w:tc>
      </w:tr>
      <w:tr>
        <w:trPr/>
        <w:tc>
          <w:tcPr>
            <w:tcBorders/>
          </w:tcPr>
          <w:p>
            <w:pPr>
              <w:pStyle w:val="964"/>
              <w:pBdr/>
              <w:spacing/>
              <w:ind/>
              <w:rPr/>
            </w:pPr>
            <w:r>
              <w:rPr>
                <w:b/>
                <w:bCs/>
              </w:rPr>
              <w:t xml:space="preserve">Community Governed</w:t>
            </w:r>
            <w:r/>
          </w:p>
        </w:tc>
        <w:tc>
          <w:tcPr>
            <w:tcBorders/>
          </w:tcPr>
          <w:p>
            <w:pPr>
              <w:pStyle w:val="964"/>
              <w:pBdr/>
              <w:spacing/>
              <w:ind/>
              <w:rPr/>
            </w:pPr>
            <w:r>
              <w:t xml:space="preserve">Medium</w:t>
            </w:r>
            <w:r/>
          </w:p>
        </w:tc>
        <w:tc>
          <w:tcPr>
            <w:tcBorders/>
          </w:tcPr>
          <w:p>
            <w:pPr>
              <w:pStyle w:val="964"/>
              <w:pBdr/>
              <w:spacing/>
              <w:ind/>
              <w:rPr/>
            </w:pPr>
            <w:r>
              <w:t xml:space="preserve">Is development guided by community, transparent governance, or inspectable stewardship rather than only corporate lock-in?</w:t>
            </w:r>
            <w:r/>
          </w:p>
        </w:tc>
      </w:tr>
      <w:tr>
        <w:trPr/>
        <w:tc>
          <w:tcPr>
            <w:tcBorders/>
          </w:tcPr>
          <w:p>
            <w:pPr>
              <w:pStyle w:val="964"/>
              <w:pBdr/>
              <w:spacing/>
              <w:ind/>
              <w:rPr/>
            </w:pPr>
            <w:r>
              <w:rPr>
                <w:b/>
                <w:bCs/>
              </w:rPr>
              <w:t xml:space="preserve">Standards Oriented</w:t>
            </w:r>
            <w:r/>
          </w:p>
        </w:tc>
        <w:tc>
          <w:tcPr>
            <w:tcBorders/>
          </w:tcPr>
          <w:p>
            <w:pPr>
              <w:pStyle w:val="964"/>
              <w:pBdr/>
              <w:spacing/>
              <w:ind/>
              <w:rPr/>
            </w:pPr>
            <w:r>
              <w:t xml:space="preserve">Medium</w:t>
            </w:r>
            <w:r/>
          </w:p>
        </w:tc>
        <w:tc>
          <w:tcPr>
            <w:tcBorders/>
          </w:tcPr>
          <w:p>
            <w:pPr>
              <w:pStyle w:val="964"/>
              <w:pBdr/>
              <w:spacing/>
              <w:ind/>
              <w:rPr/>
            </w:pPr>
            <w:r>
              <w:t xml:space="preserve">Does it use established protocols and formats where appropriate, while clearly marking unfinished interoperability work?</w:t>
            </w:r>
            <w:r/>
          </w:p>
        </w:tc>
      </w:tr>
      <w:tr>
        <w:trPr/>
        <w:tc>
          <w:tcPr>
            <w:tcBorders/>
          </w:tcPr>
          <w:p>
            <w:pPr>
              <w:pStyle w:val="964"/>
              <w:pBdr/>
              <w:spacing/>
              <w:ind/>
              <w:rPr/>
            </w:pPr>
            <w:r>
              <w:rPr>
                <w:b/>
                <w:bCs/>
              </w:rPr>
              <w:t xml:space="preserve">Federation Ready</w:t>
            </w:r>
            <w:r/>
          </w:p>
        </w:tc>
        <w:tc>
          <w:tcPr>
            <w:tcBorders/>
          </w:tcPr>
          <w:p>
            <w:pPr>
              <w:pStyle w:val="964"/>
              <w:pBdr/>
              <w:spacing/>
              <w:ind/>
              <w:rPr/>
            </w:pPr>
            <w:r>
              <w:t xml:space="preserve">Medium</w:t>
            </w:r>
            <w:r/>
          </w:p>
        </w:tc>
        <w:tc>
          <w:tcPr>
            <w:tcBorders/>
          </w:tcPr>
          <w:p>
            <w:pPr>
              <w:pStyle w:val="964"/>
              <w:pBdr/>
              <w:spacing/>
              <w:ind/>
              <w:rPr/>
            </w:pPr>
            <w:r>
              <w:t xml:space="preserve">Does the architecture leave a credible path for interoperability without claiming complete federation prematurely?</w:t>
            </w:r>
            <w:r/>
          </w:p>
        </w:tc>
      </w:tr>
      <w:tr>
        <w:trPr/>
        <w:tc>
          <w:tcPr>
            <w:tcBorders/>
          </w:tcPr>
          <w:p>
            <w:pPr>
              <w:pStyle w:val="964"/>
              <w:pBdr/>
              <w:spacing/>
              <w:ind/>
              <w:rPr/>
            </w:pPr>
            <w:r>
              <w:rPr>
                <w:b/>
                <w:bCs/>
              </w:rPr>
              <w:t xml:space="preserve">Accessibility Oriented</w:t>
            </w:r>
            <w:r/>
          </w:p>
        </w:tc>
        <w:tc>
          <w:tcPr>
            <w:tcBorders/>
          </w:tcPr>
          <w:p>
            <w:pPr>
              <w:pStyle w:val="964"/>
              <w:pBdr/>
              <w:spacing/>
              <w:ind/>
              <w:rPr/>
            </w:pPr>
            <w:r>
              <w:t xml:space="preserve">Medium</w:t>
            </w:r>
            <w:r/>
          </w:p>
        </w:tc>
        <w:tc>
          <w:tcPr>
            <w:tcBorders/>
          </w:tcPr>
          <w:p>
            <w:pPr>
              <w:pStyle w:val="964"/>
              <w:pBdr/>
              <w:spacing/>
              <w:ind/>
              <w:rPr/>
            </w:pPr>
            <w:r>
              <w:t xml:space="preserve">Does it incorporate accessibility-oriented architecture, component conventions, and testing paths rather than merely claiming compliance?</w:t>
            </w:r>
            <w:r/>
          </w:p>
        </w:tc>
      </w:tr>
      <w:tr>
        <w:trPr/>
        <w:tc>
          <w:tcPr>
            <w:tcBorders/>
          </w:tcPr>
          <w:p>
            <w:pPr>
              <w:pStyle w:val="964"/>
              <w:pBdr/>
              <w:spacing/>
              <w:ind/>
              <w:rPr/>
            </w:pPr>
            <w:r>
              <w:rPr>
                <w:b/>
                <w:bCs/>
              </w:rPr>
              <w:t xml:space="preserve">Sustainable</w:t>
            </w:r>
            <w:r/>
          </w:p>
        </w:tc>
        <w:tc>
          <w:tcPr>
            <w:tcBorders/>
          </w:tcPr>
          <w:p>
            <w:pPr>
              <w:pStyle w:val="964"/>
              <w:pBdr/>
              <w:spacing/>
              <w:ind/>
              <w:rPr/>
            </w:pPr>
            <w:r>
              <w:t xml:space="preserve">Medium</w:t>
            </w:r>
            <w:r/>
          </w:p>
        </w:tc>
        <w:tc>
          <w:tcPr>
            <w:tcBorders/>
          </w:tcPr>
          <w:p>
            <w:pPr>
              <w:pStyle w:val="964"/>
              <w:pBdr/>
              <w:spacing/>
              <w:ind/>
              <w:rPr/>
            </w:pPr>
            <w:r>
              <w:t xml:space="preserve">Is the project actively maintainable with clear documentation, testing, and operational runbooks?</w:t>
            </w:r>
            <w:r/>
          </w:p>
        </w:tc>
      </w:tr>
    </w:tbl>
    <w:p>
      <w:pPr>
        <w:pStyle w:val="962"/>
        <w:pBdr/>
        <w:spacing/>
        <w:ind/>
        <w:rPr/>
      </w:pPr>
      <w:r>
        <w:rPr>
          <w:b/>
          <w:bCs/>
        </w:rPr>
        <w:t xml:space="preserve">ISLAMU Event Current Implementation Technology Selections:</w:t>
      </w:r>
      <w:r/>
    </w:p>
    <w:tbl>
      <w:tblPr>
        <w:tblStyle w:val="996"/>
        <w:tblW w:w="5000" w:type="pct"/>
        <w:tblBorders/>
        <w:tblLayout w:type="fixed"/>
        <w:tblLook w:val="0020" w:firstRow="1" w:lastRow="0" w:firstColumn="0" w:lastColumn="0" w:noHBand="0" w:noVBand="0"/>
      </w:tblPr>
      <w:tblGrid>
        <w:gridCol w:w="1980"/>
        <w:gridCol w:w="1980"/>
        <w:gridCol w:w="1980"/>
        <w:gridCol w:w="1980"/>
      </w:tblGrid>
      <w:tr>
        <w:trPr>
          <w:tblHeader/>
        </w:trPr>
        <w:tc>
          <w:tcPr>
            <w:tcBorders/>
          </w:tcPr>
          <w:p>
            <w:pPr>
              <w:pStyle w:val="964"/>
              <w:pBdr/>
              <w:spacing/>
              <w:ind/>
              <w:rPr/>
            </w:pPr>
            <w:r>
              <w:t xml:space="preserve">Component</w:t>
            </w:r>
            <w:r/>
          </w:p>
        </w:tc>
        <w:tc>
          <w:tcPr>
            <w:tcBorders/>
          </w:tcPr>
          <w:p>
            <w:pPr>
              <w:pStyle w:val="964"/>
              <w:pBdr/>
              <w:spacing/>
              <w:ind/>
              <w:rPr/>
            </w:pPr>
            <w:r>
              <w:t xml:space="preserve">Current selection / evidence-bounded status</w:t>
            </w:r>
            <w:r/>
          </w:p>
        </w:tc>
        <w:tc>
          <w:tcPr>
            <w:tcBorders/>
          </w:tcPr>
          <w:p>
            <w:pPr>
              <w:pStyle w:val="964"/>
              <w:pBdr/>
              <w:spacing/>
              <w:ind/>
              <w:rPr/>
            </w:pPr>
            <w:r>
              <w:t xml:space="preserve">I-VSD justification</w:t>
            </w:r>
            <w:r/>
          </w:p>
        </w:tc>
        <w:tc>
          <w:tcPr>
            <w:tcBorders/>
          </w:tcPr>
          <w:p>
            <w:pPr>
              <w:pStyle w:val="964"/>
              <w:pBdr/>
              <w:spacing/>
              <w:ind/>
              <w:rPr/>
            </w:pPr>
            <w:r>
              <w:t xml:space="preserve">Claim boundary</w:t>
            </w:r>
            <w:r/>
          </w:p>
        </w:tc>
      </w:tr>
      <w:tr>
        <w:trPr/>
        <w:tc>
          <w:tcPr>
            <w:tcBorders/>
          </w:tcPr>
          <w:p>
            <w:pPr>
              <w:pStyle w:val="964"/>
              <w:pBdr/>
              <w:spacing/>
              <w:ind/>
              <w:rPr/>
            </w:pPr>
            <w:r>
              <w:t xml:space="preserve">Backend/runtime</w:t>
            </w:r>
            <w:r/>
          </w:p>
        </w:tc>
        <w:tc>
          <w:tcPr>
            <w:tcBorders/>
          </w:tcPr>
          <w:p>
            <w:pPr>
              <w:pStyle w:val="964"/>
              <w:pBdr/>
              <w:spacing/>
              <w:ind/>
              <w:rPr/>
            </w:pPr>
            <w:r>
              <w:t xml:space="preserve">.NET 10 and ASP.NET Core</w:t>
            </w:r>
            <w:r/>
          </w:p>
        </w:tc>
        <w:tc>
          <w:tcPr>
            <w:tcBorders/>
          </w:tcPr>
          <w:p>
            <w:pPr>
              <w:pStyle w:val="964"/>
              <w:pBdr/>
              <w:spacing/>
              <w:ind/>
              <w:rPr/>
            </w:pPr>
            <w:r>
              <w:t xml:space="preserve">Open-source runtime, strong typing, maintainability, performance, and long-term ecosystem support</w:t>
            </w:r>
            <w:r/>
          </w:p>
        </w:tc>
        <w:tc>
          <w:tcPr>
            <w:tcBorders/>
          </w:tcPr>
          <w:p>
            <w:pPr>
              <w:pStyle w:val="964"/>
              <w:pBdr/>
              <w:spacing/>
              <w:ind/>
              <w:rPr/>
            </w:pPr>
            <w:r>
              <w:t xml:space="preserve">Supports implementation traceability; does not prove reliability in every deployment.</w:t>
            </w:r>
            <w:r/>
          </w:p>
        </w:tc>
      </w:tr>
      <w:tr>
        <w:trPr/>
        <w:tc>
          <w:tcPr>
            <w:tcBorders/>
          </w:tcPr>
          <w:p>
            <w:pPr>
              <w:pStyle w:val="964"/>
              <w:pBdr/>
              <w:spacing/>
              <w:ind/>
              <w:rPr/>
            </w:pPr>
            <w:r>
              <w:t xml:space="preserve">Architecture pattern</w:t>
            </w:r>
            <w:r/>
          </w:p>
        </w:tc>
        <w:tc>
          <w:tcPr>
            <w:tcBorders/>
          </w:tcPr>
          <w:p>
            <w:pPr>
              <w:pStyle w:val="964"/>
              <w:pBdr/>
              <w:spacing/>
              <w:ind/>
              <w:rPr/>
            </w:pPr>
            <w:r>
              <w:t xml:space="preserve">Clean Architecture with CQRS/MediatR</w:t>
            </w:r>
            <w:r/>
          </w:p>
        </w:tc>
        <w:tc>
          <w:tcPr>
            <w:tcBorders/>
          </w:tcPr>
          <w:p>
            <w:pPr>
              <w:pStyle w:val="964"/>
              <w:pBdr/>
              <w:spacing/>
              <w:ind/>
              <w:rPr/>
            </w:pPr>
            <w:r>
              <w:t xml:space="preserve">Separates domain rules, application behavior, infrastructure, and presentation so ethical boundaries are easier to inspect and test</w:t>
            </w:r>
            <w:r/>
          </w:p>
        </w:tc>
        <w:tc>
          <w:tcPr>
            <w:tcBorders/>
          </w:tcPr>
          <w:p>
            <w:pPr>
              <w:pStyle w:val="964"/>
              <w:pBdr/>
              <w:spacing/>
              <w:ind/>
              <w:rPr/>
            </w:pPr>
            <w:r>
              <w:t xml:space="preserve">Architecture supports reviewability; it does not guarantee moral outcomes.</w:t>
            </w:r>
            <w:r/>
          </w:p>
        </w:tc>
      </w:tr>
      <w:tr>
        <w:trPr/>
        <w:tc>
          <w:tcPr>
            <w:tcBorders/>
          </w:tcPr>
          <w:p>
            <w:pPr>
              <w:pStyle w:val="964"/>
              <w:pBdr/>
              <w:spacing/>
              <w:ind/>
              <w:rPr/>
            </w:pPr>
            <w:r>
              <w:t xml:space="preserve">Frontend/UI</w:t>
            </w:r>
            <w:r/>
          </w:p>
        </w:tc>
        <w:tc>
          <w:tcPr>
            <w:tcBorders/>
          </w:tcPr>
          <w:p>
            <w:pPr>
              <w:pStyle w:val="964"/>
              <w:pBdr/>
              <w:spacing/>
              <w:ind/>
              <w:rPr/>
            </w:pPr>
            <w:r>
              <w:t xml:space="preserve">Blazor and MudBlazor</w:t>
            </w:r>
            <w:r/>
          </w:p>
        </w:tc>
        <w:tc>
          <w:tcPr>
            <w:tcBorders/>
          </w:tcPr>
          <w:p>
            <w:pPr>
              <w:pStyle w:val="964"/>
              <w:pBdr/>
              <w:spacing/>
              <w:ind/>
              <w:rPr/>
            </w:pPr>
            <w:r>
              <w:t xml:space="preserve">Open-source UI stack integrated with .NET, suitable for a responsive/self-hostable application</w:t>
            </w:r>
            <w:r/>
          </w:p>
        </w:tc>
        <w:tc>
          <w:tcPr>
            <w:tcBorders/>
          </w:tcPr>
          <w:p>
            <w:pPr>
              <w:pStyle w:val="964"/>
              <w:pBdr/>
              <w:spacing/>
              <w:ind/>
              <w:rPr/>
            </w:pPr>
            <w:r>
              <w:t xml:space="preserve">UI stack choice is not the same as accessibility success.</w:t>
            </w:r>
            <w:r/>
          </w:p>
        </w:tc>
      </w:tr>
      <w:tr>
        <w:trPr/>
        <w:tc>
          <w:tcPr>
            <w:tcBorders/>
          </w:tcPr>
          <w:p>
            <w:pPr>
              <w:pStyle w:val="964"/>
              <w:pBdr/>
              <w:spacing/>
              <w:ind/>
              <w:rPr/>
            </w:pPr>
            <w:r>
              <w:t xml:space="preserve">API model</w:t>
            </w:r>
            <w:r/>
          </w:p>
        </w:tc>
        <w:tc>
          <w:tcPr>
            <w:tcBorders/>
          </w:tcPr>
          <w:p>
            <w:pPr>
              <w:pStyle w:val="964"/>
              <w:pBdr/>
              <w:spacing/>
              <w:ind/>
              <w:rPr/>
            </w:pPr>
            <w:r>
              <w:t xml:space="preserve">ASP.NET Core REST with HAL/HATEOAS, OpenAPI/Swagger/Scalar</w:t>
            </w:r>
            <w:r/>
          </w:p>
        </w:tc>
        <w:tc>
          <w:tcPr>
            <w:tcBorders/>
          </w:tcPr>
          <w:p>
            <w:pPr>
              <w:pStyle w:val="964"/>
              <w:pBdr/>
              <w:spacing/>
              <w:ind/>
              <w:rPr/>
            </w:pPr>
            <w:r>
              <w:t xml:space="preserve">Makes API affordances, versioning, and authorization-aware links more explicit</w:t>
            </w:r>
            <w:r/>
          </w:p>
        </w:tc>
        <w:tc>
          <w:tcPr>
            <w:tcBorders/>
          </w:tcPr>
          <w:p>
            <w:pPr>
              <w:pStyle w:val="964"/>
              <w:pBdr/>
              <w:spacing/>
              <w:ind/>
              <w:rPr/>
            </w:pPr>
            <w:r>
              <w:t xml:space="preserve">HATEOAS affordances require correct policies and testing.</w:t>
            </w:r>
            <w:r/>
          </w:p>
        </w:tc>
      </w:tr>
      <w:tr>
        <w:trPr/>
        <w:tc>
          <w:tcPr>
            <w:tcBorders/>
          </w:tcPr>
          <w:p>
            <w:pPr>
              <w:pStyle w:val="964"/>
              <w:pBdr/>
              <w:spacing/>
              <w:ind/>
              <w:rPr/>
            </w:pPr>
            <w:r>
              <w:t xml:space="preserve">Database/persistence</w:t>
            </w:r>
            <w:r/>
          </w:p>
        </w:tc>
        <w:tc>
          <w:tcPr>
            <w:tcBorders/>
          </w:tcPr>
          <w:p>
            <w:pPr>
              <w:pStyle w:val="964"/>
              <w:pBdr/>
              <w:spacing/>
              <w:ind/>
              <w:rPr/>
            </w:pPr>
            <w:r>
              <w:t xml:space="preserve">PostgreSQL with EF Core</w:t>
            </w:r>
            <w:r/>
          </w:p>
        </w:tc>
        <w:tc>
          <w:tcPr>
            <w:tcBorders/>
          </w:tcPr>
          <w:p>
            <w:pPr>
              <w:pStyle w:val="964"/>
              <w:pBdr/>
              <w:spacing/>
              <w:ind/>
              <w:rPr/>
            </w:pPr>
            <w:r>
              <w:t xml:space="preserve">Open-source, self-hostable, relational integrity, tenant filters, and inspectable data modeling</w:t>
            </w:r>
            <w:r/>
          </w:p>
        </w:tc>
        <w:tc>
          <w:tcPr>
            <w:tcBorders/>
          </w:tcPr>
          <w:p>
            <w:pPr>
              <w:pStyle w:val="964"/>
              <w:pBdr/>
              <w:spacing/>
              <w:ind/>
              <w:rPr/>
            </w:pPr>
            <w:r>
              <w:t xml:space="preserve">EF query filters support tenant isolation but are not the same as database row-level security unless separately implemented.</w:t>
            </w:r>
            <w:r/>
          </w:p>
        </w:tc>
      </w:tr>
      <w:tr>
        <w:trPr/>
        <w:tc>
          <w:tcPr>
            <w:tcBorders/>
          </w:tcPr>
          <w:p>
            <w:pPr>
              <w:pStyle w:val="964"/>
              <w:pBdr/>
              <w:spacing/>
              <w:ind/>
              <w:rPr/>
            </w:pPr>
            <w:r>
              <w:t xml:space="preserve">Authentication</w:t>
            </w:r>
            <w:r/>
          </w:p>
        </w:tc>
        <w:tc>
          <w:tcPr>
            <w:tcBorders/>
          </w:tcPr>
          <w:p>
            <w:pPr>
              <w:pStyle w:val="964"/>
              <w:pBdr/>
              <w:spacing/>
              <w:ind/>
              <w:rPr/>
            </w:pPr>
            <w:r>
              <w:t xml:space="preserve">Keycloak OIDC/OAuth2 through a BFF/session boundary</w:t>
            </w:r>
            <w:r/>
          </w:p>
        </w:tc>
        <w:tc>
          <w:tcPr>
            <w:tcBorders/>
          </w:tcPr>
          <w:p>
            <w:pPr>
              <w:pStyle w:val="964"/>
              <w:pBdr/>
              <w:spacing/>
              <w:ind/>
              <w:rPr/>
            </w:pPr>
            <w:r>
              <w:t xml:space="preserve">Self-hostable identity provider and server-controlled token boundary reduce browser token exposure</w:t>
            </w:r>
            <w:r/>
          </w:p>
        </w:tc>
        <w:tc>
          <w:tcPr>
            <w:tcBorders/>
          </w:tcPr>
          <w:p>
            <w:pPr>
              <w:pStyle w:val="964"/>
              <w:pBdr/>
              <w:spacing/>
              <w:ind/>
              <w:rPr/>
            </w:pPr>
            <w:r>
              <w:t xml:space="preserve">Correct configuration and operational monitoring remain necessary.</w:t>
            </w:r>
            <w:r/>
          </w:p>
        </w:tc>
      </w:tr>
      <w:tr>
        <w:trPr/>
        <w:tc>
          <w:tcPr>
            <w:tcBorders/>
          </w:tcPr>
          <w:p>
            <w:pPr>
              <w:pStyle w:val="964"/>
              <w:pBdr/>
              <w:spacing/>
              <w:ind/>
              <w:rPr/>
            </w:pPr>
            <w:r>
              <w:t xml:space="preserve">Authorization</w:t>
            </w:r>
            <w:r/>
          </w:p>
        </w:tc>
        <w:tc>
          <w:tcPr>
            <w:tcBorders/>
          </w:tcPr>
          <w:p>
            <w:pPr>
              <w:pStyle w:val="964"/>
              <w:pBdr/>
              <w:spacing/>
              <w:ind/>
              <w:rPr/>
            </w:pPr>
            <w:r>
              <w:t xml:space="preserve">Cerbos policy decision point or local authorization provider</w:t>
            </w:r>
            <w:r/>
          </w:p>
        </w:tc>
        <w:tc>
          <w:tcPr>
            <w:tcBorders/>
          </w:tcPr>
          <w:p>
            <w:pPr>
              <w:pStyle w:val="964"/>
              <w:pBdr/>
              <w:spacing/>
              <w:ind/>
              <w:rPr/>
            </w:pPr>
            <w:r>
              <w:t xml:space="preserve">Policy-oriented authorization can be reviewed and adapted to tenant/instance governance needs</w:t>
            </w:r>
            <w:r/>
          </w:p>
        </w:tc>
        <w:tc>
          <w:tcPr>
            <w:tcBorders/>
          </w:tcPr>
          <w:p>
            <w:pPr>
              <w:pStyle w:val="964"/>
              <w:pBdr/>
              <w:spacing/>
              <w:ind/>
              <w:rPr/>
            </w:pPr>
            <w:r>
              <w:t xml:space="preserve">Authorization architecture does not prove every policy decision is fair or complete.</w:t>
            </w:r>
            <w:r/>
          </w:p>
        </w:tc>
      </w:tr>
      <w:tr>
        <w:trPr/>
        <w:tc>
          <w:tcPr>
            <w:tcBorders/>
          </w:tcPr>
          <w:p>
            <w:pPr>
              <w:pStyle w:val="964"/>
              <w:pBdr/>
              <w:spacing/>
              <w:ind/>
              <w:rPr/>
            </w:pPr>
            <w:r>
              <w:t xml:space="preserve">Observability</w:t>
            </w:r>
            <w:r/>
          </w:p>
        </w:tc>
        <w:tc>
          <w:tcPr>
            <w:tcBorders/>
          </w:tcPr>
          <w:p>
            <w:pPr>
              <w:pStyle w:val="964"/>
              <w:pBdr/>
              <w:spacing/>
              <w:ind/>
              <w:rPr/>
            </w:pPr>
            <w:r>
              <w:t xml:space="preserve">Serilog and OpenTelemetry</w:t>
            </w:r>
            <w:r/>
          </w:p>
        </w:tc>
        <w:tc>
          <w:tcPr>
            <w:tcBorders/>
          </w:tcPr>
          <w:p>
            <w:pPr>
              <w:pStyle w:val="964"/>
              <w:pBdr/>
              <w:spacing/>
              <w:ind/>
              <w:rPr/>
            </w:pPr>
            <w:r>
              <w:t xml:space="preserve">Logging, tracing, and metrics can support accountability, diagnostics, and maintenance</w:t>
            </w:r>
            <w:r/>
          </w:p>
        </w:tc>
        <w:tc>
          <w:tcPr>
            <w:tcBorders/>
          </w:tcPr>
          <w:p>
            <w:pPr>
              <w:pStyle w:val="964"/>
              <w:pBdr/>
              <w:spacing/>
              <w:ind/>
              <w:rPr/>
            </w:pPr>
            <w:r>
              <w:t xml:space="preserve">Observability must avoid leaking sensitive data and needs operational practice.</w:t>
            </w:r>
            <w:r/>
          </w:p>
        </w:tc>
      </w:tr>
      <w:tr>
        <w:trPr/>
        <w:tc>
          <w:tcPr>
            <w:tcBorders/>
          </w:tcPr>
          <w:p>
            <w:pPr>
              <w:pStyle w:val="964"/>
              <w:pBdr/>
              <w:spacing/>
              <w:ind/>
              <w:rPr/>
            </w:pPr>
            <w:r>
              <w:t xml:space="preserve">Testing</w:t>
            </w:r>
            <w:r/>
          </w:p>
        </w:tc>
        <w:tc>
          <w:tcPr>
            <w:tcBorders/>
          </w:tcPr>
          <w:p>
            <w:pPr>
              <w:pStyle w:val="964"/>
              <w:pBdr/>
              <w:spacing/>
              <w:ind/>
              <w:rPr/>
            </w:pPr>
            <w:r>
              <w:t xml:space="preserve">TUnit, bUnit, integration, architecture, and E2E-oriented test projects/lanes</w:t>
            </w:r>
            <w:r/>
          </w:p>
        </w:tc>
        <w:tc>
          <w:tcPr>
            <w:tcBorders/>
          </w:tcPr>
          <w:p>
            <w:pPr>
              <w:pStyle w:val="964"/>
              <w:pBdr/>
              <w:spacing/>
              <w:ind/>
              <w:rPr/>
            </w:pPr>
            <w:r>
              <w:t xml:space="preserve">Multi-lane tests support Ihsan through maintainability and regression prevention</w:t>
            </w:r>
            <w:r/>
          </w:p>
        </w:tc>
        <w:tc>
          <w:tcPr>
            <w:tcBorders/>
          </w:tcPr>
          <w:p>
            <w:pPr>
              <w:pStyle w:val="964"/>
              <w:pBdr/>
              <w:spacing/>
              <w:ind/>
              <w:rPr/>
            </w:pPr>
            <w:r>
              <w:t xml:space="preserve">Tests provide engineering evidence, not empirical user validation.</w:t>
            </w:r>
            <w:r/>
          </w:p>
        </w:tc>
      </w:tr>
      <w:tr>
        <w:trPr/>
        <w:tc>
          <w:tcPr>
            <w:tcBorders/>
          </w:tcPr>
          <w:p>
            <w:pPr>
              <w:pStyle w:val="964"/>
              <w:pBdr/>
              <w:spacing/>
              <w:ind/>
              <w:rPr/>
            </w:pPr>
            <w:r>
              <w:t xml:space="preserve">Deployment/self-hosting</w:t>
            </w:r>
            <w:r/>
          </w:p>
        </w:tc>
        <w:tc>
          <w:tcPr>
            <w:tcBorders/>
          </w:tcPr>
          <w:p>
            <w:pPr>
              <w:pStyle w:val="964"/>
              <w:pBdr/>
              <w:spacing/>
              <w:ind/>
              <w:rPr/>
            </w:pPr>
            <w:r>
              <w:t xml:space="preserve">Docker Compose, .NET Aspire, self-hosting and backup/upgrade documentation</w:t>
            </w:r>
            <w:r/>
          </w:p>
        </w:tc>
        <w:tc>
          <w:tcPr>
            <w:tcBorders/>
          </w:tcPr>
          <w:p>
            <w:pPr>
              <w:pStyle w:val="964"/>
              <w:pBdr/>
              <w:spacing/>
              <w:ind/>
              <w:rPr/>
            </w:pPr>
            <w:r>
              <w:t xml:space="preserve">Makes local operation, self-hosting, and operational stewardship more credible</w:t>
            </w:r>
            <w:r/>
          </w:p>
        </w:tc>
        <w:tc>
          <w:tcPr>
            <w:tcBorders/>
          </w:tcPr>
          <w:p>
            <w:pPr>
              <w:pStyle w:val="964"/>
              <w:pBdr/>
              <w:spacing/>
              <w:ind/>
              <w:rPr/>
            </w:pPr>
            <w:r>
              <w:t xml:space="preserve">Documentation and tooling still require real self-hosting usability review.</w:t>
            </w:r>
            <w:r/>
          </w:p>
        </w:tc>
      </w:tr>
      <w:tr>
        <w:trPr/>
        <w:tc>
          <w:tcPr>
            <w:tcBorders/>
          </w:tcPr>
          <w:p>
            <w:pPr>
              <w:pStyle w:val="964"/>
              <w:pBdr/>
              <w:spacing/>
              <w:ind/>
              <w:rPr/>
            </w:pPr>
            <w:r>
              <w:t xml:space="preserve">Federation/interoperability</w:t>
            </w:r>
            <w:r/>
          </w:p>
        </w:tc>
        <w:tc>
          <w:tcPr>
            <w:tcBorders/>
          </w:tcPr>
          <w:p>
            <w:pPr>
              <w:pStyle w:val="964"/>
              <w:pBdr/>
              <w:spacing/>
              <w:ind/>
              <w:rPr/>
            </w:pPr>
            <w:r>
              <w:t xml:space="preserve">ATProto/PDS-oriented records and outbound sync/outbox groundwork; public federation endpoints remain roadmap/incomplete unless later verified</w:t>
            </w:r>
            <w:r/>
          </w:p>
        </w:tc>
        <w:tc>
          <w:tcPr>
            <w:tcBorders/>
          </w:tcPr>
          <w:p>
            <w:pPr>
              <w:pStyle w:val="964"/>
              <w:pBdr/>
              <w:spacing/>
              <w:ind/>
              <w:rPr/>
            </w:pPr>
            <w:r>
              <w:t xml:space="preserve">Supports anti-lock-in and portability as a design direction</w:t>
            </w:r>
            <w:r/>
          </w:p>
        </w:tc>
        <w:tc>
          <w:tcPr>
            <w:tcBorders/>
          </w:tcPr>
          <w:p>
            <w:pPr>
              <w:pStyle w:val="964"/>
              <w:pBdr/>
              <w:spacing/>
              <w:ind/>
              <w:rPr/>
            </w:pPr>
            <w:r>
              <w:t xml:space="preserve">Do not describe this as finished ActivityPub federation or mature public federation behavior.</w:t>
            </w:r>
            <w:r/>
          </w:p>
        </w:tc>
      </w:tr>
      <w:tr>
        <w:trPr/>
        <w:tc>
          <w:tcPr>
            <w:tcBorders/>
          </w:tcPr>
          <w:p>
            <w:pPr>
              <w:pStyle w:val="964"/>
              <w:pBdr/>
              <w:spacing/>
              <w:ind/>
              <w:rPr/>
            </w:pPr>
            <w:r>
              <w:t xml:space="preserve">Messaging/background work</w:t>
            </w:r>
            <w:r/>
          </w:p>
        </w:tc>
        <w:tc>
          <w:tcPr>
            <w:tcBorders/>
          </w:tcPr>
          <w:p>
            <w:pPr>
              <w:pStyle w:val="964"/>
              <w:pBdr/>
              <w:spacing/>
              <w:ind/>
              <w:rPr/>
            </w:pPr>
            <w:r>
              <w:t xml:space="preserve">Outbox and background-processing patterns; RabbitMQ/MQ infrastructure should be described only if its exact product role is verified</w:t>
            </w:r>
            <w:r/>
          </w:p>
        </w:tc>
        <w:tc>
          <w:tcPr>
            <w:tcBorders/>
          </w:tcPr>
          <w:p>
            <w:pPr>
              <w:pStyle w:val="964"/>
              <w:pBdr/>
              <w:spacing/>
              <w:ind/>
              <w:rPr/>
            </w:pPr>
            <w:r>
              <w:t xml:space="preserve">Supports reliable asynchronous work and eventual integration patterns</w:t>
            </w:r>
            <w:r/>
          </w:p>
        </w:tc>
        <w:tc>
          <w:tcPr>
            <w:tcBorders/>
          </w:tcPr>
          <w:p>
            <w:pPr>
              <w:pStyle w:val="964"/>
              <w:pBdr/>
              <w:spacing/>
              <w:ind/>
              <w:rPr/>
            </w:pPr>
            <w:r>
              <w:t xml:space="preserve">Do not call RabbitMQ a central Event product dependency without current role verification.</w:t>
            </w:r>
            <w:r/>
          </w:p>
        </w:tc>
      </w:tr>
      <w:tr>
        <w:trPr/>
        <w:tc>
          <w:tcPr>
            <w:tcBorders/>
          </w:tcPr>
          <w:p>
            <w:pPr>
              <w:pStyle w:val="964"/>
              <w:pBdr/>
              <w:spacing/>
              <w:ind/>
              <w:rPr/>
            </w:pPr>
            <w:r>
              <w:t xml:space="preserve">Search/discovery</w:t>
            </w:r>
            <w:r/>
          </w:p>
        </w:tc>
        <w:tc>
          <w:tcPr>
            <w:tcBorders/>
          </w:tcPr>
          <w:p>
            <w:pPr>
              <w:pStyle w:val="964"/>
              <w:pBdr/>
              <w:spacing/>
              <w:ind/>
              <w:rPr/>
            </w:pPr>
            <w:r>
              <w:t xml:space="preserve">Filters, categories, tags, date/location/language metadata, and repository-backed discovery features; no current implementation evidence confirms Meilisearch</w:t>
            </w:r>
            <w:r/>
          </w:p>
        </w:tc>
        <w:tc>
          <w:tcPr>
            <w:tcBorders/>
          </w:tcPr>
          <w:p>
            <w:pPr>
              <w:pStyle w:val="964"/>
              <w:pBdr/>
              <w:spacing/>
              <w:ind/>
              <w:rPr/>
            </w:pPr>
            <w:r>
              <w:t xml:space="preserve">Supports transparent discovery without claiming manipulative recommendations</w:t>
            </w:r>
            <w:r/>
          </w:p>
        </w:tc>
        <w:tc>
          <w:tcPr>
            <w:tcBorders/>
          </w:tcPr>
          <w:p>
            <w:pPr>
              <w:pStyle w:val="964"/>
              <w:pBdr/>
              <w:spacing/>
              <w:ind/>
              <w:rPr/>
            </w:pPr>
            <w:r>
              <w:t xml:space="preserve">Do not list Meilisearch as current stack unless new repository evidence confirms it.</w:t>
            </w:r>
            <w:r/>
          </w:p>
        </w:tc>
      </w:tr>
      <w:tr>
        <w:trPr/>
        <w:tc>
          <w:tcPr>
            <w:tcBorders/>
          </w:tcPr>
          <w:p>
            <w:pPr>
              <w:pStyle w:val="964"/>
              <w:pBdr/>
              <w:spacing/>
              <w:ind/>
              <w:rPr/>
            </w:pPr>
            <w:r>
              <w:t xml:space="preserve">Accessibility/localization</w:t>
            </w:r>
            <w:r/>
          </w:p>
        </w:tc>
        <w:tc>
          <w:tcPr>
            <w:tcBorders/>
          </w:tcPr>
          <w:p>
            <w:pPr>
              <w:pStyle w:val="964"/>
              <w:pBdr/>
              <w:spacing/>
              <w:ind/>
              <w:rPr/>
            </w:pPr>
            <w:r>
              <w:t xml:space="preserve">Accessibility-oriented component conventions, localization, and RTL/direction infrastructure</w:t>
            </w:r>
            <w:r/>
          </w:p>
        </w:tc>
        <w:tc>
          <w:tcPr>
            <w:tcBorders/>
          </w:tcPr>
          <w:p>
            <w:pPr>
              <w:pStyle w:val="964"/>
              <w:pBdr/>
              <w:spacing/>
              <w:ind/>
              <w:rPr/>
            </w:pPr>
            <w:r>
              <w:t xml:space="preserve">Supports Adl and Ihsan by designing for broader participation</w:t>
            </w:r>
            <w:r/>
          </w:p>
        </w:tc>
        <w:tc>
          <w:tcPr>
            <w:tcBorders/>
          </w:tcPr>
          <w:p>
            <w:pPr>
              <w:pStyle w:val="964"/>
              <w:pBdr/>
              <w:spacing/>
              <w:ind/>
              <w:rPr/>
            </w:pPr>
            <w:r>
              <w:t xml:space="preserve">Do not claim WCAG certification or complete accessibility compliance without audit evidence.</w:t>
            </w:r>
            <w:r/>
          </w:p>
        </w:tc>
      </w:tr>
      <w:tr>
        <w:trPr/>
        <w:tc>
          <w:tcPr>
            <w:tcBorders/>
          </w:tcPr>
          <w:p>
            <w:pPr>
              <w:pStyle w:val="964"/>
              <w:pBdr/>
              <w:spacing/>
              <w:ind/>
              <w:rPr/>
            </w:pPr>
            <w:r>
              <w:t xml:space="preserve">Future mobile/desktop clients</w:t>
            </w:r>
            <w:r/>
          </w:p>
        </w:tc>
        <w:tc>
          <w:tcPr>
            <w:tcBorders/>
          </w:tcPr>
          <w:p>
            <w:pPr>
              <w:pStyle w:val="964"/>
              <w:pBdr/>
              <w:spacing/>
              <w:ind/>
              <w:rPr/>
            </w:pPr>
            <w:r>
              <w:t xml:space="preserve">Candidate technologies may include KMP/Compose, Rust, or C# depending on platform needs</w:t>
            </w:r>
            <w:r/>
          </w:p>
        </w:tc>
        <w:tc>
          <w:tcPr>
            <w:tcBorders/>
          </w:tcPr>
          <w:p>
            <w:pPr>
              <w:pStyle w:val="964"/>
              <w:pBdr/>
              <w:spacing/>
              <w:ind/>
              <w:rPr/>
            </w:pPr>
            <w:r>
              <w:t xml:space="preserve">The I-VSD priority is not the framework choice but preserving instance choice, self-hosting usability, custom API URLs, switching, and transparent defaults</w:t>
            </w:r>
            <w:r/>
          </w:p>
        </w:tc>
        <w:tc>
          <w:tcPr>
            <w:tcBorders/>
          </w:tcPr>
          <w:p>
            <w:pPr>
              <w:pStyle w:val="964"/>
              <w:pBdr/>
              <w:spacing/>
              <w:ind/>
              <w:rPr/>
            </w:pPr>
            <w:r>
              <w:t xml:space="preserve">Future design direction; no claim that mobile or desktop clients are implemented.</w:t>
            </w:r>
            <w:r/>
          </w:p>
        </w:tc>
      </w:tr>
    </w:tbl>
    <w:p>
      <w:pPr>
        <w:pStyle w:val="962"/>
        <w:pBdr/>
        <w:spacing/>
        <w:ind/>
        <w:rPr/>
      </w:pPr>
      <w:r>
        <w:t xml:space="preserve">This evaluation matrix helps align technology decisions with I-VSD principles of transparency, user control, privacy, s</w:t>
      </w:r>
      <w:r>
        <w:t xml:space="preserve">tewardship, and avoidance of vendor dependency. Its claims are intentionally bounded: stack choices can support ethical design commitments, but they do not by themselves prove user trust, security success, accessibility success, or framework effectiveness.</w:t>
      </w:r>
      <w:r/>
    </w:p>
    <w:p>
      <w:pPr>
        <w:pStyle w:val="962"/>
        <w:pBdr/>
        <w:spacing/>
        <w:ind/>
        <w:rPr/>
      </w:pPr>
      <w:r>
        <w:rPr>
          <w:b/>
          <w:bCs/>
        </w:rPr>
        <w:t xml:space="preserve">Risk Notes for AI Agents, Infrastructure, and Vendor Comparison:</w:t>
      </w:r>
      <w:r/>
    </w:p>
    <w:tbl>
      <w:tblPr>
        <w:tblStyle w:val="996"/>
        <w:tblW w:w="5000" w:type="pct"/>
        <w:tblBorders/>
        <w:tblLayout w:type="fixed"/>
        <w:tblLook w:val="0020" w:firstRow="1" w:lastRow="0" w:firstColumn="0" w:lastColumn="0" w:noHBand="0" w:noVBand="0"/>
      </w:tblPr>
      <w:tblGrid>
        <w:gridCol w:w="2640"/>
        <w:gridCol w:w="2640"/>
        <w:gridCol w:w="2640"/>
      </w:tblGrid>
      <w:tr>
        <w:trPr>
          <w:tblHeader/>
        </w:trPr>
        <w:tc>
          <w:tcPr>
            <w:tcBorders/>
          </w:tcPr>
          <w:p>
            <w:pPr>
              <w:pStyle w:val="964"/>
              <w:pBdr/>
              <w:spacing/>
              <w:ind/>
              <w:rPr/>
            </w:pPr>
            <w:r>
              <w:t xml:space="preserve">Case / Note</w:t>
            </w:r>
            <w:r/>
          </w:p>
        </w:tc>
        <w:tc>
          <w:tcPr>
            <w:tcBorders/>
          </w:tcPr>
          <w:p>
            <w:pPr>
              <w:pStyle w:val="964"/>
              <w:pBdr/>
              <w:spacing/>
              <w:ind/>
              <w:rPr/>
            </w:pPr>
            <w:r>
              <w:t xml:space="preserve">Thesis Use</w:t>
            </w:r>
            <w:r/>
          </w:p>
        </w:tc>
        <w:tc>
          <w:tcPr>
            <w:tcBorders/>
          </w:tcPr>
          <w:p>
            <w:pPr>
              <w:pStyle w:val="964"/>
              <w:pBdr/>
              <w:spacing/>
              <w:ind/>
              <w:rPr/>
            </w:pPr>
            <w:r>
              <w:t xml:space="preserve">Caution</w:t>
            </w:r>
            <w:r/>
          </w:p>
        </w:tc>
      </w:tr>
      <w:tr>
        <w:trPr/>
        <w:tc>
          <w:tcPr>
            <w:tcBorders/>
          </w:tcPr>
          <w:p>
            <w:pPr>
              <w:pStyle w:val="964"/>
              <w:pBdr/>
              <w:spacing/>
              <w:ind/>
              <w:rPr/>
            </w:pPr>
            <w:r>
              <w:t xml:space="preserve">PocketOS / Railway incident</w:t>
            </w:r>
            <w:r/>
          </w:p>
        </w:tc>
        <w:tc>
          <w:tcPr>
            <w:tcBorders/>
          </w:tcPr>
          <w:p>
            <w:pPr>
              <w:pStyle w:val="964"/>
              <w:pBdr/>
              <w:spacing/>
              <w:ind/>
              <w:rPr/>
            </w:pPr>
            <w:r>
              <w:t xml:space="preserve">Infrastructure-risk reminder for AI agents, destructive APIs, backup design, and token scoping</w:t>
            </w:r>
            <w:r/>
          </w:p>
        </w:tc>
        <w:tc>
          <w:tcPr>
            <w:tcBorders/>
          </w:tcPr>
          <w:p>
            <w:pPr>
              <w:pStyle w:val="964"/>
              <w:pBdr/>
              <w:spacing/>
              <w:ind/>
              <w:rPr/>
            </w:pPr>
            <w:r>
              <w:t xml:space="preserve">Treat as a founder-reported and vendor-discussed incident; do not generalize beyond the documented case.</w:t>
            </w:r>
            <w:r/>
          </w:p>
        </w:tc>
      </w:tr>
      <w:tr>
        <w:trPr/>
        <w:tc>
          <w:tcPr>
            <w:tcBorders/>
          </w:tcPr>
          <w:p>
            <w:pPr>
              <w:pStyle w:val="964"/>
              <w:pBdr/>
              <w:spacing/>
              <w:ind/>
              <w:rPr/>
            </w:pPr>
            <w:r>
              <w:t xml:space="preserve">Mistral / OpenAI / Anthropic comparison</w:t>
            </w:r>
            <w:r/>
          </w:p>
        </w:tc>
        <w:tc>
          <w:tcPr>
            <w:tcBorders/>
          </w:tcPr>
          <w:p>
            <w:pPr>
              <w:pStyle w:val="964"/>
              <w:pBdr/>
              <w:spacing/>
              <w:ind/>
              <w:rPr/>
            </w:pPr>
            <w:r>
              <w:t xml:space="preserve">Vendor-comparison staging note about jurisdiction, data sovereignty, open-model positioning, and ethical tradeoffs</w:t>
            </w:r>
            <w:r/>
          </w:p>
        </w:tc>
        <w:tc>
          <w:tcPr>
            <w:tcBorders/>
          </w:tcPr>
          <w:p>
            <w:pPr>
              <w:pStyle w:val="964"/>
              <w:pBdr/>
              <w:spacing/>
              <w:ind/>
              <w:rPr/>
            </w:pPr>
            <w:r>
              <w:t xml:space="preserve">Use only with specific sourced claims; avoid broad claims that European location alone establishes ethical superiority.</w:t>
            </w:r>
            <w:r/>
          </w:p>
        </w:tc>
      </w:tr>
      <w:tr>
        <w:trPr/>
        <w:tc>
          <w:tcPr>
            <w:tcBorders/>
          </w:tcPr>
          <w:p>
            <w:pPr>
              <w:pStyle w:val="964"/>
              <w:pBdr/>
              <w:spacing/>
              <w:ind/>
              <w:rPr/>
            </w:pPr>
            <w:r>
              <w:t xml:space="preserve">Current ISLAMU infrastructure-provider choices</w:t>
            </w:r>
            <w:r/>
          </w:p>
        </w:tc>
        <w:tc>
          <w:tcPr>
            <w:tcBorders/>
          </w:tcPr>
          <w:p>
            <w:pPr>
              <w:pStyle w:val="964"/>
              <w:pBdr/>
              <w:spacing/>
              <w:ind/>
              <w:rPr/>
            </w:pPr>
            <w:r>
              <w:t xml:space="preserve">Possible future governance/design rationale around registrars, mail, VPS hosting, and server management</w:t>
            </w:r>
            <w:r/>
          </w:p>
        </w:tc>
        <w:tc>
          <w:tcPr>
            <w:tcBorders/>
          </w:tcPr>
          <w:p>
            <w:pPr>
              <w:pStyle w:val="964"/>
              <w:pBdr/>
              <w:spacing/>
              <w:ind/>
              <w:rPr/>
            </w:pPr>
            <w:r>
              <w:t xml:space="preserve">User-provided planning input unless independently sourced or explicitly labeled; do not treat provider choice as proof of ethical success.</w:t>
            </w:r>
            <w:r/>
          </w:p>
        </w:tc>
      </w:tr>
    </w:tbl>
    <w:p>
      <w:pPr>
        <w:pStyle w:val="962"/>
        <w:pBdr/>
        <w:spacing/>
        <w:ind/>
        <w:rPr/>
      </w:pPr>
      <w:r>
        <w:t xml:space="preserve">These notes are not final evaluative verdicts. They identify risk dimensions</w:t>
      </w:r>
      <w:r>
        <w:t xml:space="preserve"> that the stack-evaluation matrix should consider: jurisdiction, self-hostability, data sovereignty, destructive-operation safeguards, backup independence, token scope, incident transparency, and the distinction between legal compliance and moral adequacy.</w:t>
      </w:r>
      <w:r/>
    </w:p>
    <w:p>
      <w:pPr>
        <w:pBdr/>
        <w:spacing/>
        <w:ind/>
        <w:rPr/>
      </w:pPr>
      <w:r>
        <mc:AlternateContent>
          <mc:Choice Requires="wpg">
            <w:drawing>
              <wp:inline xmlns:wp="http://schemas.openxmlformats.org/drawingml/2006/wordprocessingDrawing" distT="0" distB="0" distL="0" distR="0">
                <wp:extent cx="0" cy="19050"/>
                <wp:effectExtent l="0" t="0" r="0" b="0"/>
                <wp:docPr id="19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3" o:spid="_x0000_s193" o:spt="1" type="#_x0000_t1" style="width:0.00pt;height:1.50pt;mso-wrap-distance-left:0.00pt;mso-wrap-distance-top:0.00pt;mso-wrap-distance-right:0.00pt;mso-wrap-distance-bottom:0.00pt;visibility:visible;" fillcolor="#FFFFFF" strokecolor="#000000"/>
            </w:pict>
          </mc:Fallback>
        </mc:AlternateContent>
      </w:r>
      <w:bookmarkEnd w:id="280"/>
      <w:bookmarkEnd w:id="281"/>
      <w:r/>
    </w:p>
    <w:p>
      <w:pPr>
        <w:pStyle w:val="975"/>
        <w:pBdr/>
        <w:spacing/>
        <w:ind/>
        <w:rPr/>
      </w:pPr>
      <w:r/>
      <w:bookmarkStart w:id="282" w:name="afterword-nawoord"/>
      <w:r>
        <w:t xml:space="preserve">Afterword (Nawoord)</w:t>
      </w:r>
      <w:r/>
    </w:p>
    <w:p>
      <w:pPr>
        <w:pStyle w:val="963"/>
        <w:pBdr/>
        <w:spacing/>
        <w:ind/>
        <w:rPr/>
      </w:pPr>
      <w:r>
        <w:t xml:space="preserve">TODO in the end of the thesis not now.</w:t>
      </w:r>
      <w:r/>
    </w:p>
    <w:p>
      <w:pPr>
        <w:pStyle w:val="962"/>
        <w:pBdr/>
        <w:spacing/>
        <w:ind/>
        <w:rPr/>
      </w:pPr>
      <w:r>
        <w:rPr>
          <w:b/>
          <w:bCs/>
        </w:rPr>
        <w:t xml:space="preserve">End of Thesis</w:t>
      </w:r>
      <w:r/>
    </w:p>
    <w:p>
      <w:pPr>
        <w:pBdr/>
        <w:spacing/>
        <w:ind/>
        <w:rPr/>
      </w:pPr>
      <w:r>
        <mc:AlternateContent>
          <mc:Choice Requires="wpg">
            <w:drawing>
              <wp:inline xmlns:wp="http://schemas.openxmlformats.org/drawingml/2006/wordprocessingDrawing" distT="0" distB="0" distL="0" distR="0">
                <wp:extent cx="0" cy="19050"/>
                <wp:effectExtent l="0" t="0" r="0" b="0"/>
                <wp:docPr id="19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94" o:spid="_x0000_s194" o:spt="1" type="#_x0000_t1" style="width:0.00pt;height:1.50pt;mso-wrap-distance-left:0.00pt;mso-wrap-distance-top:0.00pt;mso-wrap-distance-right:0.00pt;mso-wrap-distance-bottom:0.00pt;visibility:visible;" fillcolor="#FFFFFF" strokecolor="#000000"/>
            </w:pict>
          </mc:Fallback>
        </mc:AlternateContent>
      </w:r>
      <w:bookmarkEnd w:id="282"/>
      <w:bookmarkEnd w:id="283"/>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00A99415"/>
    <w:lvl w:ilvl="0">
      <w:isLgl w:val="false"/>
      <w:lvlJc w:val="left"/>
      <w:lvlText w:val="%1."/>
      <w:numFmt w:val="decimal"/>
      <w:pPr>
        <w:pBdr/>
        <w:spacing/>
        <w:ind w:hanging="360" w:left="720"/>
      </w:pPr>
      <w:rPr/>
      <w:start w:val="5"/>
      <w:suff w:val="tab"/>
    </w:lvl>
    <w:lvl w:ilvl="1">
      <w:isLgl w:val="false"/>
      <w:lvlJc w:val="left"/>
      <w:lvlText w:val="%2."/>
      <w:numFmt w:val="decimal"/>
      <w:pPr>
        <w:pBdr/>
        <w:spacing/>
        <w:ind w:hanging="360" w:left="1440"/>
      </w:pPr>
      <w:rPr/>
      <w:start w:val="5"/>
      <w:suff w:val="tab"/>
    </w:lvl>
    <w:lvl w:ilvl="2">
      <w:isLgl w:val="false"/>
      <w:lvlJc w:val="left"/>
      <w:lvlText w:val="%3."/>
      <w:numFmt w:val="decimal"/>
      <w:pPr>
        <w:pBdr/>
        <w:spacing/>
        <w:ind w:hanging="360" w:left="2160"/>
      </w:pPr>
      <w:rPr/>
      <w:start w:val="5"/>
      <w:suff w:val="tab"/>
    </w:lvl>
    <w:lvl w:ilvl="3">
      <w:isLgl w:val="false"/>
      <w:lvlJc w:val="left"/>
      <w:lvlText w:val="%4."/>
      <w:numFmt w:val="decimal"/>
      <w:pPr>
        <w:pBdr/>
        <w:spacing/>
        <w:ind w:hanging="360" w:left="2880"/>
      </w:pPr>
      <w:rPr/>
      <w:start w:val="5"/>
      <w:suff w:val="tab"/>
    </w:lvl>
    <w:lvl w:ilvl="4">
      <w:isLgl w:val="false"/>
      <w:lvlJc w:val="left"/>
      <w:lvlText w:val="%5."/>
      <w:numFmt w:val="decimal"/>
      <w:pPr>
        <w:pBdr/>
        <w:spacing/>
        <w:ind w:hanging="360" w:left="3600"/>
      </w:pPr>
      <w:rPr/>
      <w:start w:val="5"/>
      <w:suff w:val="tab"/>
    </w:lvl>
    <w:lvl w:ilvl="5">
      <w:isLgl w:val="false"/>
      <w:lvlJc w:val="left"/>
      <w:lvlText w:val="%6."/>
      <w:numFmt w:val="decimal"/>
      <w:pPr>
        <w:pBdr/>
        <w:spacing/>
        <w:ind w:hanging="360" w:left="4320"/>
      </w:pPr>
      <w:rPr/>
      <w:start w:val="5"/>
      <w:suff w:val="tab"/>
    </w:lvl>
    <w:lvl w:ilvl="6">
      <w:isLgl w:val="false"/>
      <w:lvlJc w:val="left"/>
      <w:lvlText w:val="%7."/>
      <w:numFmt w:val="decimal"/>
      <w:pPr>
        <w:pBdr/>
        <w:spacing/>
        <w:ind w:hanging="360" w:left="5040"/>
      </w:pPr>
      <w:rPr/>
      <w:start w:val="5"/>
      <w:suff w:val="tab"/>
    </w:lvl>
    <w:lvl w:ilvl="7">
      <w:isLgl w:val="false"/>
      <w:lvlJc w:val="left"/>
      <w:lvlText w:val="%8."/>
      <w:numFmt w:val="decimal"/>
      <w:pPr>
        <w:pBdr/>
        <w:spacing/>
        <w:ind w:hanging="360" w:left="5760"/>
      </w:pPr>
      <w:rPr/>
      <w:start w:val="5"/>
      <w:suff w:val="tab"/>
    </w:lvl>
    <w:lvl w:ilvl="8">
      <w:isLgl w:val="false"/>
      <w:lvlJc w:val="left"/>
      <w:lvlText w:val="%9."/>
      <w:numFmt w:val="decimal"/>
      <w:pPr>
        <w:pBdr/>
        <w:spacing/>
        <w:ind w:hanging="360" w:left="6480"/>
      </w:pPr>
      <w:rPr/>
      <w:start w:val="5"/>
      <w:suff w:val="tab"/>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
  </w:num>
  <w:num w:numId="29">
    <w:abstractNumId w:val="1"/>
  </w:num>
  <w:num w:numId="30">
    <w:abstractNumId w:val="1"/>
  </w:num>
  <w:num w:numId="31">
    <w:abstractNumId w:val="1"/>
  </w:num>
  <w:num w:numId="32">
    <w:abstractNumId w:val="1"/>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num>
  <w:num w:numId="102">
    <w:abstractNumId w:val="1"/>
  </w:num>
  <w:num w:numId="103">
    <w:abstractNumId w:val="1"/>
  </w:num>
  <w:num w:numId="104">
    <w:abstractNumId w:val="1"/>
  </w:num>
  <w:num w:numId="105">
    <w:abstractNumId w:val="1"/>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num>
  <w:num w:numId="117">
    <w:abstractNumId w:val="1"/>
  </w:num>
  <w:num w:numId="118">
    <w:abstractNumId w:val="1"/>
  </w:num>
  <w:num w:numId="119">
    <w:abstractNumId w:val="1"/>
  </w:num>
  <w:num w:numId="120">
    <w:abstractNumId w:val="1"/>
  </w:num>
  <w:num w:numId="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
  </w:num>
  <w:num w:numId="133">
    <w:abstractNumId w:val="1"/>
  </w:num>
  <w:num w:numId="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num>
  <w:num w:numId="160">
    <w:abstractNumId w:val="1"/>
  </w:num>
  <w:num w:numId="161">
    <w:abstractNumId w:val="1"/>
  </w:num>
  <w:num w:numId="162">
    <w:abstractNumId w:val="1"/>
  </w:num>
  <w:num w:numId="163">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4">
    <w:abstractNumId w:val="1"/>
  </w:num>
  <w:num w:numId="165">
    <w:abstractNumId w:val="1"/>
  </w:num>
  <w:num w:numId="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num>
  <w:num w:numId="168">
    <w:abstractNumId w:val="1"/>
  </w:num>
  <w:num w:numId="169">
    <w:abstractNumId w:val="1"/>
  </w:num>
  <w:num w:numId="170">
    <w:abstractNumId w:val="1"/>
  </w:num>
  <w:num w:numId="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1"/>
  </w:num>
  <w:num w:numId="205">
    <w:abstractNumId w:val="1"/>
  </w:num>
  <w:num w:numId="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
  </w:num>
  <w:num w:numId="208">
    <w:abstractNumId w:val="1"/>
  </w:num>
  <w:num w:numId="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
  </w:num>
  <w:num w:numId="211">
    <w:abstractNumId w:val="1"/>
  </w:num>
  <w:num w:numId="212">
    <w:abstractNumId w:val="1"/>
  </w:num>
  <w:num w:numId="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
  </w:num>
  <w:num w:numId="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1"/>
  </w:num>
  <w:num w:numId="272">
    <w:abstractNumId w:val="1"/>
  </w:num>
  <w:num w:numId="273">
    <w:abstractNumId w:val="1"/>
  </w:num>
  <w:num w:numId="274">
    <w:abstractNumId w:val="1"/>
  </w:num>
  <w:num w:numId="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961"/>
    <w:next w:val="961"/>
    <w:link w:val="164"/>
    <w:uiPriority w:val="29"/>
    <w:qFormat/>
    <w:pPr>
      <w:pBdr/>
      <w:spacing w:before="160"/>
      <w:ind/>
      <w:jc w:val="center"/>
    </w:pPr>
    <w:rPr>
      <w:i/>
      <w:iCs/>
      <w:color w:val="404040" w:themeColor="text1" w:themeTint="BF"/>
    </w:rPr>
  </w:style>
  <w:style w:type="character" w:styleId="164">
    <w:name w:val="Quote Char"/>
    <w:basedOn w:val="995"/>
    <w:link w:val="163"/>
    <w:uiPriority w:val="29"/>
    <w:pPr>
      <w:pBdr/>
      <w:spacing/>
      <w:ind/>
    </w:pPr>
    <w:rPr>
      <w:i/>
      <w:iCs/>
      <w:color w:val="404040" w:themeColor="text1" w:themeTint="BF"/>
    </w:rPr>
  </w:style>
  <w:style w:type="paragraph" w:styleId="165">
    <w:name w:val="List Paragraph"/>
    <w:basedOn w:val="961"/>
    <w:uiPriority w:val="34"/>
    <w:qFormat/>
    <w:pPr>
      <w:pBdr/>
      <w:spacing/>
      <w:ind w:left="720"/>
      <w:contextualSpacing w:val="true"/>
    </w:pPr>
  </w:style>
  <w:style w:type="character" w:styleId="166">
    <w:name w:val="Intense Emphasis"/>
    <w:basedOn w:val="995"/>
    <w:uiPriority w:val="21"/>
    <w:qFormat/>
    <w:pPr>
      <w:pBdr/>
      <w:spacing/>
      <w:ind/>
    </w:pPr>
    <w:rPr>
      <w:i/>
      <w:iCs/>
      <w:color w:val="0f4761" w:themeColor="accent1" w:themeShade="BF"/>
    </w:rPr>
  </w:style>
  <w:style w:type="paragraph" w:styleId="167">
    <w:name w:val="Intense Quote"/>
    <w:basedOn w:val="961"/>
    <w:next w:val="96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95"/>
    <w:link w:val="167"/>
    <w:uiPriority w:val="30"/>
    <w:pPr>
      <w:pBdr/>
      <w:spacing/>
      <w:ind/>
    </w:pPr>
    <w:rPr>
      <w:i/>
      <w:iCs/>
      <w:color w:val="0f4761" w:themeColor="accent1" w:themeShade="BF"/>
    </w:rPr>
  </w:style>
  <w:style w:type="character" w:styleId="169">
    <w:name w:val="Intense Reference"/>
    <w:basedOn w:val="995"/>
    <w:uiPriority w:val="32"/>
    <w:qFormat/>
    <w:pPr>
      <w:pBdr/>
      <w:spacing/>
      <w:ind/>
    </w:pPr>
    <w:rPr>
      <w:b/>
      <w:bCs/>
      <w:smallCaps/>
      <w:color w:val="0f4761" w:themeColor="accent1" w:themeShade="BF"/>
      <w:spacing w:val="5"/>
    </w:rPr>
  </w:style>
  <w:style w:type="paragraph" w:styleId="170">
    <w:name w:val="No Spacing"/>
    <w:basedOn w:val="961"/>
    <w:uiPriority w:val="1"/>
    <w:qFormat/>
    <w:pPr>
      <w:pBdr/>
      <w:spacing w:after="0" w:line="240" w:lineRule="auto"/>
      <w:ind/>
    </w:pPr>
  </w:style>
  <w:style w:type="character" w:styleId="171">
    <w:name w:val="Subtle Emphasis"/>
    <w:basedOn w:val="995"/>
    <w:uiPriority w:val="19"/>
    <w:qFormat/>
    <w:pPr>
      <w:pBdr/>
      <w:spacing/>
      <w:ind/>
    </w:pPr>
    <w:rPr>
      <w:i/>
      <w:iCs/>
      <w:color w:val="404040" w:themeColor="text1" w:themeTint="BF"/>
    </w:rPr>
  </w:style>
  <w:style w:type="character" w:styleId="172">
    <w:name w:val="Emphasis"/>
    <w:basedOn w:val="995"/>
    <w:uiPriority w:val="20"/>
    <w:qFormat/>
    <w:pPr>
      <w:pBdr/>
      <w:spacing/>
      <w:ind/>
    </w:pPr>
    <w:rPr>
      <w:i/>
      <w:iCs/>
    </w:rPr>
  </w:style>
  <w:style w:type="character" w:styleId="173">
    <w:name w:val="Strong"/>
    <w:basedOn w:val="995"/>
    <w:uiPriority w:val="22"/>
    <w:qFormat/>
    <w:pPr>
      <w:pBdr/>
      <w:spacing/>
      <w:ind/>
    </w:pPr>
    <w:rPr>
      <w:b/>
      <w:bCs/>
    </w:rPr>
  </w:style>
  <w:style w:type="character" w:styleId="174">
    <w:name w:val="Subtle Reference"/>
    <w:basedOn w:val="995"/>
    <w:uiPriority w:val="31"/>
    <w:qFormat/>
    <w:pPr>
      <w:pBdr/>
      <w:spacing/>
      <w:ind/>
    </w:pPr>
    <w:rPr>
      <w:smallCaps/>
      <w:color w:val="5a5a5a" w:themeColor="text1" w:themeTint="A5"/>
    </w:rPr>
  </w:style>
  <w:style w:type="character" w:styleId="175">
    <w:name w:val="Book Title"/>
    <w:basedOn w:val="995"/>
    <w:uiPriority w:val="33"/>
    <w:qFormat/>
    <w:pPr>
      <w:pBdr/>
      <w:spacing/>
      <w:ind/>
    </w:pPr>
    <w:rPr>
      <w:b/>
      <w:bCs/>
      <w:i/>
      <w:iCs/>
      <w:spacing w:val="5"/>
    </w:rPr>
  </w:style>
  <w:style w:type="paragraph" w:styleId="176">
    <w:name w:val="Header"/>
    <w:basedOn w:val="961"/>
    <w:link w:val="177"/>
    <w:uiPriority w:val="99"/>
    <w:unhideWhenUsed/>
    <w:pPr>
      <w:pBdr/>
      <w:tabs>
        <w:tab w:val="center" w:leader="none" w:pos="4844"/>
        <w:tab w:val="right" w:leader="none" w:pos="9689"/>
      </w:tabs>
      <w:spacing w:after="0" w:line="240" w:lineRule="auto"/>
      <w:ind/>
    </w:pPr>
  </w:style>
  <w:style w:type="character" w:styleId="177">
    <w:name w:val="Header Char"/>
    <w:basedOn w:val="995"/>
    <w:link w:val="176"/>
    <w:uiPriority w:val="99"/>
    <w:pPr>
      <w:pBdr/>
      <w:spacing/>
      <w:ind/>
    </w:pPr>
  </w:style>
  <w:style w:type="paragraph" w:styleId="178">
    <w:name w:val="Footer"/>
    <w:basedOn w:val="961"/>
    <w:link w:val="179"/>
    <w:uiPriority w:val="99"/>
    <w:unhideWhenUsed/>
    <w:pPr>
      <w:pBdr/>
      <w:tabs>
        <w:tab w:val="center" w:leader="none" w:pos="4844"/>
        <w:tab w:val="right" w:leader="none" w:pos="9689"/>
      </w:tabs>
      <w:spacing w:after="0" w:line="240" w:lineRule="auto"/>
      <w:ind/>
    </w:pPr>
  </w:style>
  <w:style w:type="character" w:styleId="179">
    <w:name w:val="Footer Char"/>
    <w:basedOn w:val="995"/>
    <w:link w:val="178"/>
    <w:uiPriority w:val="99"/>
    <w:pPr>
      <w:pBdr/>
      <w:spacing/>
      <w:ind/>
    </w:pPr>
  </w:style>
  <w:style w:type="character" w:styleId="182">
    <w:name w:val="Footnote Text Char"/>
    <w:basedOn w:val="995"/>
    <w:link w:val="993"/>
    <w:uiPriority w:val="99"/>
    <w:semiHidden/>
    <w:pPr>
      <w:pBdr/>
      <w:spacing/>
      <w:ind/>
    </w:pPr>
    <w:rPr>
      <w:sz w:val="20"/>
      <w:szCs w:val="20"/>
    </w:rPr>
  </w:style>
  <w:style w:type="paragraph" w:styleId="184">
    <w:name w:val="endnote text"/>
    <w:basedOn w:val="961"/>
    <w:link w:val="185"/>
    <w:uiPriority w:val="99"/>
    <w:semiHidden/>
    <w:unhideWhenUsed/>
    <w:pPr>
      <w:pBdr/>
      <w:spacing w:after="0" w:line="240" w:lineRule="auto"/>
      <w:ind/>
    </w:pPr>
    <w:rPr>
      <w:sz w:val="20"/>
      <w:szCs w:val="20"/>
    </w:rPr>
  </w:style>
  <w:style w:type="character" w:styleId="185">
    <w:name w:val="Endnote Text Char"/>
    <w:basedOn w:val="995"/>
    <w:link w:val="184"/>
    <w:uiPriority w:val="99"/>
    <w:semiHidden/>
    <w:pPr>
      <w:pBdr/>
      <w:spacing/>
      <w:ind/>
    </w:pPr>
    <w:rPr>
      <w:sz w:val="20"/>
      <w:szCs w:val="20"/>
    </w:rPr>
  </w:style>
  <w:style w:type="character" w:styleId="186">
    <w:name w:val="endnote reference"/>
    <w:basedOn w:val="995"/>
    <w:uiPriority w:val="99"/>
    <w:semiHidden/>
    <w:unhideWhenUsed/>
    <w:pPr>
      <w:pBdr/>
      <w:spacing/>
      <w:ind/>
    </w:pPr>
    <w:rPr>
      <w:vertAlign w:val="superscript"/>
    </w:rPr>
  </w:style>
  <w:style w:type="character" w:styleId="188">
    <w:name w:val="FollowedHyperlink"/>
    <w:basedOn w:val="995"/>
    <w:uiPriority w:val="99"/>
    <w:semiHidden/>
    <w:unhideWhenUsed/>
    <w:pPr>
      <w:pBdr/>
      <w:spacing/>
      <w:ind/>
    </w:pPr>
    <w:rPr>
      <w:color w:val="954f72" w:themeColor="followedHyperlink"/>
      <w:u w:val="single"/>
    </w:rPr>
  </w:style>
  <w:style w:type="paragraph" w:styleId="189">
    <w:name w:val="toc 1"/>
    <w:basedOn w:val="961"/>
    <w:next w:val="961"/>
    <w:uiPriority w:val="39"/>
    <w:unhideWhenUsed/>
    <w:pPr>
      <w:pBdr/>
      <w:spacing w:after="100"/>
      <w:ind/>
    </w:pPr>
  </w:style>
  <w:style w:type="paragraph" w:styleId="190">
    <w:name w:val="toc 2"/>
    <w:basedOn w:val="961"/>
    <w:next w:val="961"/>
    <w:uiPriority w:val="39"/>
    <w:unhideWhenUsed/>
    <w:pPr>
      <w:pBdr/>
      <w:spacing w:after="100"/>
      <w:ind w:left="220"/>
    </w:pPr>
  </w:style>
  <w:style w:type="paragraph" w:styleId="191">
    <w:name w:val="toc 3"/>
    <w:basedOn w:val="961"/>
    <w:next w:val="961"/>
    <w:uiPriority w:val="39"/>
    <w:unhideWhenUsed/>
    <w:pPr>
      <w:pBdr/>
      <w:spacing w:after="100"/>
      <w:ind w:left="440"/>
    </w:pPr>
  </w:style>
  <w:style w:type="paragraph" w:styleId="192">
    <w:name w:val="toc 4"/>
    <w:basedOn w:val="961"/>
    <w:next w:val="961"/>
    <w:uiPriority w:val="39"/>
    <w:unhideWhenUsed/>
    <w:pPr>
      <w:pBdr/>
      <w:spacing w:after="100"/>
      <w:ind w:left="660"/>
    </w:pPr>
  </w:style>
  <w:style w:type="paragraph" w:styleId="193">
    <w:name w:val="toc 5"/>
    <w:basedOn w:val="961"/>
    <w:next w:val="961"/>
    <w:uiPriority w:val="39"/>
    <w:unhideWhenUsed/>
    <w:pPr>
      <w:pBdr/>
      <w:spacing w:after="100"/>
      <w:ind w:left="880"/>
    </w:pPr>
  </w:style>
  <w:style w:type="paragraph" w:styleId="194">
    <w:name w:val="toc 6"/>
    <w:basedOn w:val="961"/>
    <w:next w:val="961"/>
    <w:uiPriority w:val="39"/>
    <w:unhideWhenUsed/>
    <w:pPr>
      <w:pBdr/>
      <w:spacing w:after="100"/>
      <w:ind w:left="1100"/>
    </w:pPr>
  </w:style>
  <w:style w:type="paragraph" w:styleId="195">
    <w:name w:val="toc 7"/>
    <w:basedOn w:val="961"/>
    <w:next w:val="961"/>
    <w:uiPriority w:val="39"/>
    <w:unhideWhenUsed/>
    <w:pPr>
      <w:pBdr/>
      <w:spacing w:after="100"/>
      <w:ind w:left="1320"/>
    </w:pPr>
  </w:style>
  <w:style w:type="paragraph" w:styleId="196">
    <w:name w:val="toc 8"/>
    <w:basedOn w:val="961"/>
    <w:next w:val="961"/>
    <w:uiPriority w:val="39"/>
    <w:unhideWhenUsed/>
    <w:pPr>
      <w:pBdr/>
      <w:spacing w:after="100"/>
      <w:ind w:left="1540"/>
    </w:pPr>
  </w:style>
  <w:style w:type="paragraph" w:styleId="197">
    <w:name w:val="toc 9"/>
    <w:basedOn w:val="961"/>
    <w:next w:val="961"/>
    <w:uiPriority w:val="39"/>
    <w:unhideWhenUsed/>
    <w:pPr>
      <w:pBdr/>
      <w:spacing w:after="100"/>
      <w:ind w:left="1760"/>
    </w:pPr>
  </w:style>
  <w:style w:type="character" w:styleId="198">
    <w:name w:val="Placeholder Text"/>
    <w:basedOn w:val="995"/>
    <w:uiPriority w:val="99"/>
    <w:semiHidden/>
    <w:pPr>
      <w:pBdr/>
      <w:spacing/>
      <w:ind/>
    </w:pPr>
    <w:rPr>
      <w:color w:val="666666"/>
    </w:rPr>
  </w:style>
  <w:style w:type="paragraph" w:styleId="209">
    <w:name w:val="table of figures"/>
    <w:basedOn w:val="961"/>
    <w:next w:val="961"/>
    <w:uiPriority w:val="99"/>
    <w:unhideWhenUsed/>
    <w:pPr>
      <w:pBdr/>
      <w:spacing w:after="0" w:afterAutospacing="0"/>
      <w:ind/>
    </w:pPr>
  </w:style>
  <w:style w:type="paragraph" w:styleId="961" w:default="1">
    <w:name w:val="Normal"/>
    <w:qFormat/>
    <w:pPr>
      <w:pBdr/>
      <w:spacing/>
      <w:ind/>
    </w:pPr>
  </w:style>
  <w:style w:type="paragraph" w:styleId="962">
    <w:name w:val="Body Text"/>
    <w:basedOn w:val="961"/>
    <w:link w:val="1004"/>
    <w:qFormat/>
    <w:pPr>
      <w:pBdr/>
      <w:spacing w:after="180" w:before="180"/>
      <w:ind/>
    </w:pPr>
  </w:style>
  <w:style w:type="paragraph" w:styleId="963" w:customStyle="1">
    <w:name w:val="First Paragraph"/>
    <w:basedOn w:val="962"/>
    <w:next w:val="962"/>
    <w:qFormat/>
    <w:pPr>
      <w:pBdr/>
      <w:spacing/>
      <w:ind/>
    </w:pPr>
  </w:style>
  <w:style w:type="paragraph" w:styleId="964" w:customStyle="1">
    <w:name w:val="Compact"/>
    <w:basedOn w:val="962"/>
    <w:qFormat/>
    <w:pPr>
      <w:pBdr/>
      <w:spacing w:after="36" w:before="36"/>
      <w:ind/>
    </w:pPr>
  </w:style>
  <w:style w:type="paragraph" w:styleId="965">
    <w:name w:val="Title"/>
    <w:basedOn w:val="961"/>
    <w:next w:val="962"/>
    <w:link w:val="966"/>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966" w:customStyle="1">
    <w:name w:val="Title Char"/>
    <w:basedOn w:val="995"/>
    <w:link w:val="965"/>
    <w:uiPriority w:val="10"/>
    <w:pPr>
      <w:pBdr/>
      <w:spacing/>
      <w:ind/>
    </w:pPr>
    <w:rPr>
      <w:rFonts w:asciiTheme="majorHAnsi" w:hAnsiTheme="majorHAnsi" w:eastAsiaTheme="majorEastAsia" w:cstheme="majorBidi"/>
      <w:sz w:val="56"/>
      <w:szCs w:val="56"/>
    </w:rPr>
  </w:style>
  <w:style w:type="paragraph" w:styleId="967">
    <w:name w:val="Subtitle"/>
    <w:basedOn w:val="965"/>
    <w:next w:val="962"/>
    <w:link w:val="968"/>
    <w:uiPriority w:val="11"/>
    <w:qFormat/>
    <w:pPr>
      <w:numPr>
        <w:ilvl w:val="1"/>
      </w:numPr>
      <w:pBdr/>
      <w:spacing/>
      <w:ind/>
    </w:pPr>
    <w:rPr>
      <w:rFonts w:eastAsiaTheme="majorEastAsia" w:cstheme="majorBidi"/>
      <w:spacing w:val="15"/>
      <w:sz w:val="28"/>
      <w:szCs w:val="28"/>
    </w:rPr>
  </w:style>
  <w:style w:type="character" w:styleId="968" w:customStyle="1">
    <w:name w:val="Subtitle Char"/>
    <w:basedOn w:val="995"/>
    <w:link w:val="967"/>
    <w:uiPriority w:val="11"/>
    <w:pPr>
      <w:pBdr/>
      <w:spacing/>
      <w:ind/>
    </w:pPr>
    <w:rPr>
      <w:rFonts w:eastAsiaTheme="majorEastAsia" w:cstheme="majorBidi"/>
      <w:color w:val="595959" w:themeColor="text1" w:themeTint="A6"/>
      <w:spacing w:val="15"/>
      <w:sz w:val="28"/>
      <w:szCs w:val="28"/>
    </w:rPr>
  </w:style>
  <w:style w:type="paragraph" w:styleId="969" w:customStyle="1">
    <w:name w:val="Author"/>
    <w:basedOn w:val="965"/>
    <w:next w:val="962"/>
    <w:qFormat/>
    <w:pPr>
      <w:keepNext w:val="true"/>
      <w:keepLines w:val="true"/>
      <w:pBdr/>
      <w:spacing/>
      <w:ind/>
    </w:pPr>
    <w:rPr>
      <w:sz w:val="24"/>
      <w:szCs w:val="24"/>
    </w:rPr>
  </w:style>
  <w:style w:type="paragraph" w:styleId="970">
    <w:name w:val="Date"/>
    <w:basedOn w:val="965"/>
    <w:next w:val="962"/>
    <w:qFormat/>
    <w:pPr>
      <w:keepNext w:val="true"/>
      <w:keepLines w:val="true"/>
      <w:pBdr/>
      <w:spacing/>
      <w:ind/>
    </w:pPr>
    <w:rPr>
      <w:sz w:val="24"/>
      <w:szCs w:val="24"/>
    </w:rPr>
  </w:style>
  <w:style w:type="paragraph" w:styleId="971" w:customStyle="1">
    <w:name w:val="Abstract Title"/>
    <w:basedOn w:val="961"/>
    <w:next w:val="972"/>
    <w:qFormat/>
    <w:pPr>
      <w:keepNext w:val="true"/>
      <w:keepLines w:val="true"/>
      <w:pBdr/>
      <w:spacing w:after="0" w:before="300"/>
      <w:ind/>
      <w:jc w:val="center"/>
    </w:pPr>
    <w:rPr>
      <w:b/>
      <w:sz w:val="20"/>
      <w:szCs w:val="20"/>
    </w:rPr>
  </w:style>
  <w:style w:type="paragraph" w:styleId="972" w:customStyle="1">
    <w:name w:val="Abstract"/>
    <w:basedOn w:val="961"/>
    <w:next w:val="962"/>
    <w:qFormat/>
    <w:pPr>
      <w:keepNext w:val="true"/>
      <w:keepLines w:val="true"/>
      <w:pBdr/>
      <w:spacing w:after="300" w:before="100"/>
      <w:ind/>
    </w:pPr>
    <w:rPr>
      <w:sz w:val="20"/>
      <w:szCs w:val="20"/>
    </w:rPr>
  </w:style>
  <w:style w:type="paragraph" w:styleId="973">
    <w:name w:val="Bibliography"/>
    <w:basedOn w:val="961"/>
    <w:next w:val="973"/>
    <w:qFormat/>
    <w:pPr>
      <w:pBdr/>
      <w:spacing/>
      <w:ind/>
    </w:pPr>
  </w:style>
  <w:style w:type="paragraph" w:styleId="974">
    <w:name w:val="Heading 1"/>
    <w:basedOn w:val="961"/>
    <w:next w:val="962"/>
    <w:link w:val="98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75">
    <w:name w:val="Heading 2"/>
    <w:basedOn w:val="961"/>
    <w:next w:val="962"/>
    <w:link w:val="98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76">
    <w:name w:val="Heading 3"/>
    <w:basedOn w:val="961"/>
    <w:next w:val="962"/>
    <w:link w:val="98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77">
    <w:name w:val="Heading 4"/>
    <w:basedOn w:val="961"/>
    <w:next w:val="962"/>
    <w:link w:val="98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78">
    <w:name w:val="Heading 5"/>
    <w:basedOn w:val="961"/>
    <w:next w:val="962"/>
    <w:link w:val="98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79">
    <w:name w:val="Heading 6"/>
    <w:basedOn w:val="961"/>
    <w:next w:val="962"/>
    <w:link w:val="98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80">
    <w:name w:val="Heading 7"/>
    <w:basedOn w:val="961"/>
    <w:next w:val="962"/>
    <w:link w:val="98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81">
    <w:name w:val="Heading 8"/>
    <w:basedOn w:val="961"/>
    <w:next w:val="962"/>
    <w:link w:val="99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82">
    <w:name w:val="Heading 9"/>
    <w:basedOn w:val="961"/>
    <w:next w:val="962"/>
    <w:link w:val="99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83" w:customStyle="1">
    <w:name w:val="Heading 1 Char"/>
    <w:basedOn w:val="995"/>
    <w:link w:val="974"/>
    <w:uiPriority w:val="9"/>
    <w:pPr>
      <w:pBdr/>
      <w:spacing/>
      <w:ind/>
    </w:pPr>
    <w:rPr>
      <w:rFonts w:asciiTheme="majorHAnsi" w:hAnsiTheme="majorHAnsi" w:eastAsiaTheme="majorEastAsia" w:cstheme="majorBidi"/>
      <w:color w:val="0f4761" w:themeColor="accent1" w:themeShade="BF"/>
      <w:sz w:val="40"/>
      <w:szCs w:val="40"/>
    </w:rPr>
  </w:style>
  <w:style w:type="character" w:styleId="984" w:customStyle="1">
    <w:name w:val="Heading 2 Char"/>
    <w:basedOn w:val="995"/>
    <w:link w:val="97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85" w:customStyle="1">
    <w:name w:val="Heading 3 Char"/>
    <w:basedOn w:val="995"/>
    <w:link w:val="976"/>
    <w:uiPriority w:val="9"/>
    <w:semiHidden/>
    <w:pPr>
      <w:pBdr/>
      <w:spacing/>
      <w:ind/>
    </w:pPr>
    <w:rPr>
      <w:rFonts w:eastAsiaTheme="majorEastAsia" w:cstheme="majorBidi"/>
      <w:color w:val="0f4761" w:themeColor="accent1" w:themeShade="BF"/>
      <w:sz w:val="28"/>
      <w:szCs w:val="28"/>
    </w:rPr>
  </w:style>
  <w:style w:type="character" w:styleId="986" w:customStyle="1">
    <w:name w:val="Heading 4 Char"/>
    <w:basedOn w:val="995"/>
    <w:link w:val="977"/>
    <w:uiPriority w:val="9"/>
    <w:semiHidden/>
    <w:pPr>
      <w:pBdr/>
      <w:spacing/>
      <w:ind/>
    </w:pPr>
    <w:rPr>
      <w:rFonts w:eastAsiaTheme="majorEastAsia" w:cstheme="majorBidi"/>
      <w:i/>
      <w:iCs/>
      <w:color w:val="0f4761" w:themeColor="accent1" w:themeShade="BF"/>
    </w:rPr>
  </w:style>
  <w:style w:type="character" w:styleId="987" w:customStyle="1">
    <w:name w:val="Heading 5 Char"/>
    <w:basedOn w:val="995"/>
    <w:link w:val="978"/>
    <w:uiPriority w:val="9"/>
    <w:semiHidden/>
    <w:pPr>
      <w:pBdr/>
      <w:spacing/>
      <w:ind/>
    </w:pPr>
    <w:rPr>
      <w:rFonts w:eastAsiaTheme="majorEastAsia" w:cstheme="majorBidi"/>
      <w:color w:val="0f4761" w:themeColor="accent1" w:themeShade="BF"/>
    </w:rPr>
  </w:style>
  <w:style w:type="character" w:styleId="988" w:customStyle="1">
    <w:name w:val="Heading 6 Char"/>
    <w:basedOn w:val="995"/>
    <w:link w:val="979"/>
    <w:uiPriority w:val="9"/>
    <w:semiHidden/>
    <w:pPr>
      <w:pBdr/>
      <w:spacing/>
      <w:ind/>
    </w:pPr>
    <w:rPr>
      <w:rFonts w:eastAsiaTheme="majorEastAsia" w:cstheme="majorBidi"/>
      <w:i/>
      <w:iCs/>
      <w:color w:val="595959" w:themeColor="text1" w:themeTint="A6"/>
    </w:rPr>
  </w:style>
  <w:style w:type="character" w:styleId="989" w:customStyle="1">
    <w:name w:val="Heading 7 Char"/>
    <w:basedOn w:val="995"/>
    <w:link w:val="980"/>
    <w:uiPriority w:val="9"/>
    <w:semiHidden/>
    <w:pPr>
      <w:pBdr/>
      <w:spacing/>
      <w:ind/>
    </w:pPr>
    <w:rPr>
      <w:rFonts w:eastAsiaTheme="majorEastAsia" w:cstheme="majorBidi"/>
      <w:color w:val="595959" w:themeColor="text1" w:themeTint="A6"/>
    </w:rPr>
  </w:style>
  <w:style w:type="character" w:styleId="990" w:customStyle="1">
    <w:name w:val="Heading 8 Char"/>
    <w:basedOn w:val="995"/>
    <w:link w:val="981"/>
    <w:uiPriority w:val="9"/>
    <w:semiHidden/>
    <w:pPr>
      <w:pBdr/>
      <w:spacing/>
      <w:ind/>
    </w:pPr>
    <w:rPr>
      <w:rFonts w:eastAsiaTheme="majorEastAsia" w:cstheme="majorBidi"/>
      <w:i/>
      <w:iCs/>
      <w:color w:val="272727" w:themeColor="text1" w:themeTint="D8"/>
    </w:rPr>
  </w:style>
  <w:style w:type="character" w:styleId="991" w:customStyle="1">
    <w:name w:val="Heading 9 Char"/>
    <w:basedOn w:val="995"/>
    <w:link w:val="982"/>
    <w:uiPriority w:val="9"/>
    <w:semiHidden/>
    <w:pPr>
      <w:pBdr/>
      <w:spacing/>
      <w:ind/>
    </w:pPr>
    <w:rPr>
      <w:rFonts w:eastAsiaTheme="majorEastAsia" w:cstheme="majorBidi"/>
      <w:color w:val="272727" w:themeColor="text1" w:themeTint="D8"/>
    </w:rPr>
  </w:style>
  <w:style w:type="paragraph" w:styleId="992">
    <w:name w:val="Block Text"/>
    <w:basedOn w:val="962"/>
    <w:next w:val="962"/>
    <w:uiPriority w:val="9"/>
    <w:unhideWhenUsed/>
    <w:qFormat/>
    <w:pPr>
      <w:pBdr/>
      <w:spacing w:after="100" w:before="100"/>
      <w:ind w:right="480" w:firstLine="0" w:left="480"/>
    </w:pPr>
  </w:style>
  <w:style w:type="paragraph" w:styleId="993">
    <w:name w:val="footnote text"/>
    <w:basedOn w:val="961"/>
    <w:next w:val="993"/>
    <w:uiPriority w:val="9"/>
    <w:unhideWhenUsed/>
    <w:qFormat/>
    <w:pPr>
      <w:pBdr/>
      <w:spacing/>
      <w:ind/>
    </w:pPr>
  </w:style>
  <w:style w:type="paragraph" w:styleId="994">
    <w:name w:val="Footnote Block Text"/>
    <w:basedOn w:val="993"/>
    <w:next w:val="993"/>
    <w:uiPriority w:val="9"/>
    <w:unhideWhenUsed/>
    <w:qFormat/>
    <w:pPr>
      <w:pBdr/>
      <w:spacing w:after="100" w:before="100"/>
      <w:ind w:right="480" w:firstLine="0" w:left="480"/>
    </w:pPr>
  </w:style>
  <w:style w:type="character" w:styleId="995" w:default="1">
    <w:name w:val="Default Paragraph Font"/>
    <w:semiHidden/>
    <w:unhideWhenUsed/>
    <w:pPr>
      <w:pBdr/>
      <w:spacing/>
      <w:ind/>
    </w:pPr>
  </w:style>
  <w:style w:type="table" w:styleId="99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7" w:customStyle="1">
    <w:name w:val="Definition Term"/>
    <w:basedOn w:val="961"/>
    <w:next w:val="998"/>
    <w:pPr>
      <w:keepNext w:val="true"/>
      <w:keepLines w:val="true"/>
      <w:pBdr/>
      <w:spacing w:after="0"/>
      <w:ind/>
    </w:pPr>
    <w:rPr>
      <w:b/>
    </w:rPr>
  </w:style>
  <w:style w:type="paragraph" w:styleId="998" w:customStyle="1">
    <w:name w:val="Definition"/>
    <w:basedOn w:val="961"/>
    <w:pPr>
      <w:pBdr/>
      <w:spacing/>
      <w:ind/>
    </w:pPr>
  </w:style>
  <w:style w:type="paragraph" w:styleId="999">
    <w:name w:val="Caption"/>
    <w:basedOn w:val="961"/>
    <w:link w:val="1004"/>
    <w:pPr>
      <w:pBdr/>
      <w:spacing w:after="120" w:before="0"/>
      <w:ind/>
    </w:pPr>
    <w:rPr>
      <w:i/>
    </w:rPr>
  </w:style>
  <w:style w:type="paragraph" w:styleId="1000" w:customStyle="1">
    <w:name w:val="Table Caption"/>
    <w:basedOn w:val="999"/>
    <w:pPr>
      <w:keepNext w:val="true"/>
      <w:pBdr/>
      <w:spacing/>
      <w:ind/>
    </w:pPr>
  </w:style>
  <w:style w:type="paragraph" w:styleId="1001" w:customStyle="1">
    <w:name w:val="Image Caption"/>
    <w:basedOn w:val="999"/>
    <w:pPr>
      <w:pBdr/>
      <w:spacing/>
      <w:ind/>
    </w:pPr>
  </w:style>
  <w:style w:type="paragraph" w:styleId="1002" w:customStyle="1">
    <w:name w:val="Figure"/>
    <w:basedOn w:val="961"/>
    <w:pPr>
      <w:pBdr/>
      <w:spacing/>
      <w:ind/>
    </w:pPr>
  </w:style>
  <w:style w:type="paragraph" w:styleId="1003" w:customStyle="1">
    <w:name w:val="Captioned Figure"/>
    <w:basedOn w:val="1002"/>
    <w:pPr>
      <w:keepNext w:val="true"/>
      <w:pBdr/>
      <w:spacing/>
      <w:ind/>
    </w:pPr>
  </w:style>
  <w:style w:type="character" w:styleId="1004" w:customStyle="1">
    <w:name w:val="Body Text Char"/>
    <w:basedOn w:val="995"/>
    <w:link w:val="962"/>
    <w:pPr>
      <w:pBdr/>
      <w:spacing/>
      <w:ind/>
    </w:pPr>
  </w:style>
  <w:style w:type="character" w:styleId="1005" w:customStyle="1">
    <w:name w:val="Verbatim Char"/>
    <w:basedOn w:val="1004"/>
    <w:pPr>
      <w:pBdr/>
      <w:spacing/>
      <w:ind/>
    </w:pPr>
    <w:rPr>
      <w:rFonts w:ascii="Consolas" w:hAnsi="Consolas"/>
      <w:sz w:val="22"/>
    </w:rPr>
  </w:style>
  <w:style w:type="character" w:styleId="1006" w:customStyle="1">
    <w:name w:val="Section Number"/>
    <w:basedOn w:val="1004"/>
    <w:pPr>
      <w:pBdr/>
      <w:spacing/>
      <w:ind/>
    </w:pPr>
  </w:style>
  <w:style w:type="character" w:styleId="1007">
    <w:name w:val="footnote reference"/>
    <w:basedOn w:val="1004"/>
    <w:pPr>
      <w:pBdr/>
      <w:spacing/>
      <w:ind/>
    </w:pPr>
    <w:rPr>
      <w:vertAlign w:val="superscript"/>
    </w:rPr>
  </w:style>
  <w:style w:type="character" w:styleId="1008">
    <w:name w:val="Hyperlink"/>
    <w:basedOn w:val="1004"/>
    <w:pPr>
      <w:pBdr/>
      <w:spacing/>
      <w:ind/>
    </w:pPr>
    <w:rPr>
      <w:color w:val="4f81bd" w:themeColor="accent1"/>
    </w:rPr>
  </w:style>
  <w:style w:type="paragraph" w:styleId="1009">
    <w:name w:val="TOC Heading"/>
    <w:basedOn w:val="974"/>
    <w:next w:val="962"/>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010" w:customStyle="1">
    <w:name w:val="Source Code"/>
    <w:basedOn w:val="961"/>
    <w:link w:val="1005"/>
    <w:pPr>
      <w:pBdr/>
      <w:spacing/>
      <w:ind/>
    </w:pPr>
  </w:style>
  <w:style w:type="character" w:styleId="1011" w:customStyle="1">
    <w:name w:val="KeywordTok"/>
    <w:basedOn w:val="1005"/>
    <w:pPr>
      <w:pBdr/>
      <w:spacing/>
      <w:ind/>
    </w:pPr>
    <w:rPr>
      <w:b/>
      <w:color w:val="007020"/>
    </w:rPr>
  </w:style>
  <w:style w:type="character" w:styleId="1012" w:customStyle="1">
    <w:name w:val="DataTypeTok"/>
    <w:basedOn w:val="1005"/>
    <w:pPr>
      <w:pBdr/>
      <w:spacing/>
      <w:ind/>
    </w:pPr>
    <w:rPr>
      <w:color w:val="902000"/>
    </w:rPr>
  </w:style>
  <w:style w:type="character" w:styleId="1013" w:customStyle="1">
    <w:name w:val="DecValTok"/>
    <w:basedOn w:val="1005"/>
    <w:pPr>
      <w:pBdr/>
      <w:spacing/>
      <w:ind/>
    </w:pPr>
    <w:rPr>
      <w:color w:val="40a070"/>
    </w:rPr>
  </w:style>
  <w:style w:type="character" w:styleId="1014" w:customStyle="1">
    <w:name w:val="BaseNTok"/>
    <w:basedOn w:val="1005"/>
    <w:pPr>
      <w:pBdr/>
      <w:spacing/>
      <w:ind/>
    </w:pPr>
    <w:rPr>
      <w:color w:val="40a070"/>
    </w:rPr>
  </w:style>
  <w:style w:type="character" w:styleId="1015" w:customStyle="1">
    <w:name w:val="FloatTok"/>
    <w:basedOn w:val="1005"/>
    <w:pPr>
      <w:pBdr/>
      <w:spacing/>
      <w:ind/>
    </w:pPr>
    <w:rPr>
      <w:color w:val="40a070"/>
    </w:rPr>
  </w:style>
  <w:style w:type="character" w:styleId="1016" w:customStyle="1">
    <w:name w:val="ConstantTok"/>
    <w:basedOn w:val="1005"/>
    <w:pPr>
      <w:pBdr/>
      <w:spacing/>
      <w:ind/>
    </w:pPr>
    <w:rPr>
      <w:color w:val="880000"/>
    </w:rPr>
  </w:style>
  <w:style w:type="character" w:styleId="1017" w:customStyle="1">
    <w:name w:val="CharTok"/>
    <w:basedOn w:val="1005"/>
    <w:pPr>
      <w:pBdr/>
      <w:spacing/>
      <w:ind/>
    </w:pPr>
    <w:rPr>
      <w:color w:val="4070a0"/>
    </w:rPr>
  </w:style>
  <w:style w:type="character" w:styleId="1018" w:customStyle="1">
    <w:name w:val="SpecialCharTok"/>
    <w:basedOn w:val="1005"/>
    <w:pPr>
      <w:pBdr/>
      <w:spacing/>
      <w:ind/>
    </w:pPr>
    <w:rPr>
      <w:color w:val="4070a0"/>
    </w:rPr>
  </w:style>
  <w:style w:type="character" w:styleId="1019" w:customStyle="1">
    <w:name w:val="StringTok"/>
    <w:basedOn w:val="1005"/>
    <w:pPr>
      <w:pBdr/>
      <w:spacing/>
      <w:ind/>
    </w:pPr>
    <w:rPr>
      <w:color w:val="4070a0"/>
    </w:rPr>
  </w:style>
  <w:style w:type="character" w:styleId="1020" w:customStyle="1">
    <w:name w:val="VerbatimStringTok"/>
    <w:basedOn w:val="1005"/>
    <w:pPr>
      <w:pBdr/>
      <w:spacing/>
      <w:ind/>
    </w:pPr>
    <w:rPr>
      <w:color w:val="4070a0"/>
    </w:rPr>
  </w:style>
  <w:style w:type="character" w:styleId="1021" w:customStyle="1">
    <w:name w:val="SpecialStringTok"/>
    <w:basedOn w:val="1005"/>
    <w:pPr>
      <w:pBdr/>
      <w:spacing/>
      <w:ind/>
    </w:pPr>
    <w:rPr>
      <w:color w:val="bb6688"/>
    </w:rPr>
  </w:style>
  <w:style w:type="character" w:styleId="1022" w:customStyle="1">
    <w:name w:val="ImportTok"/>
    <w:basedOn w:val="1005"/>
    <w:pPr>
      <w:pBdr/>
      <w:spacing/>
      <w:ind/>
    </w:pPr>
    <w:rPr>
      <w:b/>
      <w:color w:val="008000"/>
    </w:rPr>
  </w:style>
  <w:style w:type="character" w:styleId="1023" w:customStyle="1">
    <w:name w:val="CommentTok"/>
    <w:basedOn w:val="1005"/>
    <w:pPr>
      <w:pBdr/>
      <w:spacing/>
      <w:ind/>
    </w:pPr>
    <w:rPr>
      <w:i/>
      <w:color w:val="60a0b0"/>
    </w:rPr>
  </w:style>
  <w:style w:type="character" w:styleId="1024" w:customStyle="1">
    <w:name w:val="DocumentationTok"/>
    <w:basedOn w:val="1005"/>
    <w:pPr>
      <w:pBdr/>
      <w:spacing/>
      <w:ind/>
    </w:pPr>
    <w:rPr>
      <w:i/>
      <w:color w:val="ba2121"/>
    </w:rPr>
  </w:style>
  <w:style w:type="character" w:styleId="1025" w:customStyle="1">
    <w:name w:val="AnnotationTok"/>
    <w:basedOn w:val="1005"/>
    <w:pPr>
      <w:pBdr/>
      <w:spacing/>
      <w:ind/>
    </w:pPr>
    <w:rPr>
      <w:b/>
      <w:i/>
      <w:color w:val="60a0b0"/>
    </w:rPr>
  </w:style>
  <w:style w:type="character" w:styleId="1026" w:customStyle="1">
    <w:name w:val="CommentVarTok"/>
    <w:basedOn w:val="1005"/>
    <w:pPr>
      <w:pBdr/>
      <w:spacing/>
      <w:ind/>
    </w:pPr>
    <w:rPr>
      <w:b/>
      <w:i/>
      <w:color w:val="60a0b0"/>
    </w:rPr>
  </w:style>
  <w:style w:type="character" w:styleId="1027" w:customStyle="1">
    <w:name w:val="OtherTok"/>
    <w:basedOn w:val="1005"/>
    <w:pPr>
      <w:pBdr/>
      <w:spacing/>
      <w:ind/>
    </w:pPr>
    <w:rPr>
      <w:color w:val="007020"/>
    </w:rPr>
  </w:style>
  <w:style w:type="character" w:styleId="1028" w:customStyle="1">
    <w:name w:val="FunctionTok"/>
    <w:basedOn w:val="1005"/>
    <w:pPr>
      <w:pBdr/>
      <w:spacing/>
      <w:ind/>
    </w:pPr>
    <w:rPr>
      <w:color w:val="06287e"/>
    </w:rPr>
  </w:style>
  <w:style w:type="character" w:styleId="1029" w:customStyle="1">
    <w:name w:val="VariableTok"/>
    <w:basedOn w:val="1005"/>
    <w:pPr>
      <w:pBdr/>
      <w:spacing/>
      <w:ind/>
    </w:pPr>
    <w:rPr>
      <w:color w:val="19177c"/>
    </w:rPr>
  </w:style>
  <w:style w:type="character" w:styleId="1030" w:customStyle="1">
    <w:name w:val="ControlFlowTok"/>
    <w:basedOn w:val="1005"/>
    <w:pPr>
      <w:pBdr/>
      <w:spacing/>
      <w:ind/>
    </w:pPr>
    <w:rPr>
      <w:b/>
      <w:color w:val="007020"/>
    </w:rPr>
  </w:style>
  <w:style w:type="character" w:styleId="1031" w:customStyle="1">
    <w:name w:val="OperatorTok"/>
    <w:basedOn w:val="1005"/>
    <w:pPr>
      <w:pBdr/>
      <w:spacing/>
      <w:ind/>
    </w:pPr>
    <w:rPr>
      <w:color w:val="666666"/>
    </w:rPr>
  </w:style>
  <w:style w:type="character" w:styleId="1032" w:customStyle="1">
    <w:name w:val="BuiltInTok"/>
    <w:basedOn w:val="1005"/>
    <w:pPr>
      <w:pBdr/>
      <w:spacing/>
      <w:ind/>
    </w:pPr>
    <w:rPr>
      <w:color w:val="008000"/>
    </w:rPr>
  </w:style>
  <w:style w:type="character" w:styleId="1033" w:customStyle="1">
    <w:name w:val="ExtensionTok"/>
    <w:basedOn w:val="1005"/>
    <w:pPr>
      <w:pBdr/>
      <w:spacing/>
      <w:ind/>
    </w:pPr>
  </w:style>
  <w:style w:type="character" w:styleId="1034" w:customStyle="1">
    <w:name w:val="PreprocessorTok"/>
    <w:basedOn w:val="1005"/>
    <w:pPr>
      <w:pBdr/>
      <w:spacing/>
      <w:ind/>
    </w:pPr>
    <w:rPr>
      <w:color w:val="bc7a00"/>
    </w:rPr>
  </w:style>
  <w:style w:type="character" w:styleId="1035" w:customStyle="1">
    <w:name w:val="AttributeTok"/>
    <w:basedOn w:val="1005"/>
    <w:pPr>
      <w:pBdr/>
      <w:spacing/>
      <w:ind/>
    </w:pPr>
    <w:rPr>
      <w:color w:val="7d9029"/>
    </w:rPr>
  </w:style>
  <w:style w:type="character" w:styleId="1036" w:customStyle="1">
    <w:name w:val="RegionMarkerTok"/>
    <w:basedOn w:val="1005"/>
    <w:pPr>
      <w:pBdr/>
      <w:spacing/>
      <w:ind/>
    </w:pPr>
  </w:style>
  <w:style w:type="character" w:styleId="1037" w:customStyle="1">
    <w:name w:val="InformationTok"/>
    <w:basedOn w:val="1005"/>
    <w:pPr>
      <w:pBdr/>
      <w:spacing/>
      <w:ind/>
    </w:pPr>
    <w:rPr>
      <w:b/>
      <w:i/>
      <w:color w:val="60a0b0"/>
    </w:rPr>
  </w:style>
  <w:style w:type="character" w:styleId="1038" w:customStyle="1">
    <w:name w:val="WarningTok"/>
    <w:basedOn w:val="1005"/>
    <w:pPr>
      <w:pBdr/>
      <w:spacing/>
      <w:ind/>
    </w:pPr>
    <w:rPr>
      <w:b/>
      <w:i/>
      <w:color w:val="60a0b0"/>
    </w:rPr>
  </w:style>
  <w:style w:type="character" w:styleId="1039" w:customStyle="1">
    <w:name w:val="AlertTok"/>
    <w:basedOn w:val="1005"/>
    <w:pPr>
      <w:pBdr/>
      <w:spacing/>
      <w:ind/>
    </w:pPr>
    <w:rPr>
      <w:b/>
      <w:color w:val="ff0000"/>
    </w:rPr>
  </w:style>
  <w:style w:type="character" w:styleId="1040" w:customStyle="1">
    <w:name w:val="ErrorTok"/>
    <w:basedOn w:val="1005"/>
    <w:pPr>
      <w:pBdr/>
      <w:spacing/>
      <w:ind/>
    </w:pPr>
    <w:rPr>
      <w:b/>
      <w:color w:val="ff0000"/>
    </w:rPr>
  </w:style>
  <w:style w:type="character" w:styleId="1041" w:customStyle="1">
    <w:name w:val="NormalTok"/>
    <w:basedOn w:val="100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youtube.com/watch?v=VZLkFCzJw4c&amp;t=53s" TargetMode="External"/><Relationship Id="rId10" Type="http://schemas.openxmlformats.org/officeDocument/2006/relationships/hyperlink" Target="https://youtu.be/7V_01TVNkCA?si=FeKrOGpy7MwygSxe" TargetMode="External"/><Relationship Id="rId11" Type="http://schemas.openxmlformats.org/officeDocument/2006/relationships/hyperlink" Target="https://www.onlinefatawa.com/view_fatwa_english/28198" TargetMode="External"/><Relationship Id="rId12" Type="http://schemas.openxmlformats.org/officeDocument/2006/relationships/hyperlink" Target="https://islamqa.info/en/answers/247586/is-assisting-in-sin-a-sin" TargetMode="External"/><Relationship Id="rId13" Type="http://schemas.openxmlformats.org/officeDocument/2006/relationships/image" Target="media/image1.png"/><Relationship Id="rId14" Type="http://schemas.openxmlformats.org/officeDocument/2006/relationships/hyperlink" Target="https://www.muslimcharitiesforum.org.uk/resources/" TargetMode="External"/><Relationship Id="rId15" Type="http://schemas.openxmlformats.org/officeDocument/2006/relationships/hyperlink" Target="https://doi.org/10.1016/j.scico.2021.102609" TargetMode="External"/><Relationship Id="rId16" Type="http://schemas.openxmlformats.org/officeDocument/2006/relationships/hyperlink" Target="https://kotlinlang.org/docs/multiplatform/supported-platforms.html" TargetMode="External"/><Relationship Id="rId17" Type="http://schemas.openxmlformats.org/officeDocument/2006/relationships/hyperlink" Target="https://kotlinlang.org/compose-multiplatform/" TargetMode="External"/><Relationship Id="rId18" Type="http://schemas.openxmlformats.org/officeDocument/2006/relationships/hyperlink" Target="https://docs.crowdsec.net/security-engine/" TargetMode="External"/><Relationship Id="rId19" Type="http://schemas.openxmlformats.org/officeDocument/2006/relationships/hyperlink" Target="https://roost.tools/osprey" TargetMode="External"/><Relationship Id="rId20" Type="http://schemas.openxmlformats.org/officeDocument/2006/relationships/hyperlink" Target="https://github.com/roostorg/osprey" TargetMode="External"/><Relationship Id="rId21" Type="http://schemas.openxmlformats.org/officeDocument/2006/relationships/hyperlink" Target="https://tailscale.com/docs/how-to/set-up-custom-control-server" TargetMode="External"/><Relationship Id="rId22" Type="http://schemas.openxmlformats.org/officeDocument/2006/relationships/hyperlink" Target="https://headscale.net/stable/usage/connect/android/" TargetMode="External"/><Relationship Id="rId23" Type="http://schemas.openxmlformats.org/officeDocument/2006/relationships/hyperlink" Target="https://docs.headscale.org/usage/connect/apple/" TargetMode="External"/><Relationship Id="rId24" Type="http://schemas.openxmlformats.org/officeDocument/2006/relationships/hyperlink" Target="https://docs.headscale.org/usage/connect/windows/" TargetMode="External"/><Relationship Id="rId25" Type="http://schemas.openxmlformats.org/officeDocument/2006/relationships/hyperlink" Target="https://docs.joinpeertube.org/use-mobile/platforms" TargetMode="External"/><Relationship Id="rId26" Type="http://schemas.openxmlformats.org/officeDocument/2006/relationships/hyperlink" Target="https://docs.joinpeertube.org/use-mobile/get-the-app" TargetMode="External"/><Relationship Id="rId27" Type="http://schemas.openxmlformats.org/officeDocument/2006/relationships/hyperlink" Target="https://www.humanetech.com/" TargetMode="External"/><Relationship Id="rId28" Type="http://schemas.openxmlformats.org/officeDocument/2006/relationships/hyperlink" Target="https://acceptableads.com/" TargetMode="External"/><Relationship Id="rId29" Type="http://schemas.openxmlformats.org/officeDocument/2006/relationships/hyperlink" Target="https://www.ftc.gov/business-guidance/resources/disclosures-101-social-media-influencers" TargetMode="External"/><Relationship Id="rId30" Type="http://schemas.openxmlformats.org/officeDocument/2006/relationships/hyperlink" Target="https://www.ftc.gov/news-events/news/press-releases/2024/08/federal-trade-commission-announces-final-rule-banning-fake-reviews-testimonials" TargetMode="External"/><Relationship Id="rId31" Type="http://schemas.openxmlformats.org/officeDocument/2006/relationships/hyperlink" Target="https://www.fsf.org/blogs/licensing/agpl-is-not-a-tool-for-taking-freedom-away" TargetMode="External"/><Relationship Id="rId32" Type="http://schemas.openxmlformats.org/officeDocument/2006/relationships/hyperlink" Target="https://www.cs.cmu.edu/news/2025/fake-github-stars" TargetMode="External"/><Relationship Id="rId33" Type="http://schemas.openxmlformats.org/officeDocument/2006/relationships/hyperlink" Target="https://arxiv.org/abs/2412.13459" TargetMode="External"/><Relationship Id="rId34" Type="http://schemas.openxmlformats.org/officeDocument/2006/relationships/hyperlink" Target="https://mistral.ai/about" TargetMode="External"/><Relationship Id="rId35" Type="http://schemas.openxmlformats.org/officeDocument/2006/relationships/hyperlink" Target="https://www.axios.com/2026/04/22/anthropic-no-kill-switch-ai-classified-settings" TargetMode="External"/><Relationship Id="rId36" Type="http://schemas.openxmlformats.org/officeDocument/2006/relationships/hyperlink" Target="https://blog.railway.com/p/your-ai-wants-to-nuke-your-database" TargetMode="External"/><Relationship Id="rId37" Type="http://schemas.openxmlformats.org/officeDocument/2006/relationships/hyperlink" Target="https://www.theverge.com/ai-artificial-intelligence/919240/pocketos-maker-says-an-ai-agent-deleted-our-production-database-in-9-seconds" TargetMode="External"/><Relationship Id="rId38" Type="http://schemas.openxmlformats.org/officeDocument/2006/relationships/hyperlink" Target="https://www.businessinsider.com/pocketos-cursor-ai-agent-deleted-production-database-startup-railway-2026-4" TargetMode="External"/><Relationship Id="rId39" Type="http://schemas.openxmlformats.org/officeDocument/2006/relationships/hyperlink" Target="https://github.com/github/dmca/blob/master/2025/12/2025-12-18-ffmpeg.md" TargetMode="External"/><Relationship Id="rId40" Type="http://schemas.openxmlformats.org/officeDocument/2006/relationships/hyperlink" Target="https://github.com/rockchip-linux/mpp/issues/530" TargetMode="External"/><Relationship Id="rId41" Type="http://schemas.openxmlformats.org/officeDocument/2006/relationships/hyperlink" Target="https://github.com/HermanChen/mpp/issues/73" TargetMode="External"/><Relationship Id="rId42" Type="http://schemas.openxmlformats.org/officeDocument/2006/relationships/hyperlink" Target="https://www.wheresyoured.at/oracle-openai/" TargetMode="External"/><Relationship Id="rId43" Type="http://schemas.openxmlformats.org/officeDocument/2006/relationships/hyperlink" Target="https://www.muslimcharitiesforum.org.uk/resources/" TargetMode="External"/><Relationship Id="rId44" Type="http://schemas.openxmlformats.org/officeDocument/2006/relationships/hyperlink" Target="https://opensource.org/osd" TargetMode="External"/><Relationship Id="rId45" Type="http://schemas.openxmlformats.org/officeDocument/2006/relationships/hyperlink" Target="https://www.w3.org/TR/using-aria/#firstrule" TargetMode="External"/><Relationship Id="rId46" Type="http://schemas.openxmlformats.org/officeDocument/2006/relationships/hyperlink" Target="https://developer.chrome.com/blog/accessible-carousel" TargetMode="External"/><Relationship Id="rId47" Type="http://schemas.openxmlformats.org/officeDocument/2006/relationships/hyperlink" Target="https://alice.boxhall.au/articles/a-threat-model-for-accessibility-on-the-web/" TargetMode="External"/><Relationship Id="rId48" Type="http://schemas.openxmlformats.org/officeDocument/2006/relationships/hyperlink" Target="https://www.science.org/doi/10.1126/science.1091721" TargetMode="External"/><Relationship Id="rId49" Type="http://schemas.openxmlformats.org/officeDocument/2006/relationships/hyperlink" Target="https://www.joanwestenberg.com/" TargetMode="External"/><Relationship Id="rId50" Type="http://schemas.openxmlformats.org/officeDocument/2006/relationships/hyperlink" Target="https://www.icpen.org/sites/default/files/2024-07/Public%20Report%20ICPEN%20Dark%20Patterns%20Sweep.pdf" TargetMode="External"/><Relationship Id="rId51" Type="http://schemas.openxmlformats.org/officeDocument/2006/relationships/hyperlink" Target="https://www.icpen.org/news/1360" TargetMode="External"/><Relationship Id="rId52" Type="http://schemas.openxmlformats.org/officeDocument/2006/relationships/hyperlink" Target="https://valkey.io/" TargetMode="External"/><Relationship Id="rId53" Type="http://schemas.openxmlformats.org/officeDocument/2006/relationships/hyperlink" Target="https://redis.com/" TargetMode="External"/><Relationship Id="rId54" Type="http://schemas.openxmlformats.org/officeDocument/2006/relationships/hyperlink" Target="https://monogame.net/blog/2025-12-30-385-new-sponsor-announcement/" TargetMode="External"/><Relationship Id="rId55" Type="http://schemas.openxmlformats.org/officeDocument/2006/relationships/hyperlink" Target="https://monogame.net/about/" TargetMode="External"/><Relationship Id="rId56" Type="http://schemas.openxmlformats.org/officeDocument/2006/relationships/hyperlink" Target="https://forums.terraria.org/index.php?threads/re-logic-statement-regarding-unity-the-future.129041/" TargetMode="External"/><Relationship Id="rId57" Type="http://schemas.openxmlformats.org/officeDocument/2006/relationships/hyperlink" Target="https://indieweb.org/site-deaths" TargetMode="External"/><Relationship Id="rId58" Type="http://schemas.openxmlformats.org/officeDocument/2006/relationships/hyperlink" Target="https://indieweb.org/lost_sites" TargetMode="External"/><Relationship Id="rId59" Type="http://schemas.openxmlformats.org/officeDocument/2006/relationships/hyperlink" Target="https://web.archive.org/web/20190927174004/https://www.thespinner.net/" TargetMode="External"/><Relationship Id="rId60" Type="http://schemas.openxmlformats.org/officeDocument/2006/relationships/hyperlink" Target="https://clawd.rip/" TargetMode="External"/><Relationship Id="rId61" Type="http://schemas.openxmlformats.org/officeDocument/2006/relationships/hyperlink" Target="https://www.anthropic.com/engineering/april-23-postmortem" TargetMode="External"/><Relationship Id="rId62" Type="http://schemas.openxmlformats.org/officeDocument/2006/relationships/hyperlink" Target="https://github.com/anthropics/claude-code/issues/53262" TargetMode="External"/><Relationship Id="rId63" Type="http://schemas.openxmlformats.org/officeDocument/2006/relationships/hyperlink" Target="https://ladybird.org/" TargetMode="External"/><Relationship Id="rId64" Type="http://schemas.openxmlformats.org/officeDocument/2006/relationships/hyperlink" Target="https://ladybird.org/news/" TargetMode="External"/><Relationship Id="rId65" Type="http://schemas.openxmlformats.org/officeDocument/2006/relationships/hyperlink" Target="https://mobilizon.org/" TargetMode="External"/><Relationship Id="rId66" Type="http://schemas.openxmlformats.org/officeDocument/2006/relationships/hyperlink" Target="https://mobilizon.org/about/" TargetMode="External"/><Relationship Id="rId67" Type="http://schemas.openxmlformats.org/officeDocument/2006/relationships/hyperlink" Target="https://docs.mobilizon.org/5.%20Interoperability/1.activity_pub/" TargetMode="External"/><Relationship Id="rId68" Type="http://schemas.openxmlformats.org/officeDocument/2006/relationships/hyperlink" Target="https://docs.mobilizon.org/5.%20Interoperability/4.flux_rss_ics/" TargetMode="External"/><Relationship Id="rId69" Type="http://schemas.openxmlformats.org/officeDocument/2006/relationships/hyperlink" Target="https://youtu.be/YwdVSp8gOt4" TargetMode="External"/><Relationship Id="rId70" Type="http://schemas.openxmlformats.org/officeDocument/2006/relationships/hyperlink" Target="https://www.codecabin.dev/" TargetMode="External"/><Relationship Id="rId71" Type="http://schemas.openxmlformats.org/officeDocument/2006/relationships/hyperlink" Target="https://youtu.be/KVyCKFk4hcQ?si=Q7DUVHVdIxhmYV9h" TargetMode="External"/><Relationship Id="rId72" Type="http://schemas.openxmlformats.org/officeDocument/2006/relationships/hyperlink" Target="https://80.lv/articles/programmer-discovers-his-smart-vacuum-was-spying-on-him?ref=dailydev" TargetMode="External"/><Relationship Id="rId73" Type="http://schemas.openxmlformats.org/officeDocument/2006/relationships/hyperlink" Target="https://mullvad.net/en/vpn/daita" TargetMode="External"/><Relationship Id="rId74" Type="http://schemas.openxmlformats.org/officeDocument/2006/relationships/hyperlink" Target="https://youtu.be/piftpgsZE9g?si=aZrpaREWEnB1qdZQ" TargetMode="External"/><Relationship Id="rId75" Type="http://schemas.openxmlformats.org/officeDocument/2006/relationships/hyperlink" Target="https://acceptableads.com/" TargetMode="External"/><Relationship Id="rId76" Type="http://schemas.openxmlformats.org/officeDocument/2006/relationships/hyperlink" Target="https://adblockplus.org/en/acceptable-ads#criteria" TargetMode="External"/><Relationship Id="rId77" Type="http://schemas.openxmlformats.org/officeDocument/2006/relationships/hyperlink" Target="https://opensource.org/osd" TargetMode="External"/><Relationship Id="rId78" Type="http://schemas.openxmlformats.org/officeDocument/2006/relationships/hyperlink" Target="https://arstechnica.com/gadgets/2024/05/google-cloud-accidentally-nukes-customer-account-causes-two-weeks-of-downtime/" TargetMode="External"/><Relationship Id="rId79" Type="http://schemas.openxmlformats.org/officeDocument/2006/relationships/hyperlink" Target="https://www.reddit.com/r/androiddev/comments/1p2u3jo/someone_trademarked_the_word_plumber_in_2018_and/" TargetMode="External"/><Relationship Id="rId80" Type="http://schemas.openxmlformats.org/officeDocument/2006/relationships/hyperlink" Target="https://www.wheresyoured.at/oracle-openai/" TargetMode="External"/><Relationship Id="rId81" Type="http://schemas.openxmlformats.org/officeDocument/2006/relationships/hyperlink" Target="https://blog.kilocode.ai/p/warps-new-pricing-still-doesnt-add" TargetMode="External"/><Relationship Id="rId82" Type="http://schemas.openxmlformats.org/officeDocument/2006/relationships/hyperlink" Target="https://www.wheresyoured.at/oracle-openai/" TargetMode="External"/><Relationship Id="rId83" Type="http://schemas.openxmlformats.org/officeDocument/2006/relationships/hyperlink" Target="https://www.wheresyoured.at/oracle-openai/" TargetMode="External"/><Relationship Id="rId84" Type="http://schemas.openxmlformats.org/officeDocument/2006/relationships/hyperlink" Target="https://www.wired.com/story/doxers-posing-as-cops-are-tricking-big-tech-firms-into-sharing-peoples-private-data" TargetMode="External"/><Relationship Id="rId85" Type="http://schemas.openxmlformats.org/officeDocument/2006/relationships/hyperlink" Target="https://medium.com/@mattlar.jari/companies-are-blaming-ai-for-layoffs-the-real-reason-will-piss-you-off-149639ce47cf" TargetMode="External"/><Relationship Id="rId86" Type="http://schemas.openxmlformats.org/officeDocument/2006/relationships/hyperlink" Target="https://www.linkedin.com/pulse/unseen-scar-mental-health-toll-tech-layoffs-those-laid-dennis-henry-suie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2026-05-22T21:44:33Z</dcterms:created>
  <dcterms:modified xsi:type="dcterms:W3CDTF">2026-05-22T21:55:29Z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2026-05-21</vt:lpwstr>
  </property>
  <property fmtid="{D5CDD505-2E9C-101B-9397-08002B2CF9AE}" pid="3" name="updated">
    <vt:lpwstr>2026-05-21</vt:lpwstr>
  </property>
</Properties>
</file>