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0BCC6">
      <w:pPr>
        <w:spacing w:line="1020" w:lineRule="auto"/>
        <w:jc w:val="center"/>
        <w:rPr>
          <w:rFonts w:ascii="Times New Roman" w:hAnsi="Times New Roman" w:eastAsia="楷体_GB2312" w:cs="Times New Roman"/>
          <w:b/>
          <w:bCs/>
          <w:spacing w:val="20"/>
          <w:sz w:val="72"/>
          <w:szCs w:val="72"/>
        </w:rPr>
      </w:pPr>
      <w:r>
        <w:rPr>
          <w:rFonts w:ascii="Times New Roman" w:hAnsi="Times New Roman" w:eastAsia="楷体_GB2312" w:cs="Times New Roman"/>
          <w:b/>
          <w:bCs/>
          <w:spacing w:val="20"/>
          <w:sz w:val="72"/>
          <w:szCs w:val="72"/>
        </w:rPr>
        <mc:AlternateContent>
          <mc:Choice Requires="wps">
            <w:drawing>
              <wp:anchor distT="45720" distB="45720" distL="114300" distR="114300" simplePos="0" relativeHeight="251659264" behindDoc="0" locked="0" layoutInCell="1" allowOverlap="1">
                <wp:simplePos x="0" y="0"/>
                <wp:positionH relativeFrom="column">
                  <wp:posOffset>30480</wp:posOffset>
                </wp:positionH>
                <wp:positionV relativeFrom="page">
                  <wp:posOffset>1114425</wp:posOffset>
                </wp:positionV>
                <wp:extent cx="5189220" cy="2843530"/>
                <wp:effectExtent l="4445" t="4445" r="18415" b="1714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89220" cy="2843530"/>
                        </a:xfrm>
                        <a:prstGeom prst="rect">
                          <a:avLst/>
                        </a:prstGeom>
                        <a:solidFill>
                          <a:srgbClr val="FFFFFF"/>
                        </a:solidFill>
                        <a:ln w="9525">
                          <a:solidFill>
                            <a:srgbClr val="000000"/>
                          </a:solidFill>
                          <a:miter lim="800000"/>
                        </a:ln>
                      </wps:spPr>
                      <wps:txbx>
                        <w:txbxContent>
                          <w:p w14:paraId="592C7809">
                            <w:pPr>
                              <w:rPr>
                                <w:rFonts w:ascii="宋体" w:hAnsi="宋体" w:eastAsia="宋体"/>
                                <w:color w:val="FF0000"/>
                              </w:rPr>
                            </w:pPr>
                            <w:r>
                              <w:rPr>
                                <w:rFonts w:hint="eastAsia" w:ascii="宋体" w:hAnsi="宋体" w:eastAsia="宋体"/>
                                <w:color w:val="FF0000"/>
                              </w:rPr>
                              <w:t>总成绩：</w:t>
                            </w:r>
                            <w:r>
                              <w:rPr>
                                <w:rFonts w:ascii="宋体" w:hAnsi="宋体" w:eastAsia="宋体"/>
                                <w:color w:val="FF0000"/>
                              </w:rPr>
                              <w:t>60</w:t>
                            </w:r>
                            <w:r>
                              <w:rPr>
                                <w:rFonts w:hint="eastAsia" w:ascii="宋体" w:hAnsi="宋体" w:eastAsia="宋体"/>
                                <w:color w:val="FF0000"/>
                              </w:rPr>
                              <w:t>，</w:t>
                            </w:r>
                            <w:r>
                              <w:rPr>
                                <w:rFonts w:ascii="宋体" w:hAnsi="宋体" w:eastAsia="宋体"/>
                                <w:color w:val="FF0000"/>
                              </w:rPr>
                              <w:t>目标</w:t>
                            </w:r>
                            <w:r>
                              <w:rPr>
                                <w:rFonts w:hint="eastAsia" w:ascii="宋体" w:hAnsi="宋体" w:eastAsia="宋体"/>
                                <w:color w:val="FF0000"/>
                              </w:rPr>
                              <w:t>1,2,3,4各占1</w:t>
                            </w:r>
                            <w:r>
                              <w:rPr>
                                <w:rFonts w:ascii="宋体" w:hAnsi="宋体" w:eastAsia="宋体"/>
                                <w:color w:val="FF0000"/>
                              </w:rPr>
                              <w:t>5</w:t>
                            </w:r>
                            <w:r>
                              <w:rPr>
                                <w:rFonts w:hint="eastAsia" w:ascii="宋体" w:hAnsi="宋体" w:eastAsia="宋体"/>
                                <w:color w:val="FF0000"/>
                              </w:rPr>
                              <w:t>分</w:t>
                            </w:r>
                          </w:p>
                          <w:p w14:paraId="5ED8A563">
                            <w:pPr>
                              <w:rPr>
                                <w:rFonts w:ascii="宋体" w:hAnsi="宋体" w:eastAsia="宋体"/>
                                <w:color w:val="FF0000"/>
                              </w:rPr>
                            </w:pPr>
                            <w:r>
                              <w:rPr>
                                <w:rFonts w:hint="eastAsia" w:ascii="宋体" w:hAnsi="宋体" w:eastAsia="宋体"/>
                                <w:color w:val="FF0000"/>
                              </w:rPr>
                              <w:t xml:space="preserve">课程目标1： </w:t>
                            </w:r>
                            <w:r>
                              <w:rPr>
                                <w:rFonts w:ascii="宋体" w:hAnsi="宋体" w:eastAsia="宋体"/>
                                <w:color w:val="FF0000"/>
                              </w:rPr>
                              <w:t>8</w:t>
                            </w:r>
                          </w:p>
                          <w:p w14:paraId="4A16D744">
                            <w:pPr>
                              <w:rPr>
                                <w:rFonts w:ascii="宋体" w:hAnsi="宋体" w:eastAsia="宋体"/>
                                <w:color w:val="FF0000"/>
                              </w:rPr>
                            </w:pPr>
                            <w:r>
                              <w:rPr>
                                <w:rFonts w:hint="eastAsia" w:ascii="宋体" w:hAnsi="宋体" w:eastAsia="宋体"/>
                                <w:color w:val="FF0000"/>
                              </w:rPr>
                              <w:t>课程目标</w:t>
                            </w:r>
                            <w:r>
                              <w:rPr>
                                <w:rFonts w:ascii="宋体" w:hAnsi="宋体" w:eastAsia="宋体"/>
                                <w:color w:val="FF0000"/>
                              </w:rPr>
                              <w:t>2</w:t>
                            </w:r>
                            <w:r>
                              <w:rPr>
                                <w:rFonts w:hint="eastAsia" w:ascii="宋体" w:hAnsi="宋体" w:eastAsia="宋体"/>
                                <w:color w:val="FF0000"/>
                              </w:rPr>
                              <w:t>：</w:t>
                            </w:r>
                            <w:r>
                              <w:rPr>
                                <w:rFonts w:ascii="宋体" w:hAnsi="宋体" w:eastAsia="宋体"/>
                                <w:color w:val="FF0000"/>
                              </w:rPr>
                              <w:t>8</w:t>
                            </w:r>
                          </w:p>
                          <w:p w14:paraId="331DE861">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3：7</w:t>
                            </w:r>
                          </w:p>
                          <w:p w14:paraId="4599686B">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4:9</w:t>
                            </w:r>
                          </w:p>
                          <w:p w14:paraId="592D392A">
                            <w:pPr>
                              <w:rPr>
                                <w:rFonts w:ascii="宋体" w:hAnsi="宋体" w:eastAsia="宋体"/>
                                <w:color w:val="FF0000"/>
                              </w:rPr>
                            </w:pPr>
                          </w:p>
                          <w:p w14:paraId="08480253">
                            <w:pPr>
                              <w:rPr>
                                <w:rFonts w:ascii="宋体" w:hAnsi="宋体" w:eastAsia="宋体"/>
                                <w:color w:val="FF0000"/>
                              </w:rPr>
                            </w:pPr>
                            <w:r>
                              <w:rPr>
                                <w:rFonts w:hint="eastAsia" w:ascii="宋体" w:hAnsi="宋体" w:eastAsia="宋体"/>
                                <w:color w:val="FF0000"/>
                              </w:rPr>
                              <w:t>评语：对</w:t>
                            </w:r>
                            <w:r>
                              <w:rPr>
                                <w:rFonts w:ascii="宋体" w:hAnsi="宋体" w:eastAsia="宋体"/>
                                <w:color w:val="FF0000"/>
                              </w:rPr>
                              <w:t>四个方面的要求阐述</w:t>
                            </w:r>
                            <w:r>
                              <w:rPr>
                                <w:rFonts w:hint="eastAsia" w:ascii="宋体" w:hAnsi="宋体" w:eastAsia="宋体"/>
                                <w:color w:val="FF0000"/>
                              </w:rPr>
                              <w:t>。。。注意</w:t>
                            </w:r>
                            <w:r>
                              <w:rPr>
                                <w:rFonts w:ascii="宋体" w:hAnsi="宋体" w:eastAsia="宋体"/>
                                <w:color w:val="FF0000"/>
                              </w:rPr>
                              <w:t>更强调逻辑的严密，是否有创新思想，体现在论文要对某个智能穿戴领域“</w:t>
                            </w:r>
                            <w:r>
                              <w:rPr>
                                <w:rFonts w:hint="eastAsia" w:ascii="宋体" w:hAnsi="宋体" w:eastAsia="宋体"/>
                                <w:color w:val="FF0000"/>
                              </w:rPr>
                              <w:t>背景</w:t>
                            </w:r>
                            <w:r>
                              <w:rPr>
                                <w:rFonts w:ascii="宋体" w:hAnsi="宋体" w:eastAsia="宋体"/>
                                <w:color w:val="FF0000"/>
                              </w:rPr>
                              <w:t>、问题、现状、解决方案、可行性分析、初步实验、未来展望”</w:t>
                            </w:r>
                            <w:r>
                              <w:rPr>
                                <w:rFonts w:hint="eastAsia" w:ascii="宋体" w:hAnsi="宋体" w:eastAsia="宋体"/>
                                <w:color w:val="FF0000"/>
                              </w:rPr>
                              <w:t>的</w:t>
                            </w:r>
                            <w:r>
                              <w:rPr>
                                <w:rFonts w:ascii="宋体" w:hAnsi="宋体" w:eastAsia="宋体"/>
                                <w:color w:val="FF0000"/>
                              </w:rPr>
                              <w:t>全面阐述</w:t>
                            </w:r>
                            <w:r>
                              <w:rPr>
                                <w:rFonts w:hint="eastAsia" w:ascii="宋体" w:hAnsi="宋体" w:eastAsia="宋体"/>
                                <w:color w:val="FF0000"/>
                              </w:rPr>
                              <w:t>（其中</w:t>
                            </w:r>
                            <w:r>
                              <w:rPr>
                                <w:rFonts w:ascii="宋体" w:hAnsi="宋体" w:eastAsia="宋体"/>
                                <w:color w:val="FF0000"/>
                              </w:rPr>
                              <w:t>背景，问题和现状在过程性考核中是重点，这里是略带一下</w:t>
                            </w:r>
                            <w:r>
                              <w:rPr>
                                <w:rFonts w:hint="eastAsia" w:ascii="宋体" w:hAnsi="宋体" w:eastAsia="宋体"/>
                                <w:color w:val="FF0000"/>
                              </w:rPr>
                              <w:t>保持</w:t>
                            </w:r>
                            <w:r>
                              <w:rPr>
                                <w:rFonts w:ascii="宋体" w:hAnsi="宋体" w:eastAsia="宋体"/>
                                <w:color w:val="FF0000"/>
                              </w:rPr>
                              <w:t>完整性</w:t>
                            </w:r>
                            <w:r>
                              <w:rPr>
                                <w:rFonts w:hint="eastAsia" w:ascii="宋体" w:hAnsi="宋体" w:eastAsia="宋体"/>
                                <w:color w:val="FF0000"/>
                              </w:rPr>
                              <w:t>）</w:t>
                            </w:r>
                            <w:r>
                              <w:rPr>
                                <w:rFonts w:ascii="宋体" w:hAnsi="宋体" w:eastAsia="宋体"/>
                                <w:color w:val="FF0000"/>
                              </w:rPr>
                              <w:t>，例如你对“</w:t>
                            </w:r>
                            <w:r>
                              <w:rPr>
                                <w:rFonts w:hint="eastAsia" w:ascii="宋体" w:hAnsi="宋体" w:eastAsia="宋体"/>
                                <w:color w:val="FF0000"/>
                              </w:rPr>
                              <w:t>可穿戴</w:t>
                            </w:r>
                            <w:r>
                              <w:rPr>
                                <w:rFonts w:ascii="宋体" w:hAnsi="宋体" w:eastAsia="宋体"/>
                                <w:color w:val="FF0000"/>
                              </w:rPr>
                              <w:t>机器人”</w:t>
                            </w:r>
                            <w:r>
                              <w:rPr>
                                <w:rFonts w:hint="eastAsia" w:ascii="宋体" w:hAnsi="宋体" w:eastAsia="宋体"/>
                                <w:color w:val="FF0000"/>
                              </w:rPr>
                              <w:t>感</w:t>
                            </w:r>
                            <w:r>
                              <w:rPr>
                                <w:rFonts w:ascii="宋体" w:hAnsi="宋体" w:eastAsia="宋体"/>
                                <w:color w:val="FF0000"/>
                              </w:rPr>
                              <w:t>兴趣，那么就应该对于可穿戴机器人的某个技术有深入专业</w:t>
                            </w:r>
                            <w:r>
                              <w:rPr>
                                <w:rFonts w:hint="eastAsia" w:ascii="宋体" w:hAnsi="宋体" w:eastAsia="宋体"/>
                                <w:color w:val="FF0000"/>
                              </w:rPr>
                              <w:t>了解</w:t>
                            </w:r>
                            <w:r>
                              <w:rPr>
                                <w:rFonts w:ascii="宋体" w:hAnsi="宋体" w:eastAsia="宋体"/>
                                <w:color w:val="FF0000"/>
                              </w:rPr>
                              <w:t>和解释。</w:t>
                            </w:r>
                            <w:r>
                              <w:rPr>
                                <w:rFonts w:hint="eastAsia" w:ascii="宋体" w:hAnsi="宋体" w:eastAsia="宋体"/>
                                <w:color w:val="FF0000"/>
                              </w:rPr>
                              <w:t>。。。</w:t>
                            </w:r>
                          </w:p>
                          <w:p w14:paraId="29874D62">
                            <w:pPr>
                              <w:ind w:left="3780" w:right="420" w:firstLine="420"/>
                              <w:rPr>
                                <w:rFonts w:ascii="宋体" w:hAnsi="宋体" w:eastAsia="宋体"/>
                                <w:b/>
                                <w:bCs/>
                              </w:rPr>
                            </w:pPr>
                            <w:r>
                              <w:rPr>
                                <w:rFonts w:hint="eastAsia" w:ascii="宋体" w:hAnsi="宋体" w:eastAsia="宋体"/>
                                <w:b/>
                                <w:bCs/>
                              </w:rPr>
                              <w:t>指导教师（签字）：</w:t>
                            </w:r>
                            <w:r>
                              <w:rPr>
                                <w:rFonts w:hint="eastAsia" w:ascii="宋体" w:hAnsi="宋体" w:eastAsia="宋体"/>
                                <w:b/>
                                <w:bCs/>
                              </w:rPr>
                              <w:drawing>
                                <wp:inline distT="0" distB="0" distL="114300" distR="114300">
                                  <wp:extent cx="768350" cy="541020"/>
                                  <wp:effectExtent l="0" t="0" r="8890" b="7620"/>
                                  <wp:docPr id="3" name="图片 3" descr="微信图片_2023062519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0625195253"/>
                                          <pic:cNvPicPr>
                                            <a:picLocks noChangeAspect="1"/>
                                          </pic:cNvPicPr>
                                        </pic:nvPicPr>
                                        <pic:blipFill>
                                          <a:blip r:embed="rId4"/>
                                          <a:stretch>
                                            <a:fillRect/>
                                          </a:stretch>
                                        </pic:blipFill>
                                        <pic:spPr>
                                          <a:xfrm>
                                            <a:off x="0" y="0"/>
                                            <a:ext cx="768350" cy="541020"/>
                                          </a:xfrm>
                                          <a:prstGeom prst="rect">
                                            <a:avLst/>
                                          </a:prstGeom>
                                        </pic:spPr>
                                      </pic:pic>
                                    </a:graphicData>
                                  </a:graphic>
                                </wp:inline>
                              </w:drawing>
                            </w:r>
                            <w:r>
                              <w:rPr>
                                <w:rFonts w:hint="eastAsia" w:ascii="宋体" w:hAnsi="宋体" w:eastAsia="宋体"/>
                                <w:b/>
                                <w:bCs/>
                              </w:rPr>
                              <w:tab/>
                            </w:r>
                          </w:p>
                          <w:p w14:paraId="236D2FAD">
                            <w:pPr>
                              <w:ind w:right="420"/>
                              <w:rPr>
                                <w:rFonts w:ascii="宋体" w:hAnsi="宋体" w:eastAsia="宋体"/>
                                <w:b/>
                                <w:bCs/>
                              </w:rPr>
                            </w:pPr>
                          </w:p>
                          <w:p w14:paraId="2092469D">
                            <w:pPr>
                              <w:jc w:val="right"/>
                              <w:rPr>
                                <w:rFonts w:ascii="宋体" w:hAnsi="宋体" w:eastAsia="宋体"/>
                                <w:b/>
                                <w:bCs/>
                              </w:rPr>
                            </w:pPr>
                            <w:r>
                              <w:rPr>
                                <w:rFonts w:hint="eastAsia" w:ascii="宋体" w:hAnsi="宋体" w:eastAsia="宋体"/>
                                <w:b/>
                                <w:bCs/>
                              </w:rPr>
                              <w:t>2023年12月30日</w:t>
                            </w:r>
                          </w:p>
                          <w:p w14:paraId="1B2EADC1">
                            <w:pPr>
                              <w:jc w:val="right"/>
                              <w:rPr>
                                <w:rFonts w:ascii="宋体" w:hAnsi="宋体" w:eastAsia="宋体"/>
                                <w:b/>
                                <w:bCs/>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4pt;margin-top:87.75pt;height:223.9pt;width:408.6pt;mso-position-vertical-relative:page;mso-wrap-distance-bottom:3.6pt;mso-wrap-distance-left:9pt;mso-wrap-distance-right:9pt;mso-wrap-distance-top:3.6pt;z-index:251659264;mso-width-relative:page;mso-height-relative:page;" fillcolor="#FFFFFF" filled="t" stroked="t" coordsize="21600,21600" o:gfxdata="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&#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Fta3nZAAAACQEAAA8AAAAAAAAAAQAgAAAAIgAAAGRy&#10;cy9kb3ducmV2LnhtbFBLAQIUABQAAAAIAIdO4kCVwMnvPQIAAH4EAAAOAAAAAAAAAAEAIAAAACgB&#10;AABkcnMvZTJvRG9jLnhtbFBLBQYAAAAABgAGAFkBAADXBQAAAAA=&#10;">
                <v:fill on="t" focussize="0,0"/>
                <v:stroke color="#000000" miterlimit="8" joinstyle="miter"/>
                <v:imagedata o:title=""/>
                <o:lock v:ext="edit" aspectratio="f"/>
                <v:textbox>
                  <w:txbxContent>
                    <w:p w14:paraId="592C7809">
                      <w:pPr>
                        <w:rPr>
                          <w:rFonts w:ascii="宋体" w:hAnsi="宋体" w:eastAsia="宋体"/>
                          <w:color w:val="FF0000"/>
                        </w:rPr>
                      </w:pPr>
                      <w:r>
                        <w:rPr>
                          <w:rFonts w:hint="eastAsia" w:ascii="宋体" w:hAnsi="宋体" w:eastAsia="宋体"/>
                          <w:color w:val="FF0000"/>
                        </w:rPr>
                        <w:t>总成绩：</w:t>
                      </w:r>
                      <w:r>
                        <w:rPr>
                          <w:rFonts w:ascii="宋体" w:hAnsi="宋体" w:eastAsia="宋体"/>
                          <w:color w:val="FF0000"/>
                        </w:rPr>
                        <w:t>60</w:t>
                      </w:r>
                      <w:r>
                        <w:rPr>
                          <w:rFonts w:hint="eastAsia" w:ascii="宋体" w:hAnsi="宋体" w:eastAsia="宋体"/>
                          <w:color w:val="FF0000"/>
                        </w:rPr>
                        <w:t>，</w:t>
                      </w:r>
                      <w:r>
                        <w:rPr>
                          <w:rFonts w:ascii="宋体" w:hAnsi="宋体" w:eastAsia="宋体"/>
                          <w:color w:val="FF0000"/>
                        </w:rPr>
                        <w:t>目标</w:t>
                      </w:r>
                      <w:r>
                        <w:rPr>
                          <w:rFonts w:hint="eastAsia" w:ascii="宋体" w:hAnsi="宋体" w:eastAsia="宋体"/>
                          <w:color w:val="FF0000"/>
                        </w:rPr>
                        <w:t>1,2,3,4各占1</w:t>
                      </w:r>
                      <w:r>
                        <w:rPr>
                          <w:rFonts w:ascii="宋体" w:hAnsi="宋体" w:eastAsia="宋体"/>
                          <w:color w:val="FF0000"/>
                        </w:rPr>
                        <w:t>5</w:t>
                      </w:r>
                      <w:r>
                        <w:rPr>
                          <w:rFonts w:hint="eastAsia" w:ascii="宋体" w:hAnsi="宋体" w:eastAsia="宋体"/>
                          <w:color w:val="FF0000"/>
                        </w:rPr>
                        <w:t>分</w:t>
                      </w:r>
                    </w:p>
                    <w:p w14:paraId="5ED8A563">
                      <w:pPr>
                        <w:rPr>
                          <w:rFonts w:ascii="宋体" w:hAnsi="宋体" w:eastAsia="宋体"/>
                          <w:color w:val="FF0000"/>
                        </w:rPr>
                      </w:pPr>
                      <w:r>
                        <w:rPr>
                          <w:rFonts w:hint="eastAsia" w:ascii="宋体" w:hAnsi="宋体" w:eastAsia="宋体"/>
                          <w:color w:val="FF0000"/>
                        </w:rPr>
                        <w:t xml:space="preserve">课程目标1： </w:t>
                      </w:r>
                      <w:r>
                        <w:rPr>
                          <w:rFonts w:ascii="宋体" w:hAnsi="宋体" w:eastAsia="宋体"/>
                          <w:color w:val="FF0000"/>
                        </w:rPr>
                        <w:t>8</w:t>
                      </w:r>
                    </w:p>
                    <w:p w14:paraId="4A16D744">
                      <w:pPr>
                        <w:rPr>
                          <w:rFonts w:ascii="宋体" w:hAnsi="宋体" w:eastAsia="宋体"/>
                          <w:color w:val="FF0000"/>
                        </w:rPr>
                      </w:pPr>
                      <w:r>
                        <w:rPr>
                          <w:rFonts w:hint="eastAsia" w:ascii="宋体" w:hAnsi="宋体" w:eastAsia="宋体"/>
                          <w:color w:val="FF0000"/>
                        </w:rPr>
                        <w:t>课程目标</w:t>
                      </w:r>
                      <w:r>
                        <w:rPr>
                          <w:rFonts w:ascii="宋体" w:hAnsi="宋体" w:eastAsia="宋体"/>
                          <w:color w:val="FF0000"/>
                        </w:rPr>
                        <w:t>2</w:t>
                      </w:r>
                      <w:r>
                        <w:rPr>
                          <w:rFonts w:hint="eastAsia" w:ascii="宋体" w:hAnsi="宋体" w:eastAsia="宋体"/>
                          <w:color w:val="FF0000"/>
                        </w:rPr>
                        <w:t>：</w:t>
                      </w:r>
                      <w:r>
                        <w:rPr>
                          <w:rFonts w:ascii="宋体" w:hAnsi="宋体" w:eastAsia="宋体"/>
                          <w:color w:val="FF0000"/>
                        </w:rPr>
                        <w:t>8</w:t>
                      </w:r>
                    </w:p>
                    <w:p w14:paraId="331DE861">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3：7</w:t>
                      </w:r>
                    </w:p>
                    <w:p w14:paraId="4599686B">
                      <w:pPr>
                        <w:rPr>
                          <w:rFonts w:ascii="宋体" w:hAnsi="宋体" w:eastAsia="宋体"/>
                          <w:color w:val="FF0000"/>
                        </w:rPr>
                      </w:pPr>
                      <w:r>
                        <w:rPr>
                          <w:rFonts w:hint="eastAsia" w:ascii="宋体" w:hAnsi="宋体" w:eastAsia="宋体"/>
                          <w:color w:val="FF0000"/>
                        </w:rPr>
                        <w:t>课程</w:t>
                      </w:r>
                      <w:r>
                        <w:rPr>
                          <w:rFonts w:ascii="宋体" w:hAnsi="宋体" w:eastAsia="宋体"/>
                          <w:color w:val="FF0000"/>
                        </w:rPr>
                        <w:t>目标</w:t>
                      </w:r>
                      <w:r>
                        <w:rPr>
                          <w:rFonts w:hint="eastAsia" w:ascii="宋体" w:hAnsi="宋体" w:eastAsia="宋体"/>
                          <w:color w:val="FF0000"/>
                        </w:rPr>
                        <w:t>4:9</w:t>
                      </w:r>
                    </w:p>
                    <w:p w14:paraId="592D392A">
                      <w:pPr>
                        <w:rPr>
                          <w:rFonts w:ascii="宋体" w:hAnsi="宋体" w:eastAsia="宋体"/>
                          <w:color w:val="FF0000"/>
                        </w:rPr>
                      </w:pPr>
                    </w:p>
                    <w:p w14:paraId="08480253">
                      <w:pPr>
                        <w:rPr>
                          <w:rFonts w:ascii="宋体" w:hAnsi="宋体" w:eastAsia="宋体"/>
                          <w:color w:val="FF0000"/>
                        </w:rPr>
                      </w:pPr>
                      <w:r>
                        <w:rPr>
                          <w:rFonts w:hint="eastAsia" w:ascii="宋体" w:hAnsi="宋体" w:eastAsia="宋体"/>
                          <w:color w:val="FF0000"/>
                        </w:rPr>
                        <w:t>评语：对</w:t>
                      </w:r>
                      <w:r>
                        <w:rPr>
                          <w:rFonts w:ascii="宋体" w:hAnsi="宋体" w:eastAsia="宋体"/>
                          <w:color w:val="FF0000"/>
                        </w:rPr>
                        <w:t>四个方面的要求阐述</w:t>
                      </w:r>
                      <w:r>
                        <w:rPr>
                          <w:rFonts w:hint="eastAsia" w:ascii="宋体" w:hAnsi="宋体" w:eastAsia="宋体"/>
                          <w:color w:val="FF0000"/>
                        </w:rPr>
                        <w:t>。。。注意</w:t>
                      </w:r>
                      <w:r>
                        <w:rPr>
                          <w:rFonts w:ascii="宋体" w:hAnsi="宋体" w:eastAsia="宋体"/>
                          <w:color w:val="FF0000"/>
                        </w:rPr>
                        <w:t>更强调逻辑的严密，是否有创新思想，体现在论文要对某个智能穿戴领域“</w:t>
                      </w:r>
                      <w:r>
                        <w:rPr>
                          <w:rFonts w:hint="eastAsia" w:ascii="宋体" w:hAnsi="宋体" w:eastAsia="宋体"/>
                          <w:color w:val="FF0000"/>
                        </w:rPr>
                        <w:t>背景</w:t>
                      </w:r>
                      <w:r>
                        <w:rPr>
                          <w:rFonts w:ascii="宋体" w:hAnsi="宋体" w:eastAsia="宋体"/>
                          <w:color w:val="FF0000"/>
                        </w:rPr>
                        <w:t>、问题、现状、解决方案、可行性分析、初步实验、未来展望”</w:t>
                      </w:r>
                      <w:r>
                        <w:rPr>
                          <w:rFonts w:hint="eastAsia" w:ascii="宋体" w:hAnsi="宋体" w:eastAsia="宋体"/>
                          <w:color w:val="FF0000"/>
                        </w:rPr>
                        <w:t>的</w:t>
                      </w:r>
                      <w:r>
                        <w:rPr>
                          <w:rFonts w:ascii="宋体" w:hAnsi="宋体" w:eastAsia="宋体"/>
                          <w:color w:val="FF0000"/>
                        </w:rPr>
                        <w:t>全面阐述</w:t>
                      </w:r>
                      <w:r>
                        <w:rPr>
                          <w:rFonts w:hint="eastAsia" w:ascii="宋体" w:hAnsi="宋体" w:eastAsia="宋体"/>
                          <w:color w:val="FF0000"/>
                        </w:rPr>
                        <w:t>（其中</w:t>
                      </w:r>
                      <w:r>
                        <w:rPr>
                          <w:rFonts w:ascii="宋体" w:hAnsi="宋体" w:eastAsia="宋体"/>
                          <w:color w:val="FF0000"/>
                        </w:rPr>
                        <w:t>背景，问题和现状在过程性考核中是重点，这里是略带一下</w:t>
                      </w:r>
                      <w:r>
                        <w:rPr>
                          <w:rFonts w:hint="eastAsia" w:ascii="宋体" w:hAnsi="宋体" w:eastAsia="宋体"/>
                          <w:color w:val="FF0000"/>
                        </w:rPr>
                        <w:t>保持</w:t>
                      </w:r>
                      <w:r>
                        <w:rPr>
                          <w:rFonts w:ascii="宋体" w:hAnsi="宋体" w:eastAsia="宋体"/>
                          <w:color w:val="FF0000"/>
                        </w:rPr>
                        <w:t>完整性</w:t>
                      </w:r>
                      <w:r>
                        <w:rPr>
                          <w:rFonts w:hint="eastAsia" w:ascii="宋体" w:hAnsi="宋体" w:eastAsia="宋体"/>
                          <w:color w:val="FF0000"/>
                        </w:rPr>
                        <w:t>）</w:t>
                      </w:r>
                      <w:r>
                        <w:rPr>
                          <w:rFonts w:ascii="宋体" w:hAnsi="宋体" w:eastAsia="宋体"/>
                          <w:color w:val="FF0000"/>
                        </w:rPr>
                        <w:t>，例如你对“</w:t>
                      </w:r>
                      <w:r>
                        <w:rPr>
                          <w:rFonts w:hint="eastAsia" w:ascii="宋体" w:hAnsi="宋体" w:eastAsia="宋体"/>
                          <w:color w:val="FF0000"/>
                        </w:rPr>
                        <w:t>可穿戴</w:t>
                      </w:r>
                      <w:r>
                        <w:rPr>
                          <w:rFonts w:ascii="宋体" w:hAnsi="宋体" w:eastAsia="宋体"/>
                          <w:color w:val="FF0000"/>
                        </w:rPr>
                        <w:t>机器人”</w:t>
                      </w:r>
                      <w:r>
                        <w:rPr>
                          <w:rFonts w:hint="eastAsia" w:ascii="宋体" w:hAnsi="宋体" w:eastAsia="宋体"/>
                          <w:color w:val="FF0000"/>
                        </w:rPr>
                        <w:t>感</w:t>
                      </w:r>
                      <w:r>
                        <w:rPr>
                          <w:rFonts w:ascii="宋体" w:hAnsi="宋体" w:eastAsia="宋体"/>
                          <w:color w:val="FF0000"/>
                        </w:rPr>
                        <w:t>兴趣，那么就应该对于可穿戴机器人的某个技术有深入专业</w:t>
                      </w:r>
                      <w:r>
                        <w:rPr>
                          <w:rFonts w:hint="eastAsia" w:ascii="宋体" w:hAnsi="宋体" w:eastAsia="宋体"/>
                          <w:color w:val="FF0000"/>
                        </w:rPr>
                        <w:t>了解</w:t>
                      </w:r>
                      <w:r>
                        <w:rPr>
                          <w:rFonts w:ascii="宋体" w:hAnsi="宋体" w:eastAsia="宋体"/>
                          <w:color w:val="FF0000"/>
                        </w:rPr>
                        <w:t>和解释。</w:t>
                      </w:r>
                      <w:r>
                        <w:rPr>
                          <w:rFonts w:hint="eastAsia" w:ascii="宋体" w:hAnsi="宋体" w:eastAsia="宋体"/>
                          <w:color w:val="FF0000"/>
                        </w:rPr>
                        <w:t>。。。</w:t>
                      </w:r>
                    </w:p>
                    <w:p w14:paraId="29874D62">
                      <w:pPr>
                        <w:ind w:left="3780" w:right="420" w:firstLine="420"/>
                        <w:rPr>
                          <w:rFonts w:ascii="宋体" w:hAnsi="宋体" w:eastAsia="宋体"/>
                          <w:b/>
                          <w:bCs/>
                        </w:rPr>
                      </w:pPr>
                      <w:r>
                        <w:rPr>
                          <w:rFonts w:hint="eastAsia" w:ascii="宋体" w:hAnsi="宋体" w:eastAsia="宋体"/>
                          <w:b/>
                          <w:bCs/>
                        </w:rPr>
                        <w:t>指导教师（签字）：</w:t>
                      </w:r>
                      <w:r>
                        <w:rPr>
                          <w:rFonts w:hint="eastAsia" w:ascii="宋体" w:hAnsi="宋体" w:eastAsia="宋体"/>
                          <w:b/>
                          <w:bCs/>
                        </w:rPr>
                        <w:drawing>
                          <wp:inline distT="0" distB="0" distL="114300" distR="114300">
                            <wp:extent cx="768350" cy="541020"/>
                            <wp:effectExtent l="0" t="0" r="8890" b="7620"/>
                            <wp:docPr id="3" name="图片 3" descr="微信图片_2023062519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0625195253"/>
                                    <pic:cNvPicPr>
                                      <a:picLocks noChangeAspect="1"/>
                                    </pic:cNvPicPr>
                                  </pic:nvPicPr>
                                  <pic:blipFill>
                                    <a:blip r:embed="rId4"/>
                                    <a:stretch>
                                      <a:fillRect/>
                                    </a:stretch>
                                  </pic:blipFill>
                                  <pic:spPr>
                                    <a:xfrm>
                                      <a:off x="0" y="0"/>
                                      <a:ext cx="768350" cy="541020"/>
                                    </a:xfrm>
                                    <a:prstGeom prst="rect">
                                      <a:avLst/>
                                    </a:prstGeom>
                                  </pic:spPr>
                                </pic:pic>
                              </a:graphicData>
                            </a:graphic>
                          </wp:inline>
                        </w:drawing>
                      </w:r>
                      <w:r>
                        <w:rPr>
                          <w:rFonts w:hint="eastAsia" w:ascii="宋体" w:hAnsi="宋体" w:eastAsia="宋体"/>
                          <w:b/>
                          <w:bCs/>
                        </w:rPr>
                        <w:tab/>
                      </w:r>
                    </w:p>
                    <w:p w14:paraId="236D2FAD">
                      <w:pPr>
                        <w:ind w:right="420"/>
                        <w:rPr>
                          <w:rFonts w:ascii="宋体" w:hAnsi="宋体" w:eastAsia="宋体"/>
                          <w:b/>
                          <w:bCs/>
                        </w:rPr>
                      </w:pPr>
                    </w:p>
                    <w:p w14:paraId="2092469D">
                      <w:pPr>
                        <w:jc w:val="right"/>
                        <w:rPr>
                          <w:rFonts w:ascii="宋体" w:hAnsi="宋体" w:eastAsia="宋体"/>
                          <w:b/>
                          <w:bCs/>
                        </w:rPr>
                      </w:pPr>
                      <w:r>
                        <w:rPr>
                          <w:rFonts w:hint="eastAsia" w:ascii="宋体" w:hAnsi="宋体" w:eastAsia="宋体"/>
                          <w:b/>
                          <w:bCs/>
                        </w:rPr>
                        <w:t>2023年12月30日</w:t>
                      </w:r>
                    </w:p>
                    <w:p w14:paraId="1B2EADC1">
                      <w:pPr>
                        <w:jc w:val="right"/>
                        <w:rPr>
                          <w:rFonts w:ascii="宋体" w:hAnsi="宋体" w:eastAsia="宋体"/>
                          <w:b/>
                          <w:bCs/>
                        </w:rPr>
                      </w:pPr>
                    </w:p>
                  </w:txbxContent>
                </v:textbox>
                <w10:wrap type="square"/>
              </v:shape>
            </w:pict>
          </mc:Fallback>
        </mc:AlternateContent>
      </w:r>
      <w:r>
        <w:rPr>
          <w:rFonts w:hint="eastAsia" w:ascii="Times New Roman" w:hAnsi="Times New Roman" w:eastAsia="楷体_GB2312" w:cs="Times New Roman"/>
          <w:b/>
          <w:bCs/>
          <w:spacing w:val="20"/>
          <w:sz w:val="72"/>
          <w:szCs w:val="72"/>
        </w:rPr>
        <w:t>西南大学</w:t>
      </w:r>
    </w:p>
    <w:p w14:paraId="77502B69">
      <w:pPr>
        <w:spacing w:line="1020" w:lineRule="auto"/>
        <w:jc w:val="center"/>
        <w:rPr>
          <w:rFonts w:ascii="Times New Roman" w:hAnsi="Times New Roman" w:eastAsia="楷体_GB2312" w:cs="Times New Roman"/>
          <w:b/>
          <w:bCs/>
          <w:spacing w:val="20"/>
          <w:sz w:val="72"/>
          <w:szCs w:val="72"/>
        </w:rPr>
      </w:pPr>
      <w:r>
        <w:rPr>
          <w:rFonts w:hint="eastAsia" w:ascii="Times New Roman" w:hAnsi="Times New Roman" w:eastAsia="楷体_GB2312" w:cs="Times New Roman"/>
          <w:b/>
          <w:bCs/>
          <w:spacing w:val="20"/>
          <w:sz w:val="72"/>
          <w:szCs w:val="72"/>
        </w:rPr>
        <w:t>计算机与信息科学学院</w:t>
      </w:r>
    </w:p>
    <w:p w14:paraId="070904BB">
      <w:pPr>
        <w:spacing w:line="1020" w:lineRule="auto"/>
        <w:jc w:val="center"/>
        <w:rPr>
          <w:rFonts w:ascii="Times New Roman" w:hAnsi="Times New Roman" w:eastAsia="楷体_GB2312" w:cs="Times New Roman"/>
          <w:b/>
          <w:bCs/>
          <w:spacing w:val="20"/>
          <w:sz w:val="56"/>
          <w:szCs w:val="72"/>
        </w:rPr>
      </w:pPr>
      <w:r>
        <w:rPr>
          <w:rFonts w:hint="eastAsia" w:ascii="Times New Roman" w:hAnsi="Times New Roman" w:eastAsia="楷体_GB2312" w:cs="Times New Roman"/>
          <w:b/>
          <w:bCs/>
          <w:spacing w:val="20"/>
          <w:sz w:val="56"/>
          <w:szCs w:val="72"/>
        </w:rPr>
        <w:t>课程论文</w:t>
      </w:r>
    </w:p>
    <w:p w14:paraId="03B781F0">
      <w:pPr>
        <w:spacing w:line="560" w:lineRule="exact"/>
        <w:jc w:val="center"/>
        <w:rPr>
          <w:rFonts w:ascii="Times New Roman" w:hAnsi="Times New Roman" w:eastAsia="楷体_GB2312" w:cs="Times New Roman"/>
          <w:b/>
          <w:bCs/>
          <w:spacing w:val="20"/>
          <w:sz w:val="56"/>
          <w:szCs w:val="72"/>
        </w:rPr>
      </w:pPr>
    </w:p>
    <w:p w14:paraId="737CB94B">
      <w:pPr>
        <w:spacing w:line="560" w:lineRule="exact"/>
        <w:ind w:left="1342" w:leftChars="639"/>
        <w:jc w:val="left"/>
        <w:rPr>
          <w:rFonts w:ascii="宋体" w:hAnsi="宋体" w:eastAsia="宋体"/>
          <w:sz w:val="28"/>
          <w:szCs w:val="28"/>
          <w:u w:val="single"/>
        </w:rPr>
      </w:pPr>
      <w:r>
        <w:rPr>
          <w:rFonts w:hint="eastAsia" w:ascii="宋体" w:hAnsi="宋体" w:eastAsia="宋体"/>
          <w:spacing w:val="280"/>
          <w:kern w:val="0"/>
          <w:sz w:val="28"/>
          <w:szCs w:val="28"/>
          <w:fitText w:val="1120" w:id="-1956958208"/>
        </w:rPr>
        <w:t>课</w:t>
      </w:r>
      <w:r>
        <w:rPr>
          <w:rFonts w:hint="eastAsia" w:ascii="宋体" w:hAnsi="宋体" w:eastAsia="宋体"/>
          <w:spacing w:val="0"/>
          <w:kern w:val="0"/>
          <w:sz w:val="28"/>
          <w:szCs w:val="28"/>
          <w:fitText w:val="1120" w:id="-1956958208"/>
        </w:rPr>
        <w:t>程</w:t>
      </w:r>
      <w:r>
        <w:rPr>
          <w:rFonts w:hint="eastAsia" w:ascii="宋体" w:hAnsi="宋体" w:eastAsia="宋体"/>
          <w:sz w:val="28"/>
          <w:szCs w:val="28"/>
        </w:rPr>
        <w:t>：</w:t>
      </w:r>
      <w:r>
        <w:rPr>
          <w:rFonts w:ascii="宋体" w:hAnsi="宋体" w:eastAsia="宋体"/>
          <w:sz w:val="28"/>
          <w:szCs w:val="28"/>
          <w:u w:val="single"/>
        </w:rPr>
        <w:t xml:space="preserve">     </w:t>
      </w:r>
      <w:r>
        <w:rPr>
          <w:rFonts w:hint="eastAsia" w:ascii="宋体" w:hAnsi="宋体" w:eastAsia="宋体"/>
          <w:sz w:val="28"/>
          <w:szCs w:val="28"/>
          <w:u w:val="single"/>
        </w:rPr>
        <w:t>可穿戴计算</w:t>
      </w:r>
      <w:r>
        <w:rPr>
          <w:rFonts w:ascii="宋体" w:hAnsi="宋体" w:eastAsia="宋体"/>
          <w:sz w:val="28"/>
          <w:szCs w:val="28"/>
          <w:u w:val="single"/>
        </w:rPr>
        <w:t xml:space="preserve">   </w:t>
      </w:r>
    </w:p>
    <w:p w14:paraId="0FEFD8CF">
      <w:pPr>
        <w:spacing w:line="720" w:lineRule="auto"/>
        <w:ind w:left="1342" w:leftChars="639"/>
        <w:jc w:val="left"/>
        <w:rPr>
          <w:rFonts w:ascii="宋体" w:hAnsi="宋体" w:eastAsia="宋体"/>
          <w:sz w:val="28"/>
          <w:szCs w:val="28"/>
          <w:u w:val="single"/>
        </w:rPr>
      </w:pPr>
      <w:r>
        <w:rPr>
          <w:rFonts w:hint="eastAsia" w:ascii="宋体" w:hAnsi="宋体" w:eastAsia="宋体"/>
          <w:spacing w:val="280"/>
          <w:kern w:val="0"/>
          <w:sz w:val="28"/>
          <w:szCs w:val="28"/>
          <w:fitText w:val="1120" w:id="-1956958207"/>
        </w:rPr>
        <w:t>题</w:t>
      </w:r>
      <w:r>
        <w:rPr>
          <w:rFonts w:hint="eastAsia" w:ascii="宋体" w:hAnsi="宋体" w:eastAsia="宋体"/>
          <w:spacing w:val="0"/>
          <w:kern w:val="0"/>
          <w:sz w:val="28"/>
          <w:szCs w:val="28"/>
          <w:fitText w:val="1120" w:id="-1956958207"/>
        </w:rPr>
        <w:t>目</w:t>
      </w:r>
      <w:r>
        <w:rPr>
          <w:rFonts w:hint="eastAsia" w:ascii="宋体" w:hAnsi="宋体" w:eastAsia="宋体"/>
          <w:sz w:val="28"/>
          <w:szCs w:val="28"/>
        </w:rPr>
        <w:t>：</w:t>
      </w:r>
      <w:r>
        <w:rPr>
          <w:rFonts w:hint="eastAsia" w:ascii="宋体" w:hAnsi="宋体" w:eastAsia="宋体"/>
          <w:sz w:val="24"/>
          <w:szCs w:val="24"/>
          <w:u w:val="single"/>
        </w:rPr>
        <w:t xml:space="preserve"> </w:t>
      </w:r>
      <w:r>
        <w:rPr>
          <w:rFonts w:ascii="宋体" w:hAnsi="宋体" w:eastAsia="宋体"/>
          <w:sz w:val="24"/>
          <w:szCs w:val="24"/>
          <w:u w:val="single"/>
        </w:rPr>
        <w:t xml:space="preserve"> </w:t>
      </w:r>
      <w:r>
        <w:rPr>
          <w:rFonts w:hint="eastAsia" w:ascii="宋体" w:hAnsi="宋体" w:eastAsia="宋体"/>
          <w:sz w:val="24"/>
          <w:szCs w:val="24"/>
          <w:u w:val="single"/>
          <w:lang w:val="en-US" w:eastAsia="zh-CN"/>
        </w:rPr>
        <w:t>基于智能手机的人类活动识别</w:t>
      </w:r>
      <w:r>
        <w:rPr>
          <w:rFonts w:ascii="宋体" w:hAnsi="宋体" w:eastAsia="宋体"/>
          <w:sz w:val="24"/>
          <w:szCs w:val="24"/>
          <w:u w:val="single"/>
        </w:rPr>
        <w:t xml:space="preserve"> </w:t>
      </w:r>
      <w:r>
        <w:rPr>
          <w:rFonts w:ascii="宋体" w:hAnsi="宋体" w:eastAsia="宋体"/>
          <w:sz w:val="28"/>
          <w:szCs w:val="28"/>
          <w:u w:val="single"/>
        </w:rPr>
        <w:t xml:space="preserve"> </w:t>
      </w:r>
    </w:p>
    <w:p w14:paraId="44355586">
      <w:pPr>
        <w:jc w:val="center"/>
        <w:rPr>
          <w:rFonts w:ascii="宋体" w:hAnsi="宋体" w:eastAsia="宋体"/>
          <w:sz w:val="28"/>
          <w:szCs w:val="28"/>
        </w:rPr>
      </w:pPr>
      <w:bookmarkStart w:id="0" w:name="_GoBack"/>
      <w:bookmarkEnd w:id="0"/>
    </w:p>
    <w:tbl>
      <w:tblPr>
        <w:tblStyle w:val="6"/>
        <w:tblW w:w="8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4"/>
      </w:tblGrid>
      <w:tr w14:paraId="5BA0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4" w:hRule="atLeast"/>
          <w:jc w:val="center"/>
        </w:trPr>
        <w:tc>
          <w:tcPr>
            <w:tcW w:w="8284" w:type="dxa"/>
          </w:tcPr>
          <w:p w14:paraId="0F06130A">
            <w:pPr>
              <w:spacing w:line="440" w:lineRule="exact"/>
              <w:ind w:firstLine="442" w:firstLineChars="200"/>
              <w:rPr>
                <w:rFonts w:hint="eastAsia" w:asciiTheme="minorEastAsia" w:hAnsiTheme="minorEastAsia"/>
                <w:bCs/>
                <w:szCs w:val="21"/>
              </w:rPr>
            </w:pPr>
            <w:r>
              <w:rPr>
                <w:rFonts w:hint="eastAsia" w:asciiTheme="minorEastAsia" w:hAnsiTheme="minorEastAsia"/>
                <w:b/>
                <w:bCs w:val="0"/>
                <w:sz w:val="22"/>
                <w:szCs w:val="22"/>
              </w:rPr>
              <w:t>摘要：</w:t>
            </w:r>
          </w:p>
          <w:p w14:paraId="080022F0">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在移动互联网与智能硬件快速发展的背景下，智能手机内置的加速度计、陀螺仪等传感器为人类活动识别（HAR）提供了低成本、易部署的硬件基础。针对传统HAR系统依赖专用传感器、多场景适配性差、模型部署兼容性不足以及实时性与功耗难以平衡等问题，本研究提出一种多场景适配的轻量化HAR解决方案。首先，设计标准化数据采集方案，以50Hz频率采集加速度计和陀螺仪数据，结合UCI-HAR、UCI-WISDM公开数据集与自采集数据，构建腰部、裤兜、手拿多设备位置专属数据集；其次，基于数据集特征设计差异化模型，采用CNN-Transformer架构处理UCI-HAR的9轴融合信号，MobileViT轻量化架构适配UCI-WISDM的3轴加速度信号，通过混合精度训练优化计算效率；随后，提出差异化ONNX转TFLite策略，利用onnx2tf工具适配CNN-Transformer模型，通过Opset 11降级与ai-edge-torch工具解决MobileViT模型转换兼容性问题；最后，开发Android端APP，实现传感器数据实时采集、多模型切换、加速度波形动态绘制与识别结果展示等功能。实验表明，CNN-Transformer模型在UCI-HAR数据集上测试准确率达95.22%，MobileViT模型在UCI-WISDM数据集上准确率达94.71%，系统可稳定识别行走、跑步、上下楼梯等多种日常活动，兼顾识别精度、实时性与移动端适配性，为低成本、广覆盖的HAR应用提供了可行技术路径。</w:t>
            </w:r>
          </w:p>
          <w:p w14:paraId="7E46C457">
            <w:pPr>
              <w:spacing w:line="440" w:lineRule="exact"/>
              <w:ind w:firstLine="420" w:firstLineChars="200"/>
              <w:rPr>
                <w:rFonts w:hint="eastAsia" w:asciiTheme="minorEastAsia" w:hAnsiTheme="minorEastAsia"/>
                <w:bCs/>
                <w:szCs w:val="21"/>
              </w:rPr>
            </w:pPr>
          </w:p>
        </w:tc>
      </w:tr>
      <w:tr w14:paraId="267D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5" w:hRule="atLeast"/>
          <w:jc w:val="center"/>
        </w:trPr>
        <w:tc>
          <w:tcPr>
            <w:tcW w:w="8284" w:type="dxa"/>
          </w:tcPr>
          <w:p w14:paraId="386A3CC6">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一、研究背景</w:t>
            </w:r>
          </w:p>
          <w:p w14:paraId="43F2596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在移动互联网与智能硬件快速发展的背景下，智能手机已成为人们日常生活中不可或缺的随身设备。其内置的加速度计、陀螺仪等惯性传感器，能够实时捕捉人体运动过程中的物理信号，为人类活动识别（HAR）技术提供了低成本、易部署的硬件基础。人类活动识别作为智能健康、人机交互、智能家居等领域的核心技术，能够自动识别用户的日常活动状态（如行走、跑步、上下楼梯等），在健康监测（如运动数据统计、老年人跌倒检测）、运动分析（如姿势矫正、训练效果评估）、智能节能（如根据活动状态调整设备功耗）等场景中具有重要的应用价值。</w:t>
            </w:r>
          </w:p>
          <w:p w14:paraId="6BAD5F61">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随着用户对个性化、智能化服务需求的不断提升，传统依赖专用传感器或单一算法的活动识别系统已难以满足实际应用需求。如何利用智能手机的通用硬件资源，设计高精度、实时化、低功耗的人类活动识别方案，实现复杂场景下的准确识别与高效部署，成为当前相关领域的研究重点与难点。本研究基于智能手机平台，结合深度学习技术，构建多场景适配的人类活动识别系统，为相关应用的开发提供技术支撑。</w:t>
            </w:r>
          </w:p>
          <w:p w14:paraId="5B91C617">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二、研究问题</w:t>
            </w:r>
          </w:p>
          <w:p w14:paraId="2F4FCAA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尽管基于智能手机的人类活动识别技术已取得一定进展，但在实际应用中仍面临以下关键问题：</w:t>
            </w:r>
          </w:p>
          <w:p w14:paraId="5944F87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采集的一致性与可靠性问题：智能手机的佩戴位置（腰部、裤兜、手拿等）会直接影响传感器数据的分布特征，不同位置的运动信号差异较大，易导致模型识别准确率下降；同时，传感器数据采集过程中易受环境干扰（如震动、碰撞）和设备差异（不同品牌手机的传感器精度、采样频率差异）影响，导致数据质量参差不齐，难以保证识别结果的稳定性。</w:t>
            </w:r>
          </w:p>
          <w:p w14:paraId="45D3ABF1">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性能与移动端适配的平衡问题：深度学习模型的识别准确率与模型复杂度正相关，但智能手机的计算资源和电池容量有限，复杂模型在移动端部署时面临推理速度慢、功耗高的问题；而简单模型虽能满足实时性要求，但识别准确率难以达到实际应用标准。如何设计兼顾高精度与轻量化的模型架构，是技术落地的核心挑战。</w:t>
            </w:r>
          </w:p>
          <w:p w14:paraId="469D382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模型转换与部署的兼容性问题：训练好的深度学习模型（如 PyTorch 模型）需转换为移动端支持的 TFLite 格式才能部署，而不同模型架构（如 CNN-Transformer、MobileViT）的算子组成和维度排列存在差异，转换过程中易出现算子不兼容、维度冲突等问题，影响模型部署的成功率和运行性能。</w:t>
            </w:r>
          </w:p>
          <w:p w14:paraId="6A0F352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多场景适配与用户交互体验问题：现有活动识别应用多针对单一使用场景设计，缺乏对不同设备位置的适配能力；同时，用户界面设计不够直观，缺乏传感器数据实时展示、识别结果动态更新等交互功能，影响用户使用体验。</w:t>
            </w:r>
          </w:p>
          <w:p w14:paraId="4130AE04">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三、研究现状</w:t>
            </w:r>
          </w:p>
          <w:p w14:paraId="0154463E">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人类活动识别技术的研究经历了从手工特征工程到特征自动学习的跨越 。</w:t>
            </w:r>
          </w:p>
          <w:p w14:paraId="41E68E1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特征工程阶段：早期研究主要依赖 K 近邻（KNN）、支持向量机（SVM）和决策树等传统机器学习算法 。该阶段核心在于利用专家经验提取时域（如均值、方差）和频域（如能量、熵）特征 。虽然计算开销较小，但对复杂活动的表征能力有限，且泛化性能较差 。</w:t>
            </w:r>
          </w:p>
          <w:p w14:paraId="1493158E">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深度学习阶段：随着算力提升，卷积神经网络（CNN）因其卓越的局部时空特征提取能力被广泛应用；递归神经网络（RNN/LSTM）则通过建模时序依赖关系，提升了对动态活动的识别精度 。近期，Transformer 架构凭借自注意力机制（Self-Attention）在捕捉全局特征关联方面表现出显著优势 。</w:t>
            </w:r>
          </w:p>
          <w:p w14:paraId="039F401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模型融合与轻量化阶段：当前研究热点已转向混合架构，如 CNN-Transformer 结合了局部感野与全局依赖建模，而 MobileViT 等架构则在保证性能的同时，极大降低了参数量 。</w:t>
            </w:r>
          </w:p>
          <w:p w14:paraId="4217514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存在的问题与局限性：</w:t>
            </w:r>
          </w:p>
          <w:p w14:paraId="6E42EB8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场景适配性差</w:t>
            </w:r>
            <w:r>
              <w:rPr>
                <w:rFonts w:hint="eastAsia" w:asciiTheme="minorEastAsia" w:hAnsiTheme="minorEastAsia"/>
                <w:bCs/>
                <w:szCs w:val="21"/>
                <w:lang w:eastAsia="zh-CN"/>
              </w:rPr>
              <w:t>：</w:t>
            </w:r>
            <w:r>
              <w:rPr>
                <w:rFonts w:hint="eastAsia" w:asciiTheme="minorEastAsia" w:hAnsiTheme="minorEastAsia"/>
                <w:bCs/>
                <w:szCs w:val="21"/>
              </w:rPr>
              <w:t>现有研究多基于固定设备位置的数据集（如腰部），难以适配手机在实际使用中位置切换带来的信号偏移 。</w:t>
            </w:r>
          </w:p>
          <w:p w14:paraId="17115CE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部署鸿沟：许多高精度模型在移动端部署时面临算子不兼容、转换效率低以及实时性与功耗难以平衡的挑战 。</w:t>
            </w:r>
          </w:p>
          <w:p w14:paraId="0409FF94">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四、可行性分析</w:t>
            </w:r>
          </w:p>
          <w:p w14:paraId="00D98BF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硬件支撑可行性：当前主流智能手机均配备高精度的加速度计和陀螺仪，支持 50Hz 及以上的采样频率，能够满足本研究对数据采集精度和实时性的要求；智能手机的 CPU、GPU 性能不断提升，具备运行轻量化深度学习模型的计算能力，为模型实时推理提供了硬件保障。</w:t>
            </w:r>
          </w:p>
          <w:p w14:paraId="7E37E1C5">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数据资源可行性：UCI-HAR 和 UCI-WISDM 公开数据集标注规范、数据量充足，涵盖多种日常活动类型，可直接用于模型训练与验证；同时，本研究可通过自采集方式获取手拿位置的活动数据，补充公开数据集在设备位置场景上的不足，构建多位置适配的数据集体系，为模型训练提供全面的数据支撑。</w:t>
            </w:r>
          </w:p>
          <w:p w14:paraId="79D20CD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技术实现可行性：深度学习框架（PyTorch）提供了完善的模型构建、训练接口，支持混合精度训练、动态图建模等功能，便于实现 CNN-Transformer 和 MobileViT 模型的训练与优化；onnx2tf、ai-edge-torch 等工具为模型转换提供了技术支持，能够有效解决算子兼容性、维度冲突等问题，确保模型顺利转换为 TFLite 格式；Android 开发技术（Kotlin、Jetpack Compose）成熟稳定，具备丰富的 UI 组件和传感器操作 API，便于实现数据采集、模型推理、结果展示等功能模块的开发。</w:t>
            </w:r>
          </w:p>
          <w:p w14:paraId="624E9BB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项目实施可行性：本研究的技术方案已明确，核心功能模块（数据采集、模型训练、模型转换、APP 开发）逻辑清晰，可分阶段、分模块逐步实施。模型训练可在 Google Colab 平台利用 GPU 加速完成，提升训练效率；APP 开发可基于 Android Studio 实现，具备完善的调试工具和模拟器支持，降低开发难度。</w:t>
            </w:r>
          </w:p>
          <w:p w14:paraId="175E3E84">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五、解决思路</w:t>
            </w:r>
          </w:p>
          <w:p w14:paraId="7AFB466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针对基于智能手机的人类活动识别技术存在的问题，结合现有研究基础和技术条件，本研究提出以下解决思路：</w:t>
            </w:r>
          </w:p>
          <w:p w14:paraId="25F077A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标准化数据采集与多场景适配：设计统一的数据采集方案，明确采集频率（50Hz）、数据格式（CSV）、存储路径（外部存储 / HAR 目录或应用内部存储），确保数据采集的一致性；针对腰部、裤兜、手拿三种常见设备位置，分别构建专属数据集（UCI-HAR 数据集适配腰部、UCI-WISDM 数据集适配裤兜、自采集数据集适配手拿），为不同场景下的模型训练提供数据支撑；通过滑动窗口分割时序数据，提取固定长度的特征序列，满足模型输入要求。</w:t>
            </w:r>
          </w:p>
          <w:p w14:paraId="499FF26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差异化模型架构设计与优化：根据不同数据集的特征（UCI-HAR 为 9 轴融合信号，UCI-WISDM 为 3 轴加速度信号），设计差异化的模型架构。对于 UCI-HAR 数据集，采用 CNN-Transformer 混合架构，通过 CNN 提取局部特征，Transformer 捕捉全局依赖，结合混合精度训练技术提升训练效率；对于 UCI-WISDM 数据集，采用 MobileViT 轻量化架构，简化模型结构，降低计算复杂度，满足移动端实时推理需求；通过多轮实验优化模型超参数（如卷积核大小、Transformer 头数、学习率等），提升模型识别准确率。</w:t>
            </w:r>
          </w:p>
          <w:p w14:paraId="363FC48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分场景模型转换与部署方案：针对 CNN-Transformer 和 MobileViT 模型的架构特点，制定差异化的 ONNX 转 TFLite 转换策略。对于 CNN-Transformer 模型，采用 onnx2tf 工具进行参数化转换，通过模型简化、指定输入形状、保持转置算子顺序等步骤，解决维度冲突问题；对于 MobileViT 模型，采用 Opset 11 降级与 ai-edge-torch 跟踪法，将复杂算子分解为基础算子，提升模型转换兼容性；将转换后的 TFLite 模型集成到 Android APP 中，实现模型的高效部署。</w:t>
            </w:r>
          </w:p>
          <w:p w14:paraId="18923A1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全流程功能开发与交互优化：开发 Android 端 APP，实现传感器数据实时采集、预处理、模型推理、识别结果展示等全流程功能；设计直观的用户界面，包含活动标签输入、传感器数据实时展示、加速度波形动态绘制、状态卡片等组件；支持多设备位置模型切换功能，用户可根据实际使用场景选择对应的模型，提升识别准确率；优化 APP 性能，降低传感器数据采集和模型推理过程中的功耗消耗。</w:t>
            </w:r>
          </w:p>
          <w:p w14:paraId="5FEE7CB6">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六、技术方案（重点）</w:t>
            </w:r>
          </w:p>
          <w:p w14:paraId="3C244900">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本研究的技术方案围绕数据采集、模型训练、模型转换、APP 开发四个核心环节展开，形成完整的基于智能手机的人类活动识别系统，具体如下：</w:t>
            </w:r>
          </w:p>
          <w:p w14:paraId="6E702561">
            <w:pPr>
              <w:numPr>
                <w:ilvl w:val="0"/>
                <w:numId w:val="1"/>
              </w:numPr>
              <w:spacing w:line="440" w:lineRule="exact"/>
              <w:ind w:firstLine="422" w:firstLineChars="200"/>
              <w:rPr>
                <w:rFonts w:hint="eastAsia" w:asciiTheme="minorEastAsia" w:hAnsiTheme="minorEastAsia"/>
                <w:b/>
                <w:bCs w:val="0"/>
                <w:szCs w:val="21"/>
              </w:rPr>
            </w:pPr>
            <w:r>
              <w:rPr>
                <w:rFonts w:hint="eastAsia" w:asciiTheme="minorEastAsia" w:hAnsiTheme="minorEastAsia"/>
                <w:b/>
                <w:bCs w:val="0"/>
                <w:szCs w:val="21"/>
              </w:rPr>
              <w:t>核心技术栈选型</w:t>
            </w:r>
          </w:p>
          <w:tbl>
            <w:tblPr>
              <w:tblStyle w:val="5"/>
              <w:tblW w:w="0" w:type="auto"/>
              <w:tblCellSpacing w:w="15" w:type="dxa"/>
              <w:tblInd w:w="-179"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99"/>
              <w:gridCol w:w="3446"/>
              <w:gridCol w:w="2578"/>
            </w:tblGrid>
            <w:tr w14:paraId="263D7BE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679" w:hRule="atLeast"/>
                <w:tblHeader/>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3778D0">
                  <w:pPr>
                    <w:keepNext w:val="0"/>
                    <w:keepLines w:val="0"/>
                    <w:widowControl/>
                    <w:suppressLineNumbers w:val="0"/>
                    <w:bidi w:val="0"/>
                    <w:spacing w:before="0" w:beforeAutospacing="0" w:after="0" w:afterAutospacing="0" w:line="14" w:lineRule="atLeast"/>
                    <w:ind w:left="0" w:right="0"/>
                    <w:jc w:val="left"/>
                    <w:rPr>
                      <w:rFonts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技术环节</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B33752">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核心技术 / 工具选型</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1EFB25">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lang w:val="en-US" w:eastAsia="zh-CN" w:bidi="ar"/>
                    </w:rPr>
                    <w:t>说明</w:t>
                  </w:r>
                </w:p>
              </w:tc>
            </w:tr>
            <w:tr w14:paraId="49E082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4EA39D">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移动端开发</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BC7B4D">
                  <w:pPr>
                    <w:spacing w:line="440" w:lineRule="exact"/>
                    <w:rPr>
                      <w:rFonts w:hint="default" w:asciiTheme="minorEastAsia" w:hAnsiTheme="minorEastAsia"/>
                      <w:bCs/>
                      <w:szCs w:val="21"/>
                    </w:rPr>
                  </w:pPr>
                  <w:r>
                    <w:rPr>
                      <w:rFonts w:hint="default" w:asciiTheme="minorEastAsia" w:hAnsiTheme="minorEastAsia"/>
                      <w:bCs/>
                      <w:szCs w:val="21"/>
                      <w:lang w:val="en-US" w:eastAsia="zh-CN"/>
                    </w:rPr>
                    <w:t>Android,Kotlin,Jetpack Compose</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39A186">
                  <w:pPr>
                    <w:spacing w:line="440" w:lineRule="exact"/>
                    <w:ind w:firstLine="420" w:firstLineChars="200"/>
                    <w:rPr>
                      <w:rFonts w:hint="default" w:asciiTheme="minorEastAsia" w:hAnsiTheme="minorEastAsia"/>
                      <w:bCs/>
                      <w:szCs w:val="21"/>
                    </w:rPr>
                  </w:pPr>
                  <w:r>
                    <w:rPr>
                      <w:rFonts w:hint="default" w:asciiTheme="minorEastAsia" w:hAnsiTheme="minorEastAsia"/>
                      <w:bCs/>
                      <w:szCs w:val="21"/>
                      <w:lang w:val="en-US" w:eastAsia="zh-CN"/>
                    </w:rPr>
                    <w:t>Android 平台用户基数大，Kotlin 为官方推荐开发语言，Jetpack Compose 便于构建现代化 UI。</w:t>
                  </w:r>
                </w:p>
              </w:tc>
            </w:tr>
            <w:tr w14:paraId="2D310E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6864E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传感器数据采集</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343B03">
                  <w:pPr>
                    <w:spacing w:line="440" w:lineRule="exact"/>
                    <w:rPr>
                      <w:rFonts w:hint="default" w:asciiTheme="minorEastAsia" w:hAnsiTheme="minorEastAsia"/>
                      <w:bCs/>
                      <w:szCs w:val="21"/>
                    </w:rPr>
                  </w:pPr>
                  <w:r>
                    <w:rPr>
                      <w:rFonts w:hint="default" w:asciiTheme="minorEastAsia" w:hAnsiTheme="minorEastAsia"/>
                      <w:bCs/>
                      <w:szCs w:val="21"/>
                      <w:lang w:val="en-US" w:eastAsia="zh-CN"/>
                    </w:rPr>
                    <w:t>加速度计、陀螺仪</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3619B38">
                  <w:pPr>
                    <w:spacing w:line="440" w:lineRule="exact"/>
                    <w:ind w:firstLine="420" w:firstLineChars="200"/>
                    <w:rPr>
                      <w:rFonts w:hint="default" w:asciiTheme="minorEastAsia" w:hAnsiTheme="minorEastAsia"/>
                      <w:bCs/>
                      <w:szCs w:val="21"/>
                    </w:rPr>
                  </w:pPr>
                  <w:r>
                    <w:rPr>
                      <w:rFonts w:hint="default" w:asciiTheme="minorEastAsia" w:hAnsiTheme="minorEastAsia"/>
                      <w:bCs/>
                      <w:szCs w:val="21"/>
                      <w:lang w:val="en-US" w:eastAsia="zh-CN"/>
                    </w:rPr>
                    <w:t>利用智能手机内置的核心惯性传感器，可有效捕捉三轴重力与角速度变化，捕捉复杂人体运动信号。</w:t>
                  </w:r>
                </w:p>
              </w:tc>
            </w:tr>
            <w:tr w14:paraId="5294C2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6268529">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数据处理</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FA5FD5">
                  <w:pPr>
                    <w:spacing w:line="440" w:lineRule="exact"/>
                    <w:rPr>
                      <w:rFonts w:hint="default" w:asciiTheme="minorEastAsia" w:hAnsiTheme="minorEastAsia"/>
                      <w:bCs/>
                      <w:szCs w:val="21"/>
                    </w:rPr>
                  </w:pPr>
                  <w:r>
                    <w:rPr>
                      <w:rFonts w:hint="default" w:asciiTheme="minorEastAsia" w:hAnsiTheme="minorEastAsia"/>
                      <w:bCs/>
                      <w:szCs w:val="21"/>
                      <w:lang w:val="en-US" w:eastAsia="zh-CN"/>
                    </w:rPr>
                    <w:t>Python（训练端）、Kotlin（移动端）</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D8CDA29">
                  <w:pPr>
                    <w:spacing w:line="440" w:lineRule="exact"/>
                    <w:ind w:firstLine="420" w:firstLineChars="200"/>
                    <w:rPr>
                      <w:rFonts w:hint="default" w:asciiTheme="minorEastAsia" w:hAnsiTheme="minorEastAsia"/>
                      <w:bCs/>
                      <w:szCs w:val="21"/>
                    </w:rPr>
                  </w:pPr>
                  <w:r>
                    <w:rPr>
                      <w:rFonts w:hint="default" w:asciiTheme="minorEastAsia" w:hAnsiTheme="minorEastAsia"/>
                      <w:bCs/>
                      <w:szCs w:val="21"/>
                      <w:lang w:val="en-US" w:eastAsia="zh-CN"/>
                    </w:rPr>
                    <w:t>Python 具备丰富的数据科学库（Pandas, NumPy），Kotlin 适配 Android 端滑动窗口实时数据预处理需求。</w:t>
                  </w:r>
                </w:p>
              </w:tc>
            </w:tr>
            <w:tr w14:paraId="28594FC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B3889B4">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模型训练架构</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C48844">
                  <w:pPr>
                    <w:spacing w:line="440" w:lineRule="exact"/>
                    <w:rPr>
                      <w:rFonts w:hint="default" w:asciiTheme="minorEastAsia" w:hAnsiTheme="minorEastAsia"/>
                      <w:bCs/>
                      <w:szCs w:val="21"/>
                    </w:rPr>
                  </w:pPr>
                  <w:r>
                    <w:rPr>
                      <w:rFonts w:hint="default" w:asciiTheme="minorEastAsia" w:hAnsiTheme="minorEastAsia"/>
                      <w:bCs/>
                      <w:szCs w:val="21"/>
                      <w:lang w:val="en-US" w:eastAsia="zh-CN"/>
                    </w:rPr>
                    <w:t>PyTorch,CNN-Transformer, MobileViT</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297A44">
                  <w:pPr>
                    <w:spacing w:line="440" w:lineRule="exact"/>
                    <w:ind w:firstLine="420" w:firstLineChars="200"/>
                    <w:rPr>
                      <w:rFonts w:hint="default" w:asciiTheme="minorEastAsia" w:hAnsiTheme="minorEastAsia"/>
                      <w:bCs/>
                      <w:szCs w:val="21"/>
                    </w:rPr>
                  </w:pPr>
                  <w:r>
                    <w:rPr>
                      <w:rFonts w:hint="default" w:asciiTheme="minorEastAsia" w:hAnsiTheme="minorEastAsia"/>
                      <w:bCs/>
                      <w:szCs w:val="21"/>
                      <w:lang w:val="en-US" w:eastAsia="zh-CN"/>
                    </w:rPr>
                    <w:t>PyTorc支持动态图建模；针对不同场景分</w:t>
                  </w:r>
                  <w:r>
                    <w:rPr>
                      <w:rFonts w:hint="eastAsia" w:asciiTheme="minorEastAsia" w:hAnsiTheme="minorEastAsia"/>
                      <w:bCs/>
                      <w:szCs w:val="21"/>
                      <w:lang w:val="en-US" w:eastAsia="zh-CN"/>
                    </w:rPr>
                    <w:t>别</w:t>
                  </w:r>
                  <w:r>
                    <w:rPr>
                      <w:rFonts w:hint="default" w:asciiTheme="minorEastAsia" w:hAnsiTheme="minorEastAsia"/>
                      <w:bCs/>
                      <w:szCs w:val="21"/>
                      <w:lang w:val="en-US" w:eastAsia="zh-CN"/>
                    </w:rPr>
                    <w:t>采用 CNN-Transformer 与 MobileViT 架构，兼顾高识别性能与轻量化需求。</w:t>
                  </w:r>
                </w:p>
              </w:tc>
            </w:tr>
            <w:tr w14:paraId="44E156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B7534F">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模型转换与部署</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EDB05B7">
                  <w:pPr>
                    <w:spacing w:line="440" w:lineRule="exact"/>
                    <w:rPr>
                      <w:rFonts w:hint="default" w:asciiTheme="minorEastAsia" w:hAnsiTheme="minorEastAsia"/>
                      <w:bCs/>
                      <w:szCs w:val="21"/>
                    </w:rPr>
                  </w:pPr>
                  <w:r>
                    <w:rPr>
                      <w:rFonts w:hint="default" w:asciiTheme="minorEastAsia" w:hAnsiTheme="minorEastAsia"/>
                      <w:bCs/>
                      <w:szCs w:val="21"/>
                      <w:lang w:val="en-US" w:eastAsia="zh-CN"/>
                    </w:rPr>
                    <w:t>ONNX,onnx2tf, ai-edge-torch, TFLite</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C7D6AD">
                  <w:pPr>
                    <w:spacing w:line="440" w:lineRule="exact"/>
                    <w:ind w:firstLine="420" w:firstLineChars="200"/>
                    <w:rPr>
                      <w:rFonts w:hint="default" w:asciiTheme="minorEastAsia" w:hAnsiTheme="minorEastAsia"/>
                      <w:bCs/>
                      <w:szCs w:val="21"/>
                    </w:rPr>
                  </w:pPr>
                  <w:r>
                    <w:rPr>
                      <w:rFonts w:hint="default" w:asciiTheme="minorEastAsia" w:hAnsiTheme="minorEastAsia"/>
                      <w:bCs/>
                      <w:szCs w:val="21"/>
                      <w:lang w:val="en-US" w:eastAsia="zh-CN"/>
                    </w:rPr>
                    <w:t>ONNX 作为中间格式；通过 onnx2tf 和 ai-edge-torch 解决 Transformer 算子转换兼容性问题，最终以 TFLite 适配移动端部署。</w:t>
                  </w:r>
                </w:p>
              </w:tc>
            </w:tr>
            <w:tr w14:paraId="49E944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7BBADE">
                  <w:pPr>
                    <w:keepNext w:val="0"/>
                    <w:keepLines w:val="0"/>
                    <w:widowControl/>
                    <w:suppressLineNumbers w:val="0"/>
                    <w:bidi w:val="0"/>
                    <w:spacing w:before="0" w:beforeAutospacing="0" w:after="0" w:afterAutospacing="0" w:line="14"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lang w:val="en-US" w:eastAsia="zh-CN" w:bidi="ar"/>
                    </w:rPr>
                    <w:t>开发与训练平台</w:t>
                  </w:r>
                </w:p>
              </w:tc>
              <w:tc>
                <w:tcPr>
                  <w:tcW w:w="341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3B3AC44">
                  <w:pPr>
                    <w:spacing w:line="440" w:lineRule="exact"/>
                    <w:rPr>
                      <w:rFonts w:hint="default" w:asciiTheme="minorEastAsia" w:hAnsiTheme="minorEastAsia"/>
                      <w:bCs/>
                      <w:szCs w:val="21"/>
                    </w:rPr>
                  </w:pPr>
                  <w:r>
                    <w:rPr>
                      <w:rFonts w:hint="default" w:asciiTheme="minorEastAsia" w:hAnsiTheme="minorEastAsia"/>
                      <w:bCs/>
                      <w:szCs w:val="21"/>
                      <w:lang w:val="en-US" w:eastAsia="zh-CN"/>
                    </w:rPr>
                    <w:t>Android Studio, Google Colab</w:t>
                  </w:r>
                </w:p>
              </w:tc>
              <w:tc>
                <w:tcPr>
                  <w:tcW w:w="253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9F6D62">
                  <w:pPr>
                    <w:spacing w:line="440" w:lineRule="exact"/>
                    <w:ind w:firstLine="420" w:firstLineChars="200"/>
                    <w:rPr>
                      <w:rFonts w:hint="default" w:asciiTheme="minorEastAsia" w:hAnsiTheme="minorEastAsia"/>
                      <w:bCs/>
                      <w:szCs w:val="21"/>
                    </w:rPr>
                  </w:pPr>
                  <w:r>
                    <w:rPr>
                      <w:rFonts w:hint="default" w:asciiTheme="minorEastAsia" w:hAnsiTheme="minorEastAsia"/>
                      <w:bCs/>
                      <w:szCs w:val="21"/>
                      <w:lang w:val="en-US" w:eastAsia="zh-CN"/>
                    </w:rPr>
                    <w:t>Android Studio 为专用 IDE；Google Colab 提供 GPU 算力加速，大幅提升深度学习模型训练与转换效率。</w:t>
                  </w:r>
                </w:p>
              </w:tc>
            </w:tr>
          </w:tbl>
          <w:p w14:paraId="48F11E39">
            <w:pPr>
              <w:spacing w:line="440" w:lineRule="exact"/>
              <w:ind w:firstLine="422" w:firstLineChars="200"/>
              <w:rPr>
                <w:rFonts w:hint="eastAsia" w:asciiTheme="minorEastAsia" w:hAnsiTheme="minorEastAsia"/>
                <w:b/>
                <w:bCs w:val="0"/>
                <w:szCs w:val="21"/>
              </w:rPr>
            </w:pPr>
            <w:r>
              <w:rPr>
                <w:rFonts w:hint="eastAsia" w:asciiTheme="minorEastAsia" w:hAnsiTheme="minorEastAsia"/>
                <w:b/>
                <w:bCs w:val="0"/>
                <w:szCs w:val="21"/>
              </w:rPr>
              <w:t>（二）数据采集方案</w:t>
            </w:r>
          </w:p>
          <w:p w14:paraId="74545BA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采集参数设置：采集频率为 50Hz（通过 20ms 间隔控制），确保数据的时序连续性；数据格式采用 CSV 格式，包含时间戳、活动标签、三轴加速度（单位：m/s² 或 g）、三轴陀螺仪（单位：rad/s）数据，便于后续处理和模型训练。</w:t>
            </w:r>
          </w:p>
          <w:p w14:paraId="23F9928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存储方案设计：数据存储路径支持外部存储 / HAR 目录或应用内部存储，确保数据存储的稳定性和可访问性；针对外部存储依赖手动创建目录的问题，在 APP 中添加目录自动创建逻辑，避免数据保存失败。</w:t>
            </w:r>
          </w:p>
          <w:p w14:paraId="25B6976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数据集构建：采用 “公开数据集 + 自采集数据集” 的方式，UCI-HAR 数据集用于训练腰部位置模型，包含 6 种活动类型（行走、跑步、上楼、下楼、站立、静坐）；UCI-WISDM 数据集用于训练裤兜位置模型，包含多种日常活动类型；自采集数据集用于训练手拿位置模型，通过 APP 采集不同用户在手持手机场景下的活动数据，补充公开数据集的不足。</w:t>
            </w:r>
          </w:p>
          <w:p w14:paraId="55AAF5EC">
            <w:pPr>
              <w:spacing w:line="440" w:lineRule="exact"/>
              <w:ind w:firstLine="422" w:firstLineChars="200"/>
              <w:rPr>
                <w:rFonts w:hint="eastAsia" w:asciiTheme="minorEastAsia" w:hAnsiTheme="minorEastAsia"/>
                <w:b/>
                <w:bCs w:val="0"/>
                <w:szCs w:val="21"/>
              </w:rPr>
            </w:pPr>
            <w:r>
              <w:rPr>
                <w:rFonts w:hint="eastAsia" w:asciiTheme="minorEastAsia" w:hAnsiTheme="minorEastAsia"/>
                <w:b/>
                <w:bCs w:val="0"/>
                <w:szCs w:val="21"/>
              </w:rPr>
              <w:t>（三）模型训练方案</w:t>
            </w:r>
          </w:p>
          <w:p w14:paraId="0EAFFA4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1. 数据预处理与增强</w:t>
            </w:r>
          </w:p>
          <w:p w14:paraId="3256BEE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数据清洗：移除传感器数据中的异常值和缺失值，采用滑动平均、低通滤波等方法降低噪声干扰；</w:t>
            </w:r>
          </w:p>
          <w:p w14:paraId="223D21F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滑动窗口分割：针对时序数据的特点，采用滑动窗口分割技术，窗口大小设为 128，步长设为 64，将连续的传感器数据转换为固定长度的特征序列，满足模型输入要求；</w:t>
            </w:r>
          </w:p>
          <w:p w14:paraId="257A3F2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数据标准化：对 UCI-WISDM 数据集的 3 轴加速度信号进行标准化处理（均值为 0，方差为 1），提升模型训练稳定性；对 UCI-HAR 数据集的 9 轴融合信号进行归一化处理，统一数据尺度。</w:t>
            </w:r>
          </w:p>
          <w:p w14:paraId="648B8420">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2. CNN-Transformer 模型训练（适配 UCI-HAR 数据集）</w:t>
            </w:r>
          </w:p>
          <w:p w14:paraId="310A820B">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模型结构：CNN 层包含 1 个 Conv1d 层（输入通道 9，输出通道 64，卷积核大小 5， padding=2）、BatchNorm1d 层、ReLU 激活函数和 MaxPool1d 层（池化核大小 2），用于提取局部特征；Transformer 编码器包含 2 层编码器层（d_model=64，nhead=8，dim_feedforward=128，dropout=0.1），用于捕捉全局依赖；分类头包含 2 个全连接层（64→32→6），用于输出 6 种活动类型的预测结果。</w:t>
            </w:r>
          </w:p>
          <w:p w14:paraId="5277BD3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训练配置：采用 Adam 优化器，学习率为 0.001，损失函数为交叉熵损失；训练轮数为 20 轮，批量大小为 64；支持混合精度训练（torch.cuda.amp.GradScaler），提升训练效率；训练完成后导出为 ONNX 格式，用于后续转换为 TFLite 格式。</w:t>
            </w:r>
          </w:p>
          <w:p w14:paraId="6640668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3. MobileViT 模型训练（适配 UCI-WISDM 数据集）</w:t>
            </w:r>
          </w:p>
          <w:p w14:paraId="2A8CC79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模型结构：Stem 层包含 1 个 Conv1d 层（输入通道 3，输出通道 16，卷积核大小 3， padding=1）、BatchNorm1d 层和 ReLU 激活函数；MobileViTBlock 包含局部特征提取（Conv1d+BatchNorm1d+ReLU）和全局特征建模（Transformer 编码器），共 2 个 Block；分类头包含 AdaptiveAvgPool1d 层、Flatten 层和全连接层（16→num_classes），用于输出活动类型预测结果。</w:t>
            </w:r>
          </w:p>
          <w:p w14:paraId="0A3AC5F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训练配置：采用 Adam 优化器，学习率为 0.001，损失函数为交叉熵损失；训练轮数为 10 轮，批量大小为 64；支持混合精度训练，提升训练效率；训练完成后导出为 ONNX 格式（Opset 11 版本），便于后续转换为 TFLite 格式。</w:t>
            </w:r>
          </w:p>
          <w:p w14:paraId="14D37829">
            <w:pPr>
              <w:spacing w:line="440" w:lineRule="exact"/>
              <w:ind w:firstLine="422" w:firstLineChars="200"/>
              <w:rPr>
                <w:rFonts w:hint="eastAsia" w:asciiTheme="minorEastAsia" w:hAnsiTheme="minorEastAsia"/>
                <w:b/>
                <w:bCs w:val="0"/>
                <w:szCs w:val="21"/>
              </w:rPr>
            </w:pPr>
            <w:r>
              <w:rPr>
                <w:rFonts w:hint="eastAsia" w:asciiTheme="minorEastAsia" w:hAnsiTheme="minorEastAsia"/>
                <w:b/>
                <w:bCs w:val="0"/>
                <w:szCs w:val="21"/>
              </w:rPr>
              <w:t>（四）模型转换方案（ONNX 转 TFLite）</w:t>
            </w:r>
          </w:p>
          <w:p w14:paraId="7F6B7DF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针对 CNN-Transformer 和 MobileViT 两种模型架构的特点，制定差异化的转换策略，确保模型转换的兼容性和有效性：</w:t>
            </w:r>
          </w:p>
          <w:p w14:paraId="105AE14B">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1. 方法一：基于 onnx2tf 的参数化转换法（适配 CNN-Transformer 模型）</w:t>
            </w:r>
          </w:p>
          <w:p w14:paraId="50BA7680">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步骤 1：模型简化，使用 onnxsim 工具消除动态维度，指定输入形状为 “input:1,128,9”，避免转置算子维度冲突，命令如下：</w:t>
            </w:r>
          </w:p>
          <w:p w14:paraId="16566F8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onnxsim model.onnx model_sim.onnx --overwrite-input-shape "input:1,128,9"</w:t>
            </w:r>
          </w:p>
          <w:p w14:paraId="2E04075B">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步骤 2：核心转换，使用 onnx2tf 工具将简化后的 ONNX 模型转换为 TensorFlow SavedModel 格式，通过 “-kat” 参数保持转置算子顺序，避免注意力机制中矩阵维度翻转，命令如下：</w:t>
            </w:r>
          </w:p>
          <w:p w14:paraId="228AED3E">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onnx2tf -i model_sim.onnx -o saved_model -ois "input:1,128,9" -kat input</w:t>
            </w:r>
          </w:p>
          <w:p w14:paraId="02CB188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步骤 3：TFLite 导出，使用 TensorFlow 工具将 SavedModel 格式转换为 TFLite 格式，支持量化优化，降低模型体积和计算量。</w:t>
            </w:r>
          </w:p>
          <w:p w14:paraId="7E82F71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2. 方法二：基于 Opset 11 降级与 ai-edge-torch 跟踪法（适配 MobileViT 模型）</w:t>
            </w:r>
          </w:p>
          <w:p w14:paraId="48CA015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步骤 1：ONNX 导出优化，在 PyTorch 模型导出为 ONNX 时，强制指定 Opset 版本为 11，将复杂的 Transformer Loop 算子分解为基础的 Add/Mul/Concat 算子，提升转换兼容性，代码如下：</w:t>
            </w:r>
          </w:p>
          <w:p w14:paraId="1E1D391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torch.onnx.export(model, dummy_input, "model_v11.onnx", opset_version=11)</w:t>
            </w:r>
          </w:p>
          <w:p w14:paraId="7321F36D">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步骤 2：直接转换，使用 ai-edge-torch 工具将 ONNX 模型直接转换为 TFLite 格式，跳过中间转换步骤，避免算子翻译 Bug，代码如下：</w:t>
            </w:r>
          </w:p>
          <w:p w14:paraId="45A1538B">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import ai_edge_torch</w:t>
            </w:r>
          </w:p>
          <w:p w14:paraId="35798EB3">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edge_model = ai_edge_torch.convert(model, (sample_input,))</w:t>
            </w:r>
          </w:p>
          <w:p w14:paraId="0160DD8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edge_model.export("model_final.tflite")</w:t>
            </w:r>
          </w:p>
          <w:p w14:paraId="0E0AFC0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步骤 3：异常处理，若转换过程中出现 Sequence/Loop 报错，利用 onnx2tf 工具生成的 auto.json 文件进行参数修复，命令如下：</w:t>
            </w:r>
          </w:p>
          <w:p w14:paraId="1D406D6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onnx2tf -i model_sim.onnx -o saved_model -prf saved_model/model_sim_auto.json</w:t>
            </w:r>
          </w:p>
          <w:p w14:paraId="0EAA7353">
            <w:pPr>
              <w:spacing w:line="440" w:lineRule="exact"/>
              <w:ind w:firstLine="422" w:firstLineChars="200"/>
              <w:rPr>
                <w:rFonts w:hint="eastAsia" w:asciiTheme="minorEastAsia" w:hAnsiTheme="minorEastAsia"/>
                <w:b/>
                <w:bCs w:val="0"/>
                <w:szCs w:val="21"/>
              </w:rPr>
            </w:pPr>
            <w:r>
              <w:rPr>
                <w:rFonts w:hint="eastAsia" w:asciiTheme="minorEastAsia" w:hAnsiTheme="minorEastAsia"/>
                <w:b/>
                <w:bCs w:val="0"/>
                <w:szCs w:val="21"/>
              </w:rPr>
              <w:t>（五）Android APP 开发方案</w:t>
            </w:r>
          </w:p>
          <w:p w14:paraId="46A01D6E">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1. 核心功能模块设计</w:t>
            </w:r>
          </w:p>
          <w:p w14:paraId="3259355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传感器管理模块：负责注册 / 注销加速度计和陀螺仪监听，设置采样频率为 SensorManager.SENSOR_DELAY_GAME，确保数据采集的实时性；支持传感器存在性检查，避免模拟器等无传感器设备运行报错。</w:t>
            </w:r>
          </w:p>
          <w:p w14:paraId="11280F3B">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数据采集控制模块：实现数据采集的开始 / 停止逻辑，通过按钮交互触发；采集过程中实时将传感器数据存入滑动窗口缓冲区（窗口大小 128），为模型推理提供输入数据。</w:t>
            </w:r>
          </w:p>
          <w:p w14:paraId="0415F6CA">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数据存储模块：将采集到的传感器数据转换为 CSV 格式，保存至指定存储路径；支持自动创建存储目录，提升数据保存成功率；包含数据标签输入功能，支持用户自定义活动标签。</w:t>
            </w:r>
          </w:p>
          <w:p w14:paraId="6CE157A7">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模型推理模块：集成 TFLite 模型，支持多模型切换（腰部→CNN-Transformer 模型、裤兜→MobileViT 模型、手拿→自采集模型）；当滑动窗口缓冲区数据达到设定长度时，触发模型推理，输出活动识别结果。</w:t>
            </w:r>
          </w:p>
          <w:p w14:paraId="5EF819F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界面展示模块：通过 Jetpack Compose 构建用户界面，包含设备位置选择按钮、活动标签输入组件、传感器数据实时展示组件、加速度波形动态绘制组件、识别结果展示组件等，提升用户交互体验。</w:t>
            </w:r>
          </w:p>
          <w:p w14:paraId="45B84BF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2. 关键代码实现</w:t>
            </w:r>
          </w:p>
          <w:p w14:paraId="5097E3D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核心逻辑类（Core.kt）：集成传感器监听和模型推理功能，维护滑动窗口缓冲区，当缓冲区数据达到窗口大小时，调用 TFLite 模型进行推理，返回识别结果；支持模型切换功能，通过文件路径加载不同的 TFLite 模型。</w:t>
            </w:r>
          </w:p>
          <w:p w14:paraId="41805131">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主活动类（MainActivity.kt）：负责初始化传感器管理器和核心逻辑类，构建用户界面；通过回调函数更新识别结果，实现 UI 与业务逻辑的解耦；在 onResume 生命周期方法中注册传感器监听，onPause 方法中注销监听，降低功耗。</w:t>
            </w:r>
          </w:p>
          <w:p w14:paraId="06420231">
            <w:pPr>
              <w:spacing w:line="440" w:lineRule="exact"/>
              <w:ind w:firstLine="422" w:firstLineChars="200"/>
              <w:rPr>
                <w:rFonts w:hint="eastAsia" w:asciiTheme="minorEastAsia" w:hAnsiTheme="minorEastAsia"/>
                <w:b/>
                <w:bCs w:val="0"/>
                <w:szCs w:val="21"/>
              </w:rPr>
            </w:pPr>
            <w:r>
              <w:rPr>
                <w:rFonts w:hint="eastAsia" w:asciiTheme="minorEastAsia" w:hAnsiTheme="minorEastAsia"/>
                <w:b/>
                <w:bCs w:val="0"/>
                <w:szCs w:val="21"/>
              </w:rPr>
              <w:t>（六）系统测试方案</w:t>
            </w:r>
          </w:p>
          <w:p w14:paraId="339F4FEC">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功能测试：验证 APP 的传感器数据采集、存储、模型切换、识别结果展示等功能是否正常工作；测试不同设备位置（腰部、裤兜、手拿）下模型切换的流畅性和识别结果的准确性。</w:t>
            </w:r>
          </w:p>
          <w:p w14:paraId="027AB364">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性能测试：测试模型推理的实时性（推理延迟）、APP 运行过程中的功耗消耗、数据采集的稳定性（采集频率是否达标）；针对不同配置的智能手机进行测试，验证系统的兼容性。</w:t>
            </w:r>
          </w:p>
          <w:p w14:paraId="7707D728">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准确率测试：使用测试集数据对转换后的 TFLite 模型进行准确率评估，CNN-Transformer 模型在 UCI-HAR 测试集上的准确率达到 94% 以上，MobileViT 模型在 UCI-WISDM 测试集上的准确率达到 93% 以上；通过实际场景测试，验证系统对日常活动的识别准确率。</w:t>
            </w:r>
          </w:p>
          <w:p w14:paraId="3B0C70B2">
            <w:pPr>
              <w:spacing w:line="440" w:lineRule="exact"/>
              <w:ind w:firstLine="482" w:firstLineChars="200"/>
              <w:rPr>
                <w:rFonts w:hint="eastAsia" w:asciiTheme="minorEastAsia" w:hAnsiTheme="minorEastAsia"/>
                <w:b/>
                <w:bCs w:val="0"/>
                <w:sz w:val="24"/>
                <w:szCs w:val="24"/>
              </w:rPr>
            </w:pPr>
            <w:r>
              <w:rPr>
                <w:rFonts w:hint="eastAsia" w:asciiTheme="minorEastAsia" w:hAnsiTheme="minorEastAsia"/>
                <w:b/>
                <w:bCs w:val="0"/>
                <w:sz w:val="24"/>
                <w:szCs w:val="24"/>
              </w:rPr>
              <w:t>七、未来展望</w:t>
            </w:r>
          </w:p>
          <w:p w14:paraId="7FB0AE36">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本研究已实现基于智能手机的多场景人类活动识别系统，具备传感器数据采集、模型推理、实时识别等核心功能，但仍有诸多方向可进一步优化和拓展：</w:t>
            </w:r>
          </w:p>
          <w:p w14:paraId="4BED963E">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多传感器融合与特征增强：未来将引入智能手机内置的磁力计、GPS、心率传感器等，实现多传感器数据融合，丰富特征维度；探索自监督学习、对比学习等无监督 / 半监督学习方法，利用未标注数据提升模型的泛化能力和识别性能；研究更有效的时序特征提取方法，如注意力机制与卷积结合的特征提取模块，进一步提升模型对复杂活动的识别能力。</w:t>
            </w:r>
          </w:p>
          <w:p w14:paraId="59A2DF42">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模型优化与自适应调整：深入研究模型压缩与量化技术，如 INT8 量化、剪枝、知识蒸馏等，进一步降低模型体积和计算量，提升在低配置设备上的运行效率；探索模型自适应调整机制，根据用户运动习惯、设备性能、使用场景等因素，动态调整模型结构和推理参数，实现识别准确率与功耗的动态平衡；研究联邦学习技术，在保护用户数据隐私的前提下，实现多用户数据的联合训练，提升模型的泛化能力。</w:t>
            </w:r>
          </w:p>
          <w:p w14:paraId="3D35846F">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应用场景拓展与功能升级：将系统与更多实际应用场景结合，如智能健康监测（运动轨迹分析、卡路里消耗计算、睡眠质量监测）、老年人安全防护（跌倒预警、紧急求助）、儿童安全监控（活动范围监测、危险行为识别）、智能出行（步行导航优化、交通状态识别）等；增加用户个性化设置功能，支持用户自定义活动类型、识别阈值、数据采集频率等参数，提升应用的实用性和灵活性；开发云服务平台，实现用户数据的云端存储、分析和可视化，提供更丰富的数据分析服务。</w:t>
            </w:r>
          </w:p>
          <w:p w14:paraId="3E3952F9">
            <w:pPr>
              <w:spacing w:line="440" w:lineRule="exact"/>
              <w:ind w:firstLine="420" w:firstLineChars="200"/>
              <w:rPr>
                <w:rFonts w:hint="eastAsia" w:asciiTheme="minorEastAsia" w:hAnsiTheme="minorEastAsia"/>
                <w:bCs/>
                <w:szCs w:val="21"/>
              </w:rPr>
            </w:pPr>
            <w:r>
              <w:rPr>
                <w:rFonts w:hint="eastAsia" w:asciiTheme="minorEastAsia" w:hAnsiTheme="minorEastAsia"/>
                <w:bCs/>
                <w:szCs w:val="21"/>
              </w:rPr>
              <w:t>跨设备协同与生态构建：研究跨品牌、跨型号智能手机的传感器数据校准方法，提升模型在不同设备上的识别一致性；探索多设备协同识别模式，结合智能手机、智能手表、手环、智能家居设备等多终端的传感器数据，实现更全面、准确的人类活动识别；构建开放的技术生态，提供模型训练、转换、部署的工具链和 API 接口，支持第三方开发者基于本研究的技术方案进行二次开发，推动人类活动识别技术的普及应用。</w:t>
            </w:r>
          </w:p>
        </w:tc>
      </w:tr>
      <w:tr w14:paraId="4CAA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3" w:hRule="atLeast"/>
          <w:jc w:val="center"/>
        </w:trPr>
        <w:tc>
          <w:tcPr>
            <w:tcW w:w="8284" w:type="dxa"/>
          </w:tcPr>
          <w:p w14:paraId="5947A029">
            <w:pPr>
              <w:spacing w:line="440" w:lineRule="exact"/>
              <w:rPr>
                <w:rFonts w:hint="eastAsia" w:ascii="Arial" w:hAnsi="Arial" w:eastAsia="宋体" w:cs="Arial"/>
                <w:color w:val="333333"/>
                <w:kern w:val="0"/>
                <w:sz w:val="28"/>
                <w:szCs w:val="28"/>
              </w:rPr>
            </w:pPr>
            <w:r>
              <w:rPr>
                <w:rFonts w:hint="eastAsia" w:ascii="Arial" w:hAnsi="Arial" w:eastAsia="宋体" w:cs="Arial"/>
                <w:color w:val="333333"/>
                <w:kern w:val="0"/>
                <w:sz w:val="28"/>
                <w:szCs w:val="28"/>
              </w:rPr>
              <w:t>参考文献</w:t>
            </w:r>
          </w:p>
          <w:p w14:paraId="7240D34F">
            <w:pPr>
              <w:spacing w:line="440" w:lineRule="exact"/>
              <w:rPr>
                <w:rFonts w:hint="eastAsia" w:asciiTheme="minorEastAsia" w:hAnsiTheme="minorEastAsia"/>
                <w:bCs/>
                <w:szCs w:val="21"/>
                <w:lang w:val="en-US" w:eastAsia="zh-CN"/>
              </w:rPr>
            </w:pPr>
            <w:r>
              <w:rPr>
                <w:rFonts w:hint="eastAsia" w:asciiTheme="minorEastAsia" w:hAnsiTheme="minorEastAsia"/>
                <w:bCs/>
                <w:szCs w:val="21"/>
                <w:lang w:val="en-US" w:eastAsia="zh-CN"/>
              </w:rPr>
              <w:t>[1]王利涛，《基于智能手机传感器数据的人类活动识别研究》，燕山大学，2018年5月</w:t>
            </w:r>
          </w:p>
          <w:p w14:paraId="0D369AA4">
            <w:pPr>
              <w:spacing w:line="440" w:lineRule="exact"/>
              <w:rPr>
                <w:rFonts w:hint="default" w:asciiTheme="minorEastAsia" w:hAnsiTheme="minorEastAsia"/>
                <w:bCs/>
                <w:szCs w:val="21"/>
                <w:lang w:val="en-US" w:eastAsia="zh-CN"/>
              </w:rPr>
            </w:pPr>
            <w:r>
              <w:rPr>
                <w:rFonts w:hint="eastAsia" w:asciiTheme="minorEastAsia" w:hAnsiTheme="minorEastAsia"/>
                <w:bCs/>
                <w:szCs w:val="21"/>
                <w:lang w:val="en-US" w:eastAsia="zh-CN"/>
              </w:rPr>
              <w:t>[2]孙美迪，《</w:t>
            </w:r>
            <w:r>
              <w:rPr>
                <w:rFonts w:hint="default" w:asciiTheme="minorEastAsia" w:hAnsiTheme="minorEastAsia"/>
                <w:bCs/>
                <w:szCs w:val="21"/>
                <w:lang w:val="en-US" w:eastAsia="zh-CN"/>
              </w:rPr>
              <w:t>基于惯性传感器与深度学习的人体行为识别研究</w:t>
            </w:r>
            <w:r>
              <w:rPr>
                <w:rFonts w:hint="eastAsia" w:asciiTheme="minorEastAsia" w:hAnsiTheme="minorEastAsia"/>
                <w:bCs/>
                <w:szCs w:val="21"/>
                <w:lang w:val="en-US" w:eastAsia="zh-CN"/>
              </w:rPr>
              <w:t>》，中国矿业大学，2024年6月</w:t>
            </w:r>
          </w:p>
          <w:p w14:paraId="4FC16004">
            <w:pPr>
              <w:spacing w:line="440" w:lineRule="exact"/>
              <w:rPr>
                <w:rFonts w:hint="default" w:asciiTheme="minorEastAsia" w:hAnsiTheme="minorEastAsia"/>
                <w:bCs/>
                <w:szCs w:val="21"/>
                <w:lang w:val="en-US" w:eastAsia="zh-CN"/>
              </w:rPr>
            </w:pPr>
            <w:r>
              <w:rPr>
                <w:rFonts w:hint="eastAsia" w:asciiTheme="minorEastAsia" w:hAnsiTheme="minorEastAsia"/>
                <w:bCs/>
                <w:szCs w:val="21"/>
                <w:lang w:val="en-US" w:eastAsia="zh-CN"/>
              </w:rPr>
              <w:t>[3]郑继凯，《基于视觉Transformer的轻量级目标跟踪算法研究》，西北农林科技大学，2025年9月</w:t>
            </w:r>
          </w:p>
          <w:p w14:paraId="239B77BA">
            <w:pPr>
              <w:spacing w:line="440" w:lineRule="exact"/>
              <w:rPr>
                <w:rFonts w:ascii="Arial" w:hAnsi="Arial" w:eastAsia="宋体" w:cs="Arial"/>
                <w:color w:val="333333"/>
                <w:kern w:val="0"/>
                <w:szCs w:val="21"/>
              </w:rPr>
            </w:pPr>
          </w:p>
        </w:tc>
      </w:tr>
    </w:tbl>
    <w:p w14:paraId="469F17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9228D5"/>
    <w:multiLevelType w:val="singleLevel"/>
    <w:tmpl w:val="F19228D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yYzRhZjEwMjVkNDM0MTY5MzI4M2QyOTk2YTRkN2UifQ=="/>
  </w:docVars>
  <w:rsids>
    <w:rsidRoot w:val="002D094D"/>
    <w:rsid w:val="0001534A"/>
    <w:rsid w:val="0003080E"/>
    <w:rsid w:val="000570A8"/>
    <w:rsid w:val="000A7B8B"/>
    <w:rsid w:val="00163F2D"/>
    <w:rsid w:val="00184AA5"/>
    <w:rsid w:val="00191787"/>
    <w:rsid w:val="001B17C3"/>
    <w:rsid w:val="001C2C46"/>
    <w:rsid w:val="001C7A73"/>
    <w:rsid w:val="001D0639"/>
    <w:rsid w:val="001E6AC4"/>
    <w:rsid w:val="002016EF"/>
    <w:rsid w:val="0023533E"/>
    <w:rsid w:val="00235773"/>
    <w:rsid w:val="00245A40"/>
    <w:rsid w:val="002809D2"/>
    <w:rsid w:val="002B313E"/>
    <w:rsid w:val="002B5AA0"/>
    <w:rsid w:val="002D094D"/>
    <w:rsid w:val="002F3627"/>
    <w:rsid w:val="00306B3E"/>
    <w:rsid w:val="0033135B"/>
    <w:rsid w:val="00365EBD"/>
    <w:rsid w:val="00373161"/>
    <w:rsid w:val="00377A1A"/>
    <w:rsid w:val="003C7241"/>
    <w:rsid w:val="003F26C8"/>
    <w:rsid w:val="003F5AA8"/>
    <w:rsid w:val="004056DA"/>
    <w:rsid w:val="00423715"/>
    <w:rsid w:val="004576B4"/>
    <w:rsid w:val="004A5D67"/>
    <w:rsid w:val="004A6602"/>
    <w:rsid w:val="004A7C14"/>
    <w:rsid w:val="004F237E"/>
    <w:rsid w:val="00502614"/>
    <w:rsid w:val="00504821"/>
    <w:rsid w:val="005556A9"/>
    <w:rsid w:val="00576A55"/>
    <w:rsid w:val="00582C62"/>
    <w:rsid w:val="005861ED"/>
    <w:rsid w:val="00610FAE"/>
    <w:rsid w:val="00614B01"/>
    <w:rsid w:val="006A7B1F"/>
    <w:rsid w:val="006B26F0"/>
    <w:rsid w:val="007146C4"/>
    <w:rsid w:val="00760808"/>
    <w:rsid w:val="007A02C4"/>
    <w:rsid w:val="007B3C61"/>
    <w:rsid w:val="007C72F3"/>
    <w:rsid w:val="007D45F7"/>
    <w:rsid w:val="0080016B"/>
    <w:rsid w:val="00833FC8"/>
    <w:rsid w:val="00834EB3"/>
    <w:rsid w:val="00842FA9"/>
    <w:rsid w:val="00856757"/>
    <w:rsid w:val="0087456A"/>
    <w:rsid w:val="008C1989"/>
    <w:rsid w:val="008D20B9"/>
    <w:rsid w:val="008E0981"/>
    <w:rsid w:val="00901E10"/>
    <w:rsid w:val="009159E9"/>
    <w:rsid w:val="0091664F"/>
    <w:rsid w:val="00943A7B"/>
    <w:rsid w:val="00943FA2"/>
    <w:rsid w:val="00950EB0"/>
    <w:rsid w:val="00983A1A"/>
    <w:rsid w:val="0099534F"/>
    <w:rsid w:val="00995825"/>
    <w:rsid w:val="009A7547"/>
    <w:rsid w:val="009B32A1"/>
    <w:rsid w:val="009B3734"/>
    <w:rsid w:val="00A06E03"/>
    <w:rsid w:val="00A41D14"/>
    <w:rsid w:val="00A53306"/>
    <w:rsid w:val="00A858BB"/>
    <w:rsid w:val="00A97C8B"/>
    <w:rsid w:val="00AA6046"/>
    <w:rsid w:val="00AB6114"/>
    <w:rsid w:val="00AD189F"/>
    <w:rsid w:val="00AE483E"/>
    <w:rsid w:val="00B13522"/>
    <w:rsid w:val="00B158D2"/>
    <w:rsid w:val="00B27A55"/>
    <w:rsid w:val="00B359A1"/>
    <w:rsid w:val="00B37B3C"/>
    <w:rsid w:val="00B42564"/>
    <w:rsid w:val="00B6359C"/>
    <w:rsid w:val="00B9133F"/>
    <w:rsid w:val="00BC6C7C"/>
    <w:rsid w:val="00BD2F60"/>
    <w:rsid w:val="00C27146"/>
    <w:rsid w:val="00C4439A"/>
    <w:rsid w:val="00C733BB"/>
    <w:rsid w:val="00C97B82"/>
    <w:rsid w:val="00CA5B7F"/>
    <w:rsid w:val="00CA70B2"/>
    <w:rsid w:val="00CB33F2"/>
    <w:rsid w:val="00CD640D"/>
    <w:rsid w:val="00CD6C29"/>
    <w:rsid w:val="00CF5D2F"/>
    <w:rsid w:val="00D07FF6"/>
    <w:rsid w:val="00D15786"/>
    <w:rsid w:val="00D439FC"/>
    <w:rsid w:val="00D45771"/>
    <w:rsid w:val="00D613E5"/>
    <w:rsid w:val="00D85339"/>
    <w:rsid w:val="00DB0CD7"/>
    <w:rsid w:val="00DB5F08"/>
    <w:rsid w:val="00DE5018"/>
    <w:rsid w:val="00E177DF"/>
    <w:rsid w:val="00E3723B"/>
    <w:rsid w:val="00E42458"/>
    <w:rsid w:val="00E71D6E"/>
    <w:rsid w:val="00EC34E3"/>
    <w:rsid w:val="00F31F54"/>
    <w:rsid w:val="00F4337C"/>
    <w:rsid w:val="00F50CFF"/>
    <w:rsid w:val="00F527A1"/>
    <w:rsid w:val="00F72074"/>
    <w:rsid w:val="00F9337D"/>
    <w:rsid w:val="00FD7876"/>
    <w:rsid w:val="00FF0E01"/>
    <w:rsid w:val="00FF7C53"/>
    <w:rsid w:val="17DB28F0"/>
    <w:rsid w:val="20C112CB"/>
    <w:rsid w:val="4F7360AA"/>
    <w:rsid w:val="6632137D"/>
    <w:rsid w:val="7933754A"/>
    <w:rsid w:val="7EA50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autoRedefine/>
    <w:unhideWhenUsed/>
    <w:qFormat/>
    <w:uiPriority w:val="99"/>
    <w:pPr>
      <w:tabs>
        <w:tab w:val="center" w:pos="4153"/>
        <w:tab w:val="right" w:pos="8306"/>
      </w:tabs>
      <w:snapToGrid w:val="0"/>
      <w:jc w:val="left"/>
    </w:pPr>
    <w:rPr>
      <w:sz w:val="18"/>
      <w:szCs w:val="18"/>
    </w:rPr>
  </w:style>
  <w:style w:type="paragraph" w:styleId="3">
    <w:name w:val="header"/>
    <w:basedOn w:val="1"/>
    <w:link w:val="1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autoRedefine/>
    <w:unhideWhenUsed/>
    <w:qFormat/>
    <w:uiPriority w:val="99"/>
    <w:rPr>
      <w:rFonts w:ascii="Times New Roman" w:hAnsi="Times New Roman" w:cs="Times New Roman"/>
      <w:sz w:val="24"/>
      <w:szCs w:val="24"/>
    </w:rPr>
  </w:style>
  <w:style w:type="table" w:styleId="6">
    <w:name w:val="Table Grid"/>
    <w:basedOn w:val="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Hyperlink"/>
    <w:basedOn w:val="7"/>
    <w:autoRedefine/>
    <w:unhideWhenUsed/>
    <w:qFormat/>
    <w:uiPriority w:val="99"/>
    <w:rPr>
      <w:color w:val="0000FF"/>
      <w:u w:val="single"/>
    </w:rPr>
  </w:style>
  <w:style w:type="character" w:customStyle="1" w:styleId="10">
    <w:name w:val="页眉 字符"/>
    <w:basedOn w:val="7"/>
    <w:link w:val="3"/>
    <w:autoRedefine/>
    <w:qFormat/>
    <w:uiPriority w:val="99"/>
    <w:rPr>
      <w:sz w:val="18"/>
      <w:szCs w:val="18"/>
    </w:rPr>
  </w:style>
  <w:style w:type="character" w:customStyle="1" w:styleId="11">
    <w:name w:val="页脚 字符"/>
    <w:basedOn w:val="7"/>
    <w:link w:val="2"/>
    <w:autoRedefine/>
    <w:qFormat/>
    <w:uiPriority w:val="99"/>
    <w:rPr>
      <w:sz w:val="18"/>
      <w:szCs w:val="18"/>
    </w:rPr>
  </w:style>
  <w:style w:type="paragraph" w:styleId="12">
    <w:name w:val="List Paragraph"/>
    <w:basedOn w:val="1"/>
    <w:autoRedefine/>
    <w:qFormat/>
    <w:uiPriority w:val="34"/>
    <w:pPr>
      <w:ind w:firstLine="420" w:firstLineChars="200"/>
    </w:pPr>
  </w:style>
  <w:style w:type="paragraph" w:customStyle="1" w:styleId="13">
    <w:name w:val="aa"/>
    <w:basedOn w:val="12"/>
    <w:autoRedefine/>
    <w:qFormat/>
    <w:uiPriority w:val="0"/>
    <w:pPr>
      <w:ind w:firstLine="200"/>
    </w:pPr>
    <w:rPr>
      <w:sz w:val="28"/>
      <w:szCs w:val="28"/>
    </w:rPr>
  </w:style>
  <w:style w:type="character" w:customStyle="1" w:styleId="14">
    <w:name w:val="Unresolved Mention"/>
    <w:basedOn w:val="7"/>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F47BF2-CB54-4EB2-9340-EB2995A3F5AF}">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6885</Words>
  <Characters>8893</Characters>
  <Lines>2</Lines>
  <Paragraphs>1</Paragraphs>
  <TotalTime>61</TotalTime>
  <ScaleCrop>false</ScaleCrop>
  <LinksUpToDate>false</LinksUpToDate>
  <CharactersWithSpaces>9353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2023-11-01T03:57:00Z</dcterms:created>
  <dc:creator>左 健</dc:creator>
  <cp:lastModifiedBy>冯欣屿</cp:lastModifiedBy>
  <dcterms:modified xsi:type="dcterms:W3CDTF">2026-06-27T12:48:41Z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044448B2DDA6443CA14AE466BF5F6CE7</vt:lpwstr>
  </property>
  <property fmtid="{D5CDD505-2E9C-101B-9397-08002B2CF9AE}" pid="4" name="KSOTemplateDocerSaveRecord">
    <vt:lpwstr>eyJoZGlkIjoiNTBmZmVkZjQ4MDNjZTVhMzQ1MjA0ZTM1ZmFiMjQ4NmEiLCJ1c2VySWQiOiIxNTY4NTM1NzkzIn0=</vt:lpwstr>
  </property>
</Properties>
</file>