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4E79"/>
          <w:sz w:val="28"/>
        </w:rPr>
        <w:t>Tarification automobile — synthèse</w:t>
      </w:r>
    </w:p>
    <w:p>
      <w:pPr>
        <w:spacing w:after="80"/>
      </w:pPr>
      <w:r>
        <w:rPr>
          <w:color w:val="555555"/>
          <w:sz w:val="17"/>
        </w:rPr>
        <w:t>Projet d'actuariat — Groupe 1  |  Bases Contrats (20 120 lignes) et Sinistres (1 348 lignes)  |  Script complet : pricing_auto.ipynb</w:t>
      </w:r>
    </w:p>
    <w:p>
      <w:pPr>
        <w:spacing w:before="100" w:after="40"/>
      </w:pPr>
      <w:r>
        <w:rPr>
          <w:b/>
          <w:color w:val="1F4E79"/>
          <w:sz w:val="21"/>
        </w:rPr>
        <w:t>1.  Méthodologie de modélisation</w:t>
      </w:r>
    </w:p>
    <w:p>
      <w:r>
        <w:t>La tarification suit l'approche fréquence × coût, E(N) × E(X), qui sépare deux questions aux déterminants différents : à quelle fréquence un profil déclare un sinistre, et combien ce sinistre coûte. Les sinistres graves sont modélisés à part, pour que le hasard de leur survenance ne contamine pas le coût moyen de chaque segment. La fréquence suit une loi de Poisson à lien log avec offset log(exposition) — l'exposition n'est pas une variable à estimer : un contrat couvert six mois a par construction deux fois moins de chances de sinistre. La sévérité attritionnelle suit une log-normale, avec la correction de Duan sans laquelle la prime serait sous-estimée de 20 %. Pour les graves, la fréquence est modélisée et le coût mutualisé. Les variables sont retenues par élimination descendante sur l'AIC, confirmée par test du rapport de vraisemblance pour les graves ; chaque loi est retenue après test comparatif. La validation porte sur deux dispositifs, brique par brique, avec des intervalles de confiance bootstrap ; le tarif final est ensuite recalibré sur l'ensemble des données.</w:t>
      </w:r>
    </w:p>
    <w:p>
      <w:pPr>
        <w:spacing w:before="100" w:after="40"/>
      </w:pPr>
      <w:r>
        <w:rPr>
          <w:b/>
          <w:color w:val="1F4E79"/>
          <w:sz w:val="21"/>
        </w:rPr>
        <w:t>2.  Contraintes et difficultés rencontrées</w:t>
      </w:r>
    </w:p>
    <w:p>
      <w:pPr>
        <w:pStyle w:val="ListBullet"/>
        <w:spacing w:after="30"/>
        <w:ind w:left="283"/>
        <w:jc w:val="both"/>
      </w:pPr>
      <w:r>
        <w:rPr>
          <w:b/>
        </w:rPr>
        <w:t xml:space="preserve">Qualité des données — </w:t>
      </w:r>
      <w:r>
        <w:t>133 doublons intégraux, 1 604 valeurs manquantes, sexe en sept modalités, montants stockés en texte, âges de 3 et 210 ans, bonus-malus de −0,5 et 12. Principe retenu : reconstruire avant d'imputer — 561 valeurs restaurées par recoupement entre variables contre 743 par imputation. L'âge a été reconstruit depuis l'ancienneté du permis (écart très stable : médiane 20 ans, écart-type 1,7 an), après back-test de la règle. Les hypothèses de faute de frappe ont été testées et rejetées (6,5 % de cohérence).</w:t>
      </w:r>
    </w:p>
    <w:p>
      <w:pPr>
        <w:pStyle w:val="ListBullet"/>
        <w:spacing w:after="30"/>
        <w:ind w:left="283"/>
        <w:jc w:val="both"/>
      </w:pPr>
      <w:r>
        <w:rPr>
          <w:b/>
        </w:rPr>
        <w:t xml:space="preserve">Garanties incohérentes — </w:t>
      </w:r>
      <w:r>
        <w:t>les trois formules présentent la même sinistralité, et 154 sinistres de dommages propres (vol, bris de glace, incendie) — près de la moitié des sinistres des contrats au tiers — portent sur des contrats qui ne les couvrent pas. Les sinistres ont donc été générés indépendamment de la garantie : la formule, première variable tarifaire d'un portefeuille réel, ne peut pas l'être ici. Faute de grille de garanties documentée, ces sinistres sont conservés ; les exclure réduirait la prime de 12 %.</w:t>
      </w:r>
    </w:p>
    <w:p>
      <w:pPr>
        <w:pStyle w:val="ListBullet"/>
        <w:spacing w:after="30"/>
        <w:ind w:left="283"/>
        <w:jc w:val="both"/>
      </w:pPr>
      <w:r>
        <w:rPr>
          <w:b/>
        </w:rPr>
        <w:t xml:space="preserve">Un seul exercice de souscription — </w:t>
      </w:r>
      <w:r>
        <w:t>toutes les dates d'effet sont en 2023. La séparation par année de souscription est remplacée par un découpage par exercice de survenance (exposition scindée au 1er janvier 2024), complété par un découpage aléatoire 80/20 par police.</w:t>
      </w:r>
    </w:p>
    <w:p>
      <w:pPr>
        <w:pStyle w:val="ListBullet"/>
        <w:spacing w:after="30"/>
        <w:ind w:left="283"/>
        <w:jc w:val="both"/>
      </w:pPr>
      <w:r>
        <w:rPr>
          <w:b/>
        </w:rPr>
        <w:t xml:space="preserve">Peu d'événements graves, variables redondantes — </w:t>
      </w:r>
      <w:r>
        <w:t>187 sinistres graves, dont 31 de conducteurs novices, portent 89 % de la charge. Âge et ancienneté du permis sont colinéaires (rapport de vraisemblance p = 0,92) : une indicatrice « conducteur novice » les résume mieux que l'une ou l'autre.</w:t>
      </w:r>
    </w:p>
    <w:p>
      <w:pPr>
        <w:spacing w:before="100" w:after="40"/>
      </w:pPr>
      <w:r>
        <w:rPr>
          <w:b/>
          <w:color w:val="1F4E79"/>
          <w:sz w:val="21"/>
        </w:rPr>
        <w:t>3.  Résultats et interprétation</w:t>
      </w:r>
    </w:p>
    <w:p>
      <w:r>
        <w:t>Quatre méthodes convergent vers un seuil de gravité de 10 000 : distribution bimodale avec une zone vide entre 7 522 et 12 000, plateau de la fonction des excès moyens, loi de Pareto généralisée non rejetée (ξ = 0,25 ; KS p = 0,30), concordance de 99,4 % avec la nature du sinistre.</w:t>
      </w:r>
    </w:p>
    <w:tbl>
      <w:tblPr>
        <w:tblStyle w:val="LightGrid-Accent1"/>
        <w:tblW w:type="auto" w:w="0"/>
        <w:jc w:val="center"/>
        <w:tblLayout w:type="fixed"/>
        <w:tblLook w:firstColumn="1" w:firstRow="1" w:lastColumn="0" w:lastRow="0" w:noHBand="0" w:noVBand="1" w:val="04A0"/>
      </w:tblPr>
      <w:tblGrid>
        <w:gridCol w:w="1701"/>
        <w:gridCol w:w="1134"/>
        <w:gridCol w:w="1474"/>
        <w:gridCol w:w="1474"/>
        <w:gridCol w:w="1474"/>
        <w:gridCol w:w="1361"/>
      </w:tblGrid>
      <w:tr>
        <w:tc>
          <w:tcPr>
            <w:tcW w:type="dxa" w:w="1701"/>
          </w:tcPr>
          <w:p>
            <w:pPr>
              <w:jc w:val="center"/>
            </w:pPr>
            <w:r/>
            <w:r>
              <w:rPr>
                <w:b/>
                <w:sz w:val="16"/>
              </w:rPr>
              <w:t>Catégorie</w:t>
            </w:r>
          </w:p>
        </w:tc>
        <w:tc>
          <w:tcPr>
            <w:tcW w:type="dxa" w:w="1134"/>
          </w:tcPr>
          <w:p>
            <w:pPr>
              <w:jc w:val="center"/>
            </w:pPr>
            <w:r/>
            <w:r>
              <w:rPr>
                <w:b/>
                <w:sz w:val="16"/>
              </w:rPr>
              <w:t>Nombre</w:t>
            </w:r>
          </w:p>
        </w:tc>
        <w:tc>
          <w:tcPr>
            <w:tcW w:type="dxa" w:w="1474"/>
          </w:tcPr>
          <w:p>
            <w:pPr>
              <w:jc w:val="center"/>
            </w:pPr>
            <w:r/>
            <w:r>
              <w:rPr>
                <w:b/>
                <w:sz w:val="16"/>
              </w:rPr>
              <w:t>Part en nombre</w:t>
            </w:r>
          </w:p>
        </w:tc>
        <w:tc>
          <w:tcPr>
            <w:tcW w:type="dxa" w:w="1474"/>
          </w:tcPr>
          <w:p>
            <w:pPr>
              <w:jc w:val="center"/>
            </w:pPr>
            <w:r/>
            <w:r>
              <w:rPr>
                <w:b/>
                <w:sz w:val="16"/>
              </w:rPr>
              <w:t>Charge</w:t>
            </w:r>
          </w:p>
        </w:tc>
        <w:tc>
          <w:tcPr>
            <w:tcW w:type="dxa" w:w="1474"/>
          </w:tcPr>
          <w:p>
            <w:pPr>
              <w:jc w:val="center"/>
            </w:pPr>
            <w:r/>
            <w:r>
              <w:rPr>
                <w:b/>
                <w:sz w:val="16"/>
              </w:rPr>
              <w:t>Part en charge</w:t>
            </w:r>
          </w:p>
        </w:tc>
        <w:tc>
          <w:tcPr>
            <w:tcW w:type="dxa" w:w="1361"/>
          </w:tcPr>
          <w:p>
            <w:pPr>
              <w:jc w:val="center"/>
            </w:pPr>
            <w:r/>
            <w:r>
              <w:rPr>
                <w:b/>
                <w:sz w:val="16"/>
              </w:rPr>
              <w:t>Coût moyen</w:t>
            </w:r>
          </w:p>
        </w:tc>
      </w:tr>
      <w:tr>
        <w:tc>
          <w:tcPr>
            <w:tcW w:type="dxa" w:w="1701"/>
          </w:tcPr>
          <w:p>
            <w:pPr>
              <w:spacing w:after="0"/>
              <w:jc w:val="left"/>
            </w:pPr>
            <w:r/>
            <w:r>
              <w:rPr>
                <w:sz w:val="16"/>
              </w:rPr>
              <w:t>Attritionnel</w:t>
            </w:r>
          </w:p>
        </w:tc>
        <w:tc>
          <w:tcPr>
            <w:tcW w:type="dxa" w:w="1134"/>
          </w:tcPr>
          <w:p>
            <w:pPr>
              <w:spacing w:after="0"/>
              <w:jc w:val="center"/>
            </w:pPr>
            <w:r/>
            <w:r>
              <w:rPr>
                <w:sz w:val="16"/>
              </w:rPr>
              <w:t>1 140</w:t>
            </w:r>
          </w:p>
        </w:tc>
        <w:tc>
          <w:tcPr>
            <w:tcW w:type="dxa" w:w="1474"/>
          </w:tcPr>
          <w:p>
            <w:pPr>
              <w:spacing w:after="0"/>
              <w:jc w:val="center"/>
            </w:pPr>
            <w:r/>
            <w:r>
              <w:rPr>
                <w:sz w:val="16"/>
              </w:rPr>
              <w:t>85,9 %</w:t>
            </w:r>
          </w:p>
        </w:tc>
        <w:tc>
          <w:tcPr>
            <w:tcW w:type="dxa" w:w="1474"/>
          </w:tcPr>
          <w:p>
            <w:pPr>
              <w:spacing w:after="0"/>
              <w:jc w:val="center"/>
            </w:pPr>
            <w:r/>
            <w:r>
              <w:rPr>
                <w:sz w:val="16"/>
              </w:rPr>
              <w:t>1 048 662</w:t>
            </w:r>
          </w:p>
        </w:tc>
        <w:tc>
          <w:tcPr>
            <w:tcW w:type="dxa" w:w="1474"/>
          </w:tcPr>
          <w:p>
            <w:pPr>
              <w:spacing w:after="0"/>
              <w:jc w:val="center"/>
            </w:pPr>
            <w:r/>
            <w:r>
              <w:rPr>
                <w:sz w:val="16"/>
              </w:rPr>
              <w:t>11,0 %</w:t>
            </w:r>
          </w:p>
        </w:tc>
        <w:tc>
          <w:tcPr>
            <w:tcW w:type="dxa" w:w="1361"/>
          </w:tcPr>
          <w:p>
            <w:pPr>
              <w:spacing w:after="0"/>
              <w:jc w:val="center"/>
            </w:pPr>
            <w:r/>
            <w:r>
              <w:rPr>
                <w:sz w:val="16"/>
              </w:rPr>
              <w:t>920</w:t>
            </w:r>
          </w:p>
        </w:tc>
      </w:tr>
      <w:tr>
        <w:tc>
          <w:tcPr>
            <w:tcW w:type="dxa" w:w="1701"/>
          </w:tcPr>
          <w:p>
            <w:pPr>
              <w:spacing w:after="0"/>
              <w:jc w:val="left"/>
            </w:pPr>
            <w:r/>
            <w:r>
              <w:rPr>
                <w:sz w:val="16"/>
              </w:rPr>
              <w:t>Grave</w:t>
            </w:r>
          </w:p>
        </w:tc>
        <w:tc>
          <w:tcPr>
            <w:tcW w:type="dxa" w:w="1134"/>
          </w:tcPr>
          <w:p>
            <w:pPr>
              <w:spacing w:after="0"/>
              <w:jc w:val="center"/>
            </w:pPr>
            <w:r/>
            <w:r>
              <w:rPr>
                <w:sz w:val="16"/>
              </w:rPr>
              <w:t>187</w:t>
            </w:r>
          </w:p>
        </w:tc>
        <w:tc>
          <w:tcPr>
            <w:tcW w:type="dxa" w:w="1474"/>
          </w:tcPr>
          <w:p>
            <w:pPr>
              <w:spacing w:after="0"/>
              <w:jc w:val="center"/>
            </w:pPr>
            <w:r/>
            <w:r>
              <w:rPr>
                <w:sz w:val="16"/>
              </w:rPr>
              <w:t>14,1 %</w:t>
            </w:r>
          </w:p>
        </w:tc>
        <w:tc>
          <w:tcPr>
            <w:tcW w:type="dxa" w:w="1474"/>
          </w:tcPr>
          <w:p>
            <w:pPr>
              <w:spacing w:after="0"/>
              <w:jc w:val="center"/>
            </w:pPr>
            <w:r/>
            <w:r>
              <w:rPr>
                <w:sz w:val="16"/>
              </w:rPr>
              <w:t>8 472 684</w:t>
            </w:r>
          </w:p>
        </w:tc>
        <w:tc>
          <w:tcPr>
            <w:tcW w:type="dxa" w:w="1474"/>
          </w:tcPr>
          <w:p>
            <w:pPr>
              <w:spacing w:after="0"/>
              <w:jc w:val="center"/>
            </w:pPr>
            <w:r/>
            <w:r>
              <w:rPr>
                <w:sz w:val="16"/>
              </w:rPr>
              <w:t>89,0 %</w:t>
            </w:r>
          </w:p>
        </w:tc>
        <w:tc>
          <w:tcPr>
            <w:tcW w:type="dxa" w:w="1361"/>
          </w:tcPr>
          <w:p>
            <w:pPr>
              <w:spacing w:after="0"/>
              <w:jc w:val="center"/>
            </w:pPr>
            <w:r/>
            <w:r>
              <w:rPr>
                <w:sz w:val="16"/>
              </w:rPr>
              <w:t>45 308</w:t>
            </w:r>
          </w:p>
        </w:tc>
      </w:tr>
    </w:tbl>
    <w:p>
      <w:pPr>
        <w:pStyle w:val="ListBullet"/>
        <w:spacing w:after="30"/>
        <w:ind w:left="283"/>
        <w:jc w:val="both"/>
      </w:pPr>
      <w:r>
        <w:rPr>
          <w:b/>
        </w:rPr>
        <w:t xml:space="preserve">Fréquence — </w:t>
      </w:r>
      <w:r>
        <w:t>Poisson retenue après test (la binomiale négative dégrade l'AIC). Le statut de novice multiplie la fréquence par 1,51 (p &lt; 0,001), la zone la module de 1,00 à 1,31 ; leur interaction, testée, est rejetée.</w:t>
      </w:r>
    </w:p>
    <w:p>
      <w:pPr>
        <w:pStyle w:val="ListBullet"/>
        <w:spacing w:after="30"/>
        <w:ind w:left="283"/>
        <w:jc w:val="both"/>
      </w:pPr>
      <w:r>
        <w:rPr>
          <w:b/>
        </w:rPr>
        <w:t xml:space="preserve">Sévérité — </w:t>
      </w:r>
      <w:r>
        <w:t>aucune variable liée au conducteur n'est retenue, seulement la classe de véhicule et le carburant, faiblement : le profil détermine la probabilité d'accident, pas le coût du dommage. La segmentation attritionnelle passe par la fréquence.</w:t>
      </w:r>
    </w:p>
    <w:p>
      <w:pPr>
        <w:pStyle w:val="ListBullet"/>
        <w:spacing w:after="30"/>
        <w:ind w:left="283"/>
        <w:jc w:val="both"/>
      </w:pPr>
      <w:r>
        <w:rPr>
          <w:b/>
        </w:rPr>
        <w:t xml:space="preserve">Graves — </w:t>
      </w:r>
      <w:r>
        <w:t>l'effet novice vaut 2,06 sur 2023 (IC [1,32 ; 3,21]) mais 1,09 sur 2024, estimé sur 7 événements seulement ; sur l'ensemble il vaut 1,71 (IC [1,16 ; 2,52]). L'écart entre périodes n'est pas significatif : l'effet est réel, mais 2023 le surestimait. Le coût moyen est mutualisé ; la loi de Pareto généralisée le confirme sans le stabiliser.</w:t>
      </w:r>
    </w:p>
    <w:p>
      <w:pPr>
        <w:spacing w:before="100" w:after="40"/>
      </w:pPr>
      <w:r>
        <w:rPr>
          <w:b/>
          <w:color w:val="1F4E79"/>
          <w:sz w:val="21"/>
        </w:rPr>
        <w:t>4.  Comparaison des approches de pricing</w:t>
      </w:r>
    </w:p>
    <w:tbl>
      <w:tblPr>
        <w:tblStyle w:val="LightGrid-Accent1"/>
        <w:tblW w:type="auto" w:w="0"/>
        <w:jc w:val="center"/>
        <w:tblLayout w:type="fixed"/>
        <w:tblLook w:firstColumn="1" w:firstRow="1" w:lastColumn="0" w:lastRow="0" w:noHBand="0" w:noVBand="1" w:val="04A0"/>
      </w:tblPr>
      <w:tblGrid>
        <w:gridCol w:w="3061"/>
        <w:gridCol w:w="1191"/>
        <w:gridCol w:w="1304"/>
        <w:gridCol w:w="1417"/>
        <w:gridCol w:w="1247"/>
        <w:gridCol w:w="1304"/>
      </w:tblGrid>
      <w:tr>
        <w:tc>
          <w:tcPr>
            <w:tcW w:type="dxa" w:w="3061"/>
          </w:tcPr>
          <w:p>
            <w:pPr>
              <w:jc w:val="center"/>
            </w:pPr>
            <w:r/>
            <w:r>
              <w:rPr>
                <w:b/>
                <w:sz w:val="16"/>
              </w:rPr>
              <w:t>Approche</w:t>
            </w:r>
          </w:p>
        </w:tc>
        <w:tc>
          <w:tcPr>
            <w:tcW w:type="dxa" w:w="1191"/>
          </w:tcPr>
          <w:p>
            <w:pPr>
              <w:jc w:val="center"/>
            </w:pPr>
            <w:r/>
            <w:r>
              <w:rPr>
                <w:b/>
                <w:sz w:val="16"/>
              </w:rPr>
              <w:t>Prime pure moy.</w:t>
            </w:r>
          </w:p>
        </w:tc>
        <w:tc>
          <w:tcPr>
            <w:tcW w:type="dxa" w:w="1304"/>
          </w:tcPr>
          <w:p>
            <w:pPr>
              <w:jc w:val="center"/>
            </w:pPr>
            <w:r/>
            <w:r>
              <w:rPr>
                <w:b/>
                <w:sz w:val="16"/>
              </w:rPr>
              <w:t>Amplitude max/min</w:t>
            </w:r>
          </w:p>
        </w:tc>
        <w:tc>
          <w:tcPr>
            <w:tcW w:type="dxa" w:w="1417"/>
          </w:tcPr>
          <w:p>
            <w:pPr>
              <w:jc w:val="center"/>
            </w:pPr>
            <w:r/>
            <w:r>
              <w:rPr>
                <w:b/>
                <w:sz w:val="16"/>
              </w:rPr>
              <w:t>Couverture (apprent.)</w:t>
            </w:r>
          </w:p>
        </w:tc>
        <w:tc>
          <w:tcPr>
            <w:tcW w:type="dxa" w:w="1247"/>
          </w:tcPr>
          <w:p>
            <w:pPr>
              <w:jc w:val="center"/>
            </w:pPr>
            <w:r/>
            <w:r>
              <w:rPr>
                <w:b/>
                <w:sz w:val="16"/>
              </w:rPr>
              <w:t>Test temporel</w:t>
            </w:r>
          </w:p>
        </w:tc>
        <w:tc>
          <w:tcPr>
            <w:tcW w:type="dxa" w:w="1304"/>
          </w:tcPr>
          <w:p>
            <w:pPr>
              <w:jc w:val="center"/>
            </w:pPr>
            <w:r/>
            <w:r>
              <w:rPr>
                <w:b/>
                <w:sz w:val="16"/>
              </w:rPr>
              <w:t>Test aléatoire</w:t>
            </w:r>
          </w:p>
        </w:tc>
      </w:tr>
      <w:tr>
        <w:tc>
          <w:tcPr>
            <w:tcW w:type="dxa" w:w="3061"/>
          </w:tcPr>
          <w:p>
            <w:pPr>
              <w:spacing w:after="0"/>
              <w:jc w:val="left"/>
            </w:pPr>
            <w:r/>
            <w:r>
              <w:rPr>
                <w:sz w:val="16"/>
              </w:rPr>
              <w:t>1. Globale / brute</w:t>
            </w:r>
          </w:p>
        </w:tc>
        <w:tc>
          <w:tcPr>
            <w:tcW w:type="dxa" w:w="1191"/>
          </w:tcPr>
          <w:p>
            <w:pPr>
              <w:spacing w:after="0"/>
              <w:jc w:val="center"/>
            </w:pPr>
            <w:r/>
            <w:r>
              <w:rPr>
                <w:sz w:val="16"/>
              </w:rPr>
              <w:t>808</w:t>
            </w:r>
          </w:p>
        </w:tc>
        <w:tc>
          <w:tcPr>
            <w:tcW w:type="dxa" w:w="1304"/>
          </w:tcPr>
          <w:p>
            <w:pPr>
              <w:spacing w:after="0"/>
              <w:jc w:val="center"/>
            </w:pPr>
            <w:r/>
            <w:r>
              <w:rPr>
                <w:sz w:val="16"/>
              </w:rPr>
              <w:t>6,64</w:t>
            </w:r>
          </w:p>
        </w:tc>
        <w:tc>
          <w:tcPr>
            <w:tcW w:type="dxa" w:w="1417"/>
          </w:tcPr>
          <w:p>
            <w:pPr>
              <w:spacing w:after="0"/>
              <w:jc w:val="center"/>
            </w:pPr>
            <w:r/>
            <w:r>
              <w:rPr>
                <w:sz w:val="16"/>
              </w:rPr>
              <w:t>99,1 %</w:t>
            </w:r>
          </w:p>
        </w:tc>
        <w:tc>
          <w:tcPr>
            <w:tcW w:type="dxa" w:w="1247"/>
          </w:tcPr>
          <w:p>
            <w:pPr>
              <w:spacing w:after="0"/>
              <w:jc w:val="center"/>
            </w:pPr>
            <w:r/>
            <w:r>
              <w:rPr>
                <w:sz w:val="16"/>
              </w:rPr>
              <w:t>95,7 %</w:t>
            </w:r>
          </w:p>
        </w:tc>
        <w:tc>
          <w:tcPr>
            <w:tcW w:type="dxa" w:w="1304"/>
          </w:tcPr>
          <w:p>
            <w:pPr>
              <w:spacing w:after="0"/>
              <w:jc w:val="center"/>
            </w:pPr>
            <w:r/>
            <w:r>
              <w:rPr>
                <w:sz w:val="16"/>
              </w:rPr>
              <w:t>119,1 %</w:t>
            </w:r>
          </w:p>
        </w:tc>
      </w:tr>
      <w:tr>
        <w:tc>
          <w:tcPr>
            <w:tcW w:type="dxa" w:w="3061"/>
          </w:tcPr>
          <w:p>
            <w:pPr>
              <w:spacing w:after="0"/>
              <w:jc w:val="left"/>
            </w:pPr>
            <w:r/>
            <w:r>
              <w:rPr>
                <w:sz w:val="16"/>
              </w:rPr>
              <w:t>2. Attritionnels seuls</w:t>
            </w:r>
          </w:p>
        </w:tc>
        <w:tc>
          <w:tcPr>
            <w:tcW w:type="dxa" w:w="1191"/>
          </w:tcPr>
          <w:p>
            <w:pPr>
              <w:spacing w:after="0"/>
              <w:jc w:val="center"/>
            </w:pPr>
            <w:r/>
            <w:r>
              <w:rPr>
                <w:sz w:val="16"/>
              </w:rPr>
              <w:t>89</w:t>
            </w:r>
          </w:p>
        </w:tc>
        <w:tc>
          <w:tcPr>
            <w:tcW w:type="dxa" w:w="1304"/>
          </w:tcPr>
          <w:p>
            <w:pPr>
              <w:spacing w:after="0"/>
              <w:jc w:val="center"/>
            </w:pPr>
            <w:r/>
            <w:r>
              <w:rPr>
                <w:sz w:val="16"/>
              </w:rPr>
              <w:t>4,97</w:t>
            </w:r>
          </w:p>
        </w:tc>
        <w:tc>
          <w:tcPr>
            <w:tcW w:type="dxa" w:w="1417"/>
          </w:tcPr>
          <w:p>
            <w:pPr>
              <w:spacing w:after="0"/>
              <w:jc w:val="center"/>
            </w:pPr>
            <w:r/>
            <w:r>
              <w:rPr>
                <w:sz w:val="16"/>
              </w:rPr>
              <w:t>10,9 %</w:t>
            </w:r>
          </w:p>
        </w:tc>
        <w:tc>
          <w:tcPr>
            <w:tcW w:type="dxa" w:w="1247"/>
          </w:tcPr>
          <w:p>
            <w:pPr>
              <w:spacing w:after="0"/>
              <w:jc w:val="center"/>
            </w:pPr>
            <w:r/>
            <w:r>
              <w:rPr>
                <w:sz w:val="16"/>
              </w:rPr>
              <w:t>10,5 %</w:t>
            </w:r>
          </w:p>
        </w:tc>
        <w:tc>
          <w:tcPr>
            <w:tcW w:type="dxa" w:w="1304"/>
          </w:tcPr>
          <w:p>
            <w:pPr>
              <w:spacing w:after="0"/>
              <w:jc w:val="center"/>
            </w:pPr>
            <w:r/>
            <w:r>
              <w:rPr>
                <w:sz w:val="16"/>
              </w:rPr>
              <w:t>13,0 %</w:t>
            </w:r>
          </w:p>
        </w:tc>
      </w:tr>
      <w:tr>
        <w:tc>
          <w:tcPr>
            <w:tcW w:type="dxa" w:w="3061"/>
          </w:tcPr>
          <w:p>
            <w:pPr>
              <w:spacing w:after="0"/>
              <w:jc w:val="left"/>
            </w:pPr>
            <w:r/>
            <w:r>
              <w:rPr>
                <w:sz w:val="16"/>
              </w:rPr>
              <w:t>3a. Graves en forfait</w:t>
            </w:r>
          </w:p>
        </w:tc>
        <w:tc>
          <w:tcPr>
            <w:tcW w:type="dxa" w:w="1191"/>
          </w:tcPr>
          <w:p>
            <w:pPr>
              <w:spacing w:after="0"/>
              <w:jc w:val="center"/>
            </w:pPr>
            <w:r/>
            <w:r>
              <w:rPr>
                <w:sz w:val="16"/>
              </w:rPr>
              <w:t>816</w:t>
            </w:r>
          </w:p>
        </w:tc>
        <w:tc>
          <w:tcPr>
            <w:tcW w:type="dxa" w:w="1304"/>
          </w:tcPr>
          <w:p>
            <w:pPr>
              <w:spacing w:after="0"/>
              <w:jc w:val="center"/>
            </w:pPr>
            <w:r/>
            <w:r>
              <w:rPr>
                <w:sz w:val="16"/>
              </w:rPr>
              <w:t>1,24</w:t>
            </w:r>
          </w:p>
        </w:tc>
        <w:tc>
          <w:tcPr>
            <w:tcW w:type="dxa" w:w="1417"/>
          </w:tcPr>
          <w:p>
            <w:pPr>
              <w:spacing w:after="0"/>
              <w:jc w:val="center"/>
            </w:pPr>
            <w:r/>
            <w:r>
              <w:rPr>
                <w:sz w:val="16"/>
              </w:rPr>
              <w:t>100,1 %</w:t>
            </w:r>
          </w:p>
        </w:tc>
        <w:tc>
          <w:tcPr>
            <w:tcW w:type="dxa" w:w="1247"/>
          </w:tcPr>
          <w:p>
            <w:pPr>
              <w:spacing w:after="0"/>
              <w:jc w:val="center"/>
            </w:pPr>
            <w:r/>
            <w:r>
              <w:rPr>
                <w:sz w:val="16"/>
              </w:rPr>
              <w:t>96,5 %</w:t>
            </w:r>
          </w:p>
        </w:tc>
        <w:tc>
          <w:tcPr>
            <w:tcW w:type="dxa" w:w="1304"/>
          </w:tcPr>
          <w:p>
            <w:pPr>
              <w:spacing w:after="0"/>
              <w:jc w:val="center"/>
            </w:pPr>
            <w:r/>
            <w:r>
              <w:rPr>
                <w:sz w:val="16"/>
              </w:rPr>
              <w:t>119,0 %</w:t>
            </w:r>
          </w:p>
        </w:tc>
      </w:tr>
      <w:tr>
        <w:tc>
          <w:tcPr>
            <w:tcW w:type="dxa" w:w="3061"/>
          </w:tcPr>
          <w:p>
            <w:pPr>
              <w:spacing w:after="0"/>
              <w:jc w:val="left"/>
            </w:pPr>
            <w:r/>
            <w:r>
              <w:rPr>
                <w:sz w:val="16"/>
              </w:rPr>
              <w:t>3b. Graves en proportion</w:t>
            </w:r>
          </w:p>
        </w:tc>
        <w:tc>
          <w:tcPr>
            <w:tcW w:type="dxa" w:w="1191"/>
          </w:tcPr>
          <w:p>
            <w:pPr>
              <w:spacing w:after="0"/>
              <w:jc w:val="center"/>
            </w:pPr>
            <w:r/>
            <w:r>
              <w:rPr>
                <w:sz w:val="16"/>
              </w:rPr>
              <w:t>819</w:t>
            </w:r>
          </w:p>
        </w:tc>
        <w:tc>
          <w:tcPr>
            <w:tcW w:type="dxa" w:w="1304"/>
          </w:tcPr>
          <w:p>
            <w:pPr>
              <w:spacing w:after="0"/>
              <w:jc w:val="center"/>
            </w:pPr>
            <w:r/>
            <w:r>
              <w:rPr>
                <w:sz w:val="16"/>
              </w:rPr>
              <w:t>4,97</w:t>
            </w:r>
          </w:p>
        </w:tc>
        <w:tc>
          <w:tcPr>
            <w:tcW w:type="dxa" w:w="1417"/>
          </w:tcPr>
          <w:p>
            <w:pPr>
              <w:spacing w:after="0"/>
              <w:jc w:val="center"/>
            </w:pPr>
            <w:r/>
            <w:r>
              <w:rPr>
                <w:sz w:val="16"/>
              </w:rPr>
              <w:t>100,5 %</w:t>
            </w:r>
          </w:p>
        </w:tc>
        <w:tc>
          <w:tcPr>
            <w:tcW w:type="dxa" w:w="1247"/>
          </w:tcPr>
          <w:p>
            <w:pPr>
              <w:spacing w:after="0"/>
              <w:jc w:val="center"/>
            </w:pPr>
            <w:r/>
            <w:r>
              <w:rPr>
                <w:sz w:val="16"/>
              </w:rPr>
              <w:t>97,2 %</w:t>
            </w:r>
          </w:p>
        </w:tc>
        <w:tc>
          <w:tcPr>
            <w:tcW w:type="dxa" w:w="1304"/>
          </w:tcPr>
          <w:p>
            <w:pPr>
              <w:spacing w:after="0"/>
              <w:jc w:val="center"/>
            </w:pPr>
            <w:r/>
            <w:r>
              <w:rPr>
                <w:sz w:val="16"/>
              </w:rPr>
              <w:t>120,1 %</w:t>
            </w:r>
          </w:p>
        </w:tc>
      </w:tr>
      <w:tr>
        <w:tc>
          <w:tcPr>
            <w:tcW w:type="dxa" w:w="3061"/>
          </w:tcPr>
          <w:p>
            <w:pPr>
              <w:spacing w:after="0"/>
              <w:jc w:val="left"/>
            </w:pPr>
            <w:r/>
            <w:r>
              <w:rPr>
                <w:sz w:val="16"/>
              </w:rPr>
              <w:t>4. Graves tarifés à part</w:t>
            </w:r>
          </w:p>
        </w:tc>
        <w:tc>
          <w:tcPr>
            <w:tcW w:type="dxa" w:w="1191"/>
          </w:tcPr>
          <w:p>
            <w:pPr>
              <w:spacing w:after="0"/>
              <w:jc w:val="center"/>
            </w:pPr>
            <w:r/>
            <w:r>
              <w:rPr>
                <w:sz w:val="16"/>
              </w:rPr>
              <w:t>816</w:t>
            </w:r>
          </w:p>
        </w:tc>
        <w:tc>
          <w:tcPr>
            <w:tcW w:type="dxa" w:w="1304"/>
          </w:tcPr>
          <w:p>
            <w:pPr>
              <w:spacing w:after="0"/>
              <w:jc w:val="center"/>
            </w:pPr>
            <w:r/>
            <w:r>
              <w:rPr>
                <w:sz w:val="16"/>
              </w:rPr>
              <w:t>2,25</w:t>
            </w:r>
          </w:p>
        </w:tc>
        <w:tc>
          <w:tcPr>
            <w:tcW w:type="dxa" w:w="1417"/>
          </w:tcPr>
          <w:p>
            <w:pPr>
              <w:spacing w:after="0"/>
              <w:jc w:val="center"/>
            </w:pPr>
            <w:r/>
            <w:r>
              <w:rPr>
                <w:sz w:val="16"/>
              </w:rPr>
              <w:t>100,1 %</w:t>
            </w:r>
          </w:p>
        </w:tc>
        <w:tc>
          <w:tcPr>
            <w:tcW w:type="dxa" w:w="1247"/>
          </w:tcPr>
          <w:p>
            <w:pPr>
              <w:spacing w:after="0"/>
              <w:jc w:val="center"/>
            </w:pPr>
            <w:r/>
            <w:r>
              <w:rPr>
                <w:sz w:val="16"/>
              </w:rPr>
              <w:t>96,6 %</w:t>
            </w:r>
          </w:p>
        </w:tc>
        <w:tc>
          <w:tcPr>
            <w:tcW w:type="dxa" w:w="1304"/>
          </w:tcPr>
          <w:p>
            <w:pPr>
              <w:spacing w:after="0"/>
              <w:jc w:val="center"/>
            </w:pPr>
            <w:r/>
            <w:r>
              <w:rPr>
                <w:sz w:val="16"/>
              </w:rPr>
              <w:t>119,8 %</w:t>
            </w:r>
          </w:p>
        </w:tc>
      </w:tr>
    </w:tbl>
    <w:p>
      <w:r>
        <w:t>L'approche 2 ne collecte que 11 % de la charge. Les quatre autres sont indiscernables : elles collectent la même charge et ne diffèrent que par sa répartition. Les écarts au niveau ne sont pas des erreurs : 96,6 % sur le test temporel (IC [71,1 % ; 137,1 %]) et 119,8 % sur le test aléatoire (IC [82,3 % ; 180,8 %]), deux intervalles qui contiennent 100 %.</w:t>
      </w:r>
    </w:p>
    <w:p>
      <w:r>
        <w:t>La courbe de lift de la charge totale est irrégulière, et ne peut pas ne pas l'être : le tarif n'a que deux niveaux (les novices forment à eux seuls le dernier décile), et un seul sinistre de plus de 300 000 suffit à faire bondir un décile. La prime prédite reste dans l'intervalle de confiance bootstrap de la charge observée dans la grande majorité des déciles. Validé brique par brique, le tarif montre ce qu'il fait réellement : son Gini sur la charge totale n'est pas distinct de 0 (IC [-0,197 ; 0,255]), mais il vaut 0,096 sur la charge attritionnelle (IC [0,018 ; 0,173]) : il segmente ce qui peut l'être et mutualise le reste. Forcer le lift à épouser les barres serait du surapprentissage.</w:t>
      </w:r>
    </w:p>
    <w:p>
      <w:r>
        <w:t>L'approche 4 est retenue : elle tarife le risque grave sur un effet estimé, là où 3b postule une proportionnalité non étayée et où 1 hérite d'un coût moyen contaminé par les graves. 3a n'est pas une alternative opposée : c'est l'approche 4 avec une crédibilité nulle accordée à l'effet novice sur les graves.</w:t>
      </w:r>
    </w:p>
    <w:p>
      <w:pPr>
        <w:spacing w:before="100" w:after="40"/>
      </w:pPr>
      <w:r>
        <w:rPr>
          <w:b/>
          <w:color w:val="1F4E79"/>
          <w:sz w:val="21"/>
        </w:rPr>
        <w:t>5.  Conclusions</w:t>
      </w:r>
    </w:p>
    <w:p>
      <w:r>
        <w:t>Le tarif final est recalibré sur toutes les données — 187 graves au lieu de 125 — et l'ampleur de l'effet novice sur les graves est fixée par crédibilité, avec Z = 0,8 choisi par validation croisée : la relativité passe de 2,06 (2023 seul) à 1,71 (toutes données) puis 1,57. La prime pure moyenne est de 826 par année-police — 781 pour un conducteur confirmé, 1 215 pour un novice — soit 1 224 en prime commerciale TTC (sécurité 5 %, frais 12 %, marge 5 %, taxe 18 %), et le tarif couvre 100,06 % de la charge observée.</w:t>
      </w:r>
    </w:p>
    <w:p>
      <w:r>
        <w:t>Ont été testées sans gain, et documentées comme telles : l'interaction novice × zone, les tranches d'âge pour les graves, la loi de Pareto généralisée pour leur coût, la binomiale négative. Ce qui reste irréductible est la volatilité de la charge grave, qui pèse 89 % de la prime pour quelques dizaines d'événements par an.</w:t>
      </w:r>
    </w:p>
    <w:p>
      <w:r>
        <w:t>Trois réserves accompagnent ces résultats : une part de graves (14 %) sans commune mesure avec un portefeuille réel, qui rend les niveaux de prime non transposables — seule la méthode l'est ; l'absence de retraitement des sinistres tardifs ; des garanties non modélisées dans les données. Les priorités sont un historique pluriannuel, seule vraie réponse à l'instabilité de la brique grave, des données où la sinistralité dépend de la garantie, puis le retraitement des sinistres tardifs.</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jc w:val="both"/>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