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 w:val="40"/>
        </w:rPr>
      </w:pPr>
      <w:r>
        <w:rPr>
          <w:rFonts w:hint="eastAsia"/>
          <w:sz w:val="40"/>
        </w:rPr>
        <w:t>关于新能源汽车商业保险专属产品</w:t>
      </w:r>
    </w:p>
    <w:p>
      <w:pPr>
        <w:pStyle w:val="2"/>
        <w:spacing w:line="240" w:lineRule="auto"/>
        <w:jc w:val="center"/>
        <w:rPr>
          <w:sz w:val="40"/>
        </w:rPr>
      </w:pPr>
      <w:r>
        <w:rPr>
          <w:rFonts w:hint="eastAsia"/>
          <w:sz w:val="40"/>
        </w:rPr>
        <w:t>基准纯风险保费表测算</w:t>
      </w:r>
      <w:r>
        <w:rPr>
          <w:rFonts w:hint="eastAsia"/>
          <w:sz w:val="40"/>
          <w:lang w:val="en-US" w:eastAsia="zh-CN"/>
        </w:rPr>
        <w:t>调整</w:t>
      </w:r>
      <w:r>
        <w:rPr>
          <w:rFonts w:hint="eastAsia"/>
          <w:sz w:val="40"/>
        </w:rPr>
        <w:t>说明</w:t>
      </w:r>
      <w:bookmarkStart w:id="0" w:name="_Toc46326414"/>
    </w:p>
    <w:p/>
    <w:p>
      <w:pPr>
        <w:pStyle w:val="2"/>
        <w:spacing w:line="360" w:lineRule="auto"/>
        <w:ind w:firstLine="643" w:firstLineChars="200"/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引言：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前期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行业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对新能源车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专属产品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费率（以下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简称“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费率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”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）进行征求意见，并召开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费率评审会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进行方案论证。反馈意见一方面指出2020年车险综合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改革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后，商业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车险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基准保费已大幅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下降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，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整体实现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价格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回归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价值；另一方面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新能源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汽车产品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和技术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仍处于快速变化与更迭阶段，其保险经验数据沉淀尚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不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充分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、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不稳定，相对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传统燃油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汽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车其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赔付风险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趋势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不确定性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较大。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因此，本轮测算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在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支持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“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双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碳”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绿色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产业布局和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车险商业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可持续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性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之间寻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求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平衡点，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采用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适度谨慎原则，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对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上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  <w:lang w:val="en-US" w:eastAsia="zh-CN"/>
        </w:rPr>
        <w:t>轮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费率进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  <w:lang w:val="en-US" w:eastAsia="zh-CN"/>
        </w:rPr>
        <w:t>行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调整，新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版费率充足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度得以小幅、合理</w:t>
      </w:r>
      <w:r>
        <w:rPr>
          <w:rFonts w:ascii="仿宋_GB2312" w:eastAsia="仿宋_GB2312" w:hAnsiTheme="majorEastAsia"/>
          <w:b w:val="0"/>
          <w:bCs w:val="0"/>
          <w:kern w:val="2"/>
          <w:sz w:val="32"/>
          <w:szCs w:val="32"/>
        </w:rPr>
        <w:t>提升</w:t>
      </w:r>
      <w:r>
        <w:rPr>
          <w:rFonts w:hint="eastAsia" w:ascii="仿宋_GB2312" w:eastAsia="仿宋_GB2312" w:hAnsiTheme="majorEastAsia"/>
          <w:b w:val="0"/>
          <w:bCs w:val="0"/>
          <w:kern w:val="2"/>
          <w:sz w:val="32"/>
          <w:szCs w:val="32"/>
        </w:rPr>
        <w:t>。</w:t>
      </w:r>
    </w:p>
    <w:p>
      <w:pPr>
        <w:pStyle w:val="2"/>
        <w:ind w:left="432"/>
        <w:rPr>
          <w:rFonts w:hint="eastAsia" w:ascii="黑体" w:hAnsi="黑体" w:eastAsia="黑体"/>
          <w:b w:val="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一、数据口径与</w:t>
      </w:r>
      <w:r>
        <w:rPr>
          <w:rFonts w:ascii="黑体" w:hAnsi="黑体" w:eastAsia="黑体"/>
          <w:sz w:val="32"/>
          <w:szCs w:val="32"/>
        </w:rPr>
        <w:t>测算思路</w:t>
      </w:r>
      <w:r>
        <w:rPr>
          <w:rFonts w:hint="eastAsia" w:ascii="黑体" w:hAnsi="黑体" w:eastAsia="黑体"/>
          <w:sz w:val="32"/>
          <w:szCs w:val="32"/>
        </w:rPr>
        <w:t>回顾</w:t>
      </w:r>
    </w:p>
    <w:p>
      <w:pPr>
        <w:pStyle w:val="33"/>
        <w:adjustRightInd w:val="0"/>
        <w:spacing w:before="240" w:after="60"/>
        <w:ind w:left="425" w:firstLine="0" w:firstLineChars="0"/>
        <w:outlineLvl w:val="1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（一）数据口径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建模</w:t>
      </w:r>
      <w:r>
        <w:rPr>
          <w:rFonts w:ascii="仿宋_GB2312" w:eastAsia="仿宋_GB2312" w:hAnsiTheme="majorEastAsia"/>
          <w:sz w:val="32"/>
          <w:szCs w:val="32"/>
        </w:rPr>
        <w:t>与基</w:t>
      </w:r>
      <w:r>
        <w:rPr>
          <w:rFonts w:hint="eastAsia" w:ascii="仿宋_GB2312" w:eastAsia="仿宋_GB2312" w:hAnsiTheme="majorEastAsia"/>
          <w:sz w:val="32"/>
          <w:szCs w:val="32"/>
        </w:rPr>
        <w:t>费</w:t>
      </w:r>
      <w:r>
        <w:rPr>
          <w:rFonts w:ascii="仿宋_GB2312" w:eastAsia="仿宋_GB2312" w:hAnsiTheme="majorEastAsia"/>
          <w:sz w:val="32"/>
          <w:szCs w:val="32"/>
        </w:rPr>
        <w:t>调整</w:t>
      </w:r>
      <w:r>
        <w:rPr>
          <w:rFonts w:hint="eastAsia" w:ascii="仿宋_GB2312" w:eastAsia="仿宋_GB2312" w:hAnsiTheme="majorEastAsia"/>
          <w:sz w:val="32"/>
          <w:szCs w:val="32"/>
        </w:rPr>
        <w:t>的样本选取2018年1月1日至2020年9月18日起保的直保业务，其</w:t>
      </w:r>
      <w:r>
        <w:rPr>
          <w:rFonts w:ascii="仿宋_GB2312" w:eastAsia="仿宋_GB2312" w:hAnsiTheme="majorEastAsia"/>
          <w:sz w:val="32"/>
          <w:szCs w:val="32"/>
        </w:rPr>
        <w:t>理赔数据</w:t>
      </w:r>
      <w:r>
        <w:rPr>
          <w:rFonts w:hint="eastAsia" w:ascii="仿宋_GB2312" w:eastAsia="仿宋_GB2312" w:hAnsiTheme="majorEastAsia"/>
          <w:sz w:val="32"/>
          <w:szCs w:val="32"/>
        </w:rPr>
        <w:t>截至2021年3月31日；保费数据、NCD信息按照综改后标准</w:t>
      </w:r>
      <w:r>
        <w:rPr>
          <w:rFonts w:ascii="仿宋_GB2312" w:eastAsia="仿宋_GB2312" w:hAnsiTheme="majorEastAsia"/>
          <w:sz w:val="32"/>
          <w:szCs w:val="32"/>
        </w:rPr>
        <w:t>调整</w:t>
      </w:r>
      <w:r>
        <w:rPr>
          <w:rFonts w:hint="eastAsia" w:ascii="仿宋_GB2312" w:eastAsia="仿宋_GB2312" w:hAnsiTheme="majorEastAsia"/>
          <w:sz w:val="32"/>
          <w:szCs w:val="32"/>
        </w:rPr>
        <w:t>；赔款数据考虑进展因子、交强险限额调整、主</w:t>
      </w:r>
      <w:r>
        <w:rPr>
          <w:rFonts w:ascii="仿宋_GB2312" w:eastAsia="仿宋_GB2312" w:hAnsiTheme="majorEastAsia"/>
          <w:sz w:val="32"/>
          <w:szCs w:val="32"/>
        </w:rPr>
        <w:t>附</w:t>
      </w:r>
      <w:r>
        <w:rPr>
          <w:rFonts w:hint="eastAsia" w:ascii="仿宋_GB2312" w:eastAsia="仿宋_GB2312" w:hAnsiTheme="majorEastAsia"/>
          <w:sz w:val="32"/>
          <w:szCs w:val="32"/>
        </w:rPr>
        <w:t>险合并</w:t>
      </w:r>
      <w:r>
        <w:rPr>
          <w:rFonts w:ascii="仿宋_GB2312" w:eastAsia="仿宋_GB2312" w:hAnsiTheme="majorEastAsia"/>
          <w:sz w:val="32"/>
          <w:szCs w:val="32"/>
        </w:rPr>
        <w:t>等因素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车辆使用性质方面，分为家用车、党政机关、企事业单位、城市公交、公路客运、出租租赁车、非营业货车、营业货车等八类进行测算。</w:t>
      </w:r>
    </w:p>
    <w:p>
      <w:pPr>
        <w:pStyle w:val="33"/>
        <w:adjustRightInd w:val="0"/>
        <w:spacing w:before="240" w:after="60"/>
        <w:ind w:left="425" w:firstLine="0" w:firstLineChars="0"/>
        <w:outlineLvl w:val="1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（二）测算思路</w:t>
      </w:r>
    </w:p>
    <w:p>
      <w:pPr>
        <w:adjustRightInd w:val="0"/>
        <w:snapToGrid w:val="0"/>
        <w:spacing w:line="560" w:lineRule="exact"/>
        <w:ind w:firstLine="643" w:firstLineChars="200"/>
        <w:rPr>
          <w:rFonts w:hint="eastAsia"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一是</w:t>
      </w:r>
      <w:r>
        <w:rPr>
          <w:rFonts w:hint="eastAsia" w:ascii="仿宋_GB2312" w:eastAsia="仿宋_GB2312" w:hAnsiTheme="majorEastAsia"/>
          <w:sz w:val="32"/>
          <w:szCs w:val="32"/>
        </w:rPr>
        <w:t>三者险。与现行费率表框架保持一致，维度包括地区、车辆使用性质、车辆种类、限额</w:t>
      </w:r>
      <w:r>
        <w:rPr>
          <w:rStyle w:val="31"/>
          <w:rFonts w:ascii="仿宋_GB2312" w:eastAsia="仿宋_GB2312" w:hAnsiTheme="majorEastAsia"/>
          <w:sz w:val="32"/>
          <w:szCs w:val="32"/>
        </w:rPr>
        <w:footnoteReference w:id="0"/>
      </w:r>
      <w:r>
        <w:rPr>
          <w:rFonts w:hint="eastAsia" w:ascii="仿宋_GB2312" w:eastAsia="仿宋_GB2312" w:hAnsiTheme="majorEastAsia"/>
          <w:sz w:val="32"/>
          <w:szCs w:val="32"/>
        </w:rPr>
        <w:t>，并</w:t>
      </w:r>
      <w:r>
        <w:rPr>
          <w:rFonts w:ascii="仿宋_GB2312" w:eastAsia="仿宋_GB2312" w:hAnsiTheme="majorEastAsia"/>
          <w:sz w:val="32"/>
          <w:szCs w:val="32"/>
        </w:rPr>
        <w:t>保持</w:t>
      </w:r>
      <w:r>
        <w:rPr>
          <w:rFonts w:hint="eastAsia" w:ascii="仿宋_GB2312" w:eastAsia="仿宋_GB2312" w:hAnsiTheme="majorEastAsia"/>
          <w:sz w:val="32"/>
          <w:szCs w:val="32"/>
        </w:rPr>
        <w:t>各维度</w:t>
      </w:r>
      <w:r>
        <w:rPr>
          <w:rFonts w:ascii="仿宋_GB2312" w:eastAsia="仿宋_GB2312" w:hAnsiTheme="majorEastAsia"/>
          <w:sz w:val="32"/>
          <w:szCs w:val="32"/>
        </w:rPr>
        <w:t>下</w:t>
      </w:r>
      <w:r>
        <w:rPr>
          <w:rFonts w:hint="eastAsia" w:ascii="仿宋_GB2312" w:eastAsia="仿宋_GB2312" w:hAnsiTheme="majorEastAsia"/>
          <w:sz w:val="32"/>
          <w:szCs w:val="32"/>
        </w:rPr>
        <w:t>水平</w:t>
      </w:r>
      <w:r>
        <w:rPr>
          <w:rFonts w:ascii="仿宋_GB2312" w:eastAsia="仿宋_GB2312" w:hAnsiTheme="majorEastAsia"/>
          <w:sz w:val="32"/>
          <w:szCs w:val="32"/>
        </w:rPr>
        <w:t>间的相对差异率不变</w:t>
      </w:r>
      <w:r>
        <w:rPr>
          <w:rFonts w:hint="eastAsia" w:ascii="仿宋_GB2312" w:eastAsia="仿宋_GB2312" w:hAnsiTheme="majorEastAsia"/>
          <w:sz w:val="32"/>
          <w:szCs w:val="32"/>
        </w:rPr>
        <w:t>。在此</w:t>
      </w:r>
      <w:r>
        <w:rPr>
          <w:rFonts w:ascii="仿宋_GB2312" w:eastAsia="仿宋_GB2312" w:hAnsiTheme="majorEastAsia"/>
          <w:sz w:val="32"/>
          <w:szCs w:val="32"/>
        </w:rPr>
        <w:t>基础上，</w:t>
      </w:r>
      <w:r>
        <w:rPr>
          <w:rFonts w:hint="eastAsia" w:ascii="仿宋_GB2312" w:eastAsia="仿宋_GB2312" w:hAnsiTheme="majorEastAsia"/>
          <w:sz w:val="32"/>
          <w:szCs w:val="32"/>
        </w:rPr>
        <w:t>分地区</w:t>
      </w:r>
      <w:r>
        <w:rPr>
          <w:rFonts w:ascii="仿宋_GB2312" w:eastAsia="仿宋_GB2312" w:hAnsiTheme="majorEastAsia"/>
          <w:sz w:val="32"/>
          <w:szCs w:val="32"/>
        </w:rPr>
        <w:t>、使用性质评估</w:t>
      </w:r>
      <w:r>
        <w:rPr>
          <w:rFonts w:hint="eastAsia" w:ascii="仿宋_GB2312" w:eastAsia="仿宋_GB2312" w:hAnsiTheme="majorEastAsia"/>
          <w:sz w:val="32"/>
          <w:szCs w:val="32"/>
        </w:rPr>
        <w:t>NCD后标</w:t>
      </w:r>
      <w:r>
        <w:rPr>
          <w:rFonts w:ascii="仿宋_GB2312" w:eastAsia="仿宋_GB2312" w:hAnsiTheme="majorEastAsia"/>
          <w:sz w:val="32"/>
          <w:szCs w:val="32"/>
        </w:rPr>
        <w:t>费赔付率</w:t>
      </w:r>
      <w:r>
        <w:rPr>
          <w:rFonts w:hint="eastAsia" w:ascii="仿宋_GB2312" w:eastAsia="仿宋_GB2312" w:hAnsiTheme="majorEastAsia"/>
          <w:sz w:val="32"/>
          <w:szCs w:val="32"/>
        </w:rPr>
        <w:t>，同时</w:t>
      </w:r>
      <w:r>
        <w:rPr>
          <w:rFonts w:ascii="仿宋_GB2312" w:eastAsia="仿宋_GB2312" w:hAnsiTheme="majorEastAsia"/>
          <w:sz w:val="32"/>
          <w:szCs w:val="32"/>
        </w:rPr>
        <w:t>结合目标赔付率，进行基</w:t>
      </w:r>
      <w:r>
        <w:rPr>
          <w:rFonts w:hint="eastAsia" w:ascii="仿宋_GB2312" w:eastAsia="仿宋_GB2312" w:hAnsiTheme="majorEastAsia"/>
          <w:sz w:val="32"/>
          <w:szCs w:val="32"/>
        </w:rPr>
        <w:t>费</w:t>
      </w:r>
      <w:r>
        <w:rPr>
          <w:rFonts w:ascii="仿宋_GB2312" w:eastAsia="仿宋_GB2312" w:hAnsiTheme="majorEastAsia"/>
          <w:sz w:val="32"/>
          <w:szCs w:val="32"/>
        </w:rPr>
        <w:t>调整。</w:t>
      </w:r>
    </w:p>
    <w:p>
      <w:pPr>
        <w:adjustRightInd w:val="0"/>
        <w:snapToGrid w:val="0"/>
        <w:spacing w:line="560" w:lineRule="exact"/>
        <w:ind w:firstLine="643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二是</w:t>
      </w:r>
      <w:r>
        <w:rPr>
          <w:rFonts w:hint="eastAsia" w:ascii="仿宋_GB2312" w:eastAsia="仿宋_GB2312" w:hAnsiTheme="majorEastAsia"/>
          <w:sz w:val="32"/>
          <w:szCs w:val="32"/>
        </w:rPr>
        <w:t>车损险</w:t>
      </w:r>
      <w:r>
        <w:rPr>
          <w:rFonts w:ascii="仿宋_GB2312" w:eastAsia="仿宋_GB2312" w:hAnsiTheme="majorEastAsia"/>
          <w:sz w:val="32"/>
          <w:szCs w:val="32"/>
        </w:rPr>
        <w:t>。</w:t>
      </w:r>
      <w:r>
        <w:rPr>
          <w:rFonts w:hint="eastAsia" w:ascii="仿宋_GB2312" w:eastAsia="仿宋_GB2312" w:hAnsiTheme="majorEastAsia"/>
          <w:sz w:val="32"/>
          <w:szCs w:val="32"/>
        </w:rPr>
        <w:t>采用Tweedie模型进行风险成本测算，主要分为三大模型：家用车、党政机关和企事业单位；城市公交、公路客运和出租租赁车；非营业货车和营业货车。基费</w:t>
      </w:r>
      <w:r>
        <w:rPr>
          <w:rFonts w:ascii="仿宋_GB2312" w:eastAsia="仿宋_GB2312" w:hAnsiTheme="majorEastAsia"/>
          <w:sz w:val="32"/>
          <w:szCs w:val="32"/>
        </w:rPr>
        <w:t>调整</w:t>
      </w:r>
      <w:r>
        <w:rPr>
          <w:rFonts w:hint="eastAsia" w:ascii="仿宋_GB2312" w:eastAsia="仿宋_GB2312" w:hAnsiTheme="majorEastAsia"/>
          <w:sz w:val="32"/>
          <w:szCs w:val="32"/>
        </w:rPr>
        <w:t>原理</w:t>
      </w:r>
      <w:r>
        <w:rPr>
          <w:rFonts w:ascii="仿宋_GB2312" w:eastAsia="仿宋_GB2312" w:hAnsiTheme="majorEastAsia"/>
          <w:sz w:val="32"/>
          <w:szCs w:val="32"/>
        </w:rPr>
        <w:t>类似三者</w:t>
      </w:r>
      <w:r>
        <w:rPr>
          <w:rFonts w:hint="eastAsia" w:ascii="仿宋_GB2312" w:eastAsia="仿宋_GB2312" w:hAnsiTheme="majorEastAsia"/>
          <w:sz w:val="32"/>
          <w:szCs w:val="32"/>
        </w:rPr>
        <w:t>险</w:t>
      </w:r>
      <w:r>
        <w:rPr>
          <w:rFonts w:ascii="仿宋_GB2312" w:eastAsia="仿宋_GB2312" w:hAnsiTheme="majorEastAsia"/>
          <w:sz w:val="32"/>
          <w:szCs w:val="32"/>
        </w:rPr>
        <w:t>，</w:t>
      </w:r>
      <w:r>
        <w:rPr>
          <w:rFonts w:hint="eastAsia" w:ascii="仿宋_GB2312" w:eastAsia="仿宋_GB2312" w:hAnsiTheme="majorEastAsia"/>
          <w:sz w:val="32"/>
          <w:szCs w:val="32"/>
        </w:rPr>
        <w:t>模型因子使用</w:t>
      </w:r>
      <w:r>
        <w:rPr>
          <w:rFonts w:ascii="仿宋_GB2312" w:eastAsia="仿宋_GB2312" w:hAnsiTheme="majorEastAsia"/>
          <w:sz w:val="32"/>
          <w:szCs w:val="32"/>
        </w:rPr>
        <w:t>如下：</w:t>
      </w:r>
    </w:p>
    <w:p>
      <w:pPr>
        <w:adjustRightInd w:val="0"/>
        <w:spacing w:line="360" w:lineRule="auto"/>
        <w:ind w:firstLine="482" w:firstLineChars="200"/>
        <w:jc w:val="center"/>
        <w:rPr>
          <w:rFonts w:ascii="仿宋" w:hAnsi="仿宋" w:eastAsia="仿宋" w:cs="仿宋"/>
          <w:b/>
          <w:sz w:val="24"/>
          <w:szCs w:val="24"/>
        </w:rPr>
      </w:pPr>
      <w:r>
        <w:rPr>
          <w:rFonts w:hint="eastAsia" w:ascii="仿宋" w:hAnsi="仿宋" w:eastAsia="仿宋" w:cs="仿宋"/>
          <w:b/>
          <w:sz w:val="24"/>
          <w:szCs w:val="24"/>
        </w:rPr>
        <w:t>表1.</w:t>
      </w:r>
      <w:r>
        <w:rPr>
          <w:rFonts w:ascii="仿宋" w:hAnsi="仿宋" w:eastAsia="仿宋" w:cs="仿宋"/>
          <w:b/>
          <w:sz w:val="24"/>
          <w:szCs w:val="24"/>
        </w:rPr>
        <w:t>1</w:t>
      </w:r>
      <w:r>
        <w:rPr>
          <w:rFonts w:hint="eastAsia" w:ascii="仿宋" w:hAnsi="仿宋" w:eastAsia="仿宋" w:cs="仿宋"/>
          <w:b/>
          <w:sz w:val="24"/>
          <w:szCs w:val="24"/>
        </w:rPr>
        <w:t>车损险纯风险模型因子使用情况</w:t>
      </w:r>
    </w:p>
    <w:tbl>
      <w:tblPr>
        <w:tblStyle w:val="24"/>
        <w:tblW w:w="760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1875"/>
        <w:gridCol w:w="1875"/>
        <w:gridCol w:w="18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sz w:val="22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因子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家用车</w:t>
            </w:r>
          </w:p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企事业单位</w:t>
            </w:r>
          </w:p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sz w:val="22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党政机关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出租租赁</w:t>
            </w:r>
          </w:p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城市公交</w:t>
            </w:r>
          </w:p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sz w:val="22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公路客运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非营业货车</w:t>
            </w:r>
          </w:p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FFFFFF"/>
                <w:kern w:val="0"/>
                <w:sz w:val="22"/>
                <w:lang w:bidi="ar"/>
              </w:rPr>
              <w:t>营业货车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NCD</w:t>
            </w:r>
          </w:p>
        </w:tc>
        <w:tc>
          <w:tcPr>
            <w:tcW w:w="187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87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87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车辆使用性质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highlight w:val="none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地区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O/Y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车价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车龄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车系分组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能源类型</w:t>
            </w:r>
            <w:r>
              <w:rPr>
                <w:rFonts w:ascii="仿宋" w:hAnsi="仿宋" w:eastAsia="仿宋" w:cs="仿宋"/>
                <w:color w:val="000000"/>
                <w:sz w:val="22"/>
              </w:rPr>
              <w:t xml:space="preserve"> 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续航里程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疫情因子</w:t>
            </w:r>
            <w:r>
              <w:rPr>
                <w:kern w:val="0"/>
              </w:rPr>
              <w:t>*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8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仿宋" w:hAnsi="仿宋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lang w:bidi="ar"/>
              </w:rPr>
              <w:t>Y</w:t>
            </w:r>
          </w:p>
        </w:tc>
      </w:tr>
    </w:tbl>
    <w:p>
      <w:pPr>
        <w:adjustRightInd w:val="0"/>
        <w:snapToGrid w:val="0"/>
        <w:spacing w:line="15" w:lineRule="auto"/>
        <w:rPr>
          <w:rFonts w:asciiTheme="minorEastAsia" w:hAnsiTheme="minorEastAsia" w:cstheme="minorEastAsia"/>
          <w:b/>
          <w:sz w:val="22"/>
        </w:rPr>
      </w:pPr>
    </w:p>
    <w:p>
      <w:pPr>
        <w:adjustRightInd w:val="0"/>
        <w:snapToGrid w:val="0"/>
        <w:ind w:firstLine="400" w:firstLineChars="200"/>
        <w:rPr>
          <w:rFonts w:ascii="仿宋" w:hAnsi="仿宋" w:eastAsia="仿宋" w:cs="仿宋"/>
          <w:bCs/>
          <w:sz w:val="20"/>
          <w:szCs w:val="20"/>
        </w:rPr>
      </w:pPr>
      <w:r>
        <w:rPr>
          <w:rFonts w:hint="eastAsia" w:ascii="仿宋" w:hAnsi="仿宋" w:eastAsia="仿宋" w:cs="仿宋"/>
          <w:bCs/>
          <w:sz w:val="20"/>
          <w:szCs w:val="20"/>
        </w:rPr>
        <w:t>注：Y-选用因子；O-固定系数因子；N-未选用因子；O/Y-部分水平固定系数因子。</w:t>
      </w:r>
    </w:p>
    <w:p>
      <w:pPr>
        <w:adjustRightInd w:val="0"/>
        <w:snapToGrid w:val="0"/>
        <w:spacing w:line="560" w:lineRule="exact"/>
        <w:ind w:firstLine="643" w:firstLineChars="200"/>
        <w:rPr>
          <w:rFonts w:hint="eastAsia"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三是</w:t>
      </w:r>
      <w:r>
        <w:rPr>
          <w:rFonts w:hint="eastAsia" w:ascii="仿宋_GB2312" w:eastAsia="仿宋_GB2312" w:hAnsiTheme="majorEastAsia"/>
          <w:sz w:val="32"/>
          <w:szCs w:val="32"/>
        </w:rPr>
        <w:t>新</w:t>
      </w:r>
      <w:r>
        <w:rPr>
          <w:rFonts w:ascii="仿宋_GB2312" w:eastAsia="仿宋_GB2312" w:hAnsiTheme="majorEastAsia"/>
          <w:sz w:val="32"/>
          <w:szCs w:val="32"/>
        </w:rPr>
        <w:t>增附加险。</w:t>
      </w:r>
      <w:r>
        <w:rPr>
          <w:rFonts w:hint="eastAsia" w:ascii="仿宋_GB2312" w:eastAsia="仿宋_GB2312" w:hAnsiTheme="majorEastAsia"/>
          <w:sz w:val="32"/>
          <w:szCs w:val="32"/>
        </w:rPr>
        <w:t>删除附加智能辅助驾驶软件损失补偿险和附加火灾事故限额翻倍险,其余新</w:t>
      </w:r>
      <w:r>
        <w:rPr>
          <w:rFonts w:ascii="仿宋_GB2312" w:eastAsia="仿宋_GB2312" w:hAnsiTheme="majorEastAsia"/>
          <w:sz w:val="32"/>
          <w:szCs w:val="32"/>
        </w:rPr>
        <w:t>增附加险同上轮测算结果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pStyle w:val="2"/>
        <w:ind w:left="432"/>
        <w:rPr>
          <w:rFonts w:ascii="黑体" w:hAnsi="黑体" w:eastAsia="黑体"/>
          <w:b w:val="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</w:t>
      </w:r>
      <w:bookmarkEnd w:id="0"/>
      <w:r>
        <w:rPr>
          <w:rFonts w:hint="eastAsia" w:ascii="黑体" w:hAnsi="黑体" w:eastAsia="黑体"/>
          <w:sz w:val="32"/>
          <w:szCs w:val="32"/>
        </w:rPr>
        <w:t>费率</w:t>
      </w:r>
      <w:r>
        <w:rPr>
          <w:rFonts w:ascii="黑体" w:hAnsi="黑体" w:eastAsia="黑体"/>
          <w:sz w:val="32"/>
          <w:szCs w:val="32"/>
        </w:rPr>
        <w:t>平滑规则调整与结果对比</w:t>
      </w:r>
      <w:r>
        <w:rPr>
          <w:rStyle w:val="31"/>
          <w:rFonts w:ascii="黑体" w:hAnsi="黑体" w:eastAsia="黑体"/>
          <w:sz w:val="32"/>
          <w:szCs w:val="32"/>
        </w:rPr>
        <w:footnoteReference w:id="1"/>
      </w:r>
    </w:p>
    <w:p>
      <w:pPr>
        <w:keepNext/>
        <w:widowControl/>
        <w:spacing w:before="240" w:after="60"/>
        <w:ind w:left="576"/>
        <w:jc w:val="left"/>
        <w:outlineLvl w:val="1"/>
        <w:rPr>
          <w:rFonts w:ascii="黑体" w:hAnsi="黑体" w:eastAsia="黑体"/>
          <w:b/>
          <w:sz w:val="32"/>
          <w:szCs w:val="32"/>
          <w:highlight w:val="none"/>
        </w:rPr>
      </w:pPr>
      <w:bookmarkStart w:id="1" w:name="_Toc46134514"/>
      <w:bookmarkStart w:id="2" w:name="_Toc46326417"/>
      <w:r>
        <w:rPr>
          <w:rFonts w:hint="eastAsia" w:ascii="黑体" w:hAnsi="黑体" w:eastAsia="黑体"/>
          <w:b/>
          <w:sz w:val="32"/>
          <w:szCs w:val="32"/>
        </w:rPr>
        <w:t>（一）整体</w:t>
      </w: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>相对</w:t>
      </w:r>
      <w:r>
        <w:rPr>
          <w:rFonts w:ascii="仿宋" w:hAnsi="仿宋" w:eastAsia="仿宋" w:cs="仿宋"/>
          <w:sz w:val="32"/>
          <w:szCs w:val="32"/>
          <w:highlight w:val="none"/>
        </w:rPr>
        <w:t>现行综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改基准保费</w:t>
      </w:r>
      <w:r>
        <w:rPr>
          <w:rFonts w:ascii="仿宋" w:hAnsi="仿宋" w:eastAsia="仿宋" w:cs="仿宋"/>
          <w:sz w:val="32"/>
          <w:szCs w:val="32"/>
          <w:highlight w:val="none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三者险</w:t>
      </w:r>
      <w:r>
        <w:rPr>
          <w:rFonts w:ascii="仿宋" w:hAnsi="仿宋" w:eastAsia="仿宋" w:cs="仿宋"/>
          <w:sz w:val="32"/>
          <w:szCs w:val="32"/>
          <w:highlight w:val="none"/>
        </w:rPr>
        <w:t>和车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损险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整体</w:t>
      </w:r>
      <w:r>
        <w:rPr>
          <w:rFonts w:hint="eastAsia" w:ascii="仿宋" w:hAnsi="仿宋" w:eastAsia="仿宋" w:cs="仿宋"/>
          <w:sz w:val="32"/>
          <w:szCs w:val="32"/>
        </w:rPr>
        <w:t>下降0.8%，</w:t>
      </w:r>
      <w:r>
        <w:rPr>
          <w:rFonts w:ascii="仿宋" w:hAnsi="仿宋" w:eastAsia="仿宋" w:cs="仿宋"/>
          <w:sz w:val="32"/>
          <w:szCs w:val="32"/>
        </w:rPr>
        <w:t>相比上轮测算结果均有</w:t>
      </w:r>
      <w:r>
        <w:rPr>
          <w:rFonts w:hint="eastAsia" w:ascii="仿宋" w:hAnsi="仿宋" w:eastAsia="仿宋" w:cs="仿宋"/>
          <w:sz w:val="32"/>
          <w:szCs w:val="32"/>
        </w:rPr>
        <w:t>提升</w:t>
      </w:r>
      <w:r>
        <w:rPr>
          <w:rStyle w:val="31"/>
          <w:rFonts w:ascii="仿宋" w:hAnsi="仿宋" w:eastAsia="仿宋" w:cs="仿宋"/>
          <w:sz w:val="32"/>
          <w:szCs w:val="32"/>
        </w:rPr>
        <w:footnoteReference w:id="2"/>
      </w:r>
      <w:r>
        <w:rPr>
          <w:rFonts w:hint="eastAsia" w:ascii="仿宋" w:hAnsi="仿宋" w:eastAsia="仿宋" w:cs="仿宋"/>
          <w:sz w:val="32"/>
          <w:szCs w:val="32"/>
        </w:rPr>
        <w:t>。整体涨费保单占比由原方案的18.3%上升为20.7%，上升2.4个</w:t>
      </w:r>
      <w:r>
        <w:rPr>
          <w:rFonts w:ascii="仿宋" w:hAnsi="仿宋" w:eastAsia="仿宋" w:cs="仿宋"/>
          <w:sz w:val="32"/>
          <w:szCs w:val="32"/>
        </w:rPr>
        <w:t>百分点。</w:t>
      </w:r>
    </w:p>
    <w:p>
      <w:pPr>
        <w:adjustRightInd w:val="0"/>
        <w:snapToGrid w:val="0"/>
        <w:spacing w:line="560" w:lineRule="exact"/>
        <w:ind w:firstLine="422" w:firstLineChars="200"/>
        <w:jc w:val="center"/>
        <w:rPr>
          <w:rFonts w:hint="eastAsia"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表2.1</w:t>
      </w:r>
      <w:r>
        <w:rPr>
          <w:rFonts w:ascii="仿宋" w:hAnsi="仿宋" w:eastAsia="仿宋"/>
          <w:b/>
          <w:szCs w:val="21"/>
        </w:rPr>
        <w:t xml:space="preserve"> </w:t>
      </w:r>
      <w:r>
        <w:rPr>
          <w:rFonts w:hint="eastAsia" w:ascii="仿宋" w:hAnsi="仿宋" w:eastAsia="仿宋"/>
          <w:b/>
          <w:szCs w:val="21"/>
        </w:rPr>
        <w:t>三者与</w:t>
      </w:r>
      <w:r>
        <w:rPr>
          <w:rFonts w:ascii="仿宋" w:hAnsi="仿宋" w:eastAsia="仿宋"/>
          <w:b/>
          <w:szCs w:val="21"/>
        </w:rPr>
        <w:t>车损整体</w:t>
      </w:r>
      <w:r>
        <w:rPr>
          <w:rFonts w:hint="eastAsia" w:ascii="仿宋" w:hAnsi="仿宋" w:eastAsia="仿宋"/>
          <w:b/>
          <w:szCs w:val="21"/>
        </w:rPr>
        <w:t>费率平滑情况（分</w:t>
      </w:r>
      <w:r>
        <w:rPr>
          <w:rFonts w:ascii="仿宋" w:hAnsi="仿宋" w:eastAsia="仿宋"/>
          <w:b/>
          <w:szCs w:val="21"/>
        </w:rPr>
        <w:t>使用性质</w:t>
      </w:r>
      <w:r>
        <w:rPr>
          <w:rFonts w:hint="eastAsia" w:ascii="仿宋" w:hAnsi="仿宋" w:eastAsia="仿宋"/>
          <w:b/>
          <w:szCs w:val="21"/>
        </w:rPr>
        <w:t>）</w:t>
      </w:r>
    </w:p>
    <w:tbl>
      <w:tblPr>
        <w:tblStyle w:val="2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4"/>
        <w:gridCol w:w="1753"/>
        <w:gridCol w:w="1753"/>
        <w:gridCol w:w="1332"/>
        <w:gridCol w:w="13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303" w:type="pct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20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4"/>
              </w:rPr>
              <w:t>使用性质</w:t>
            </w:r>
          </w:p>
        </w:tc>
        <w:tc>
          <w:tcPr>
            <w:tcW w:w="1050" w:type="pct"/>
            <w:vMerge w:val="restar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20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4"/>
              </w:rPr>
              <w:t>基费占比</w:t>
            </w:r>
          </w:p>
        </w:tc>
        <w:tc>
          <w:tcPr>
            <w:tcW w:w="2647" w:type="pct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基费变化幅度（相对现行</w:t>
            </w:r>
            <w:r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综改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303" w:type="pct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1050" w:type="pct"/>
            <w:vMerge w:val="continue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客观情景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上轮</w:t>
            </w:r>
          </w:p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平滑</w:t>
            </w: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方案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本轮</w:t>
            </w:r>
          </w:p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平滑方案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家用车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47.6%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1.1%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-3%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-0.3%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企业车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9.7%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2.7%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-1.8%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-0.1%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机关车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0.2%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-10.4%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-11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.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5%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-1.6%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出租租赁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27.3%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-10.6%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-11.1%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城市公交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6.4%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-16.1%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-12.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-0.9%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公路客运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0.4%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-11.4%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0.7%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-0.7%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非营业货车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1.6%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18.4%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-2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.5%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0.4%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营业货车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6.7%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-8.2%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-7.5%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合计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100.0%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-3.4%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-6.2%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-0.8%</w:t>
            </w:r>
          </w:p>
        </w:tc>
      </w:tr>
    </w:tbl>
    <w:p>
      <w:pPr>
        <w:keepNext/>
        <w:widowControl/>
        <w:spacing w:before="240" w:after="60"/>
        <w:ind w:left="576"/>
        <w:jc w:val="left"/>
        <w:outlineLvl w:val="1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（二</w:t>
      </w:r>
      <w:r>
        <w:rPr>
          <w:rFonts w:ascii="黑体" w:hAnsi="黑体" w:eastAsia="黑体"/>
          <w:b/>
          <w:sz w:val="32"/>
          <w:szCs w:val="32"/>
        </w:rPr>
        <w:t>）</w:t>
      </w:r>
      <w:r>
        <w:rPr>
          <w:rFonts w:hint="eastAsia" w:ascii="黑体" w:hAnsi="黑体" w:eastAsia="黑体"/>
          <w:b/>
          <w:sz w:val="32"/>
          <w:szCs w:val="32"/>
        </w:rPr>
        <w:t>三者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险</w:t>
      </w: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本轮</w:t>
      </w:r>
      <w:r>
        <w:rPr>
          <w:rFonts w:ascii="仿宋" w:hAnsi="仿宋" w:eastAsia="仿宋" w:cs="仿宋"/>
          <w:sz w:val="32"/>
          <w:szCs w:val="32"/>
        </w:rPr>
        <w:t>测算，</w:t>
      </w:r>
      <w:r>
        <w:rPr>
          <w:rFonts w:hint="eastAsia" w:ascii="仿宋" w:hAnsi="仿宋" w:eastAsia="仿宋" w:cs="仿宋"/>
          <w:sz w:val="32"/>
          <w:szCs w:val="32"/>
        </w:rPr>
        <w:t>三者险基费调整不进行区域差异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相对现行综改基准保费，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三者险</w:t>
      </w:r>
      <w:r>
        <w:rPr>
          <w:rFonts w:hint="eastAsia" w:ascii="仿宋" w:hAnsi="仿宋" w:eastAsia="仿宋" w:cs="仿宋"/>
          <w:sz w:val="32"/>
          <w:szCs w:val="32"/>
        </w:rPr>
        <w:t>下降0.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%，相比</w:t>
      </w:r>
      <w:r>
        <w:rPr>
          <w:rFonts w:ascii="仿宋" w:hAnsi="仿宋" w:eastAsia="仿宋" w:cs="仿宋"/>
          <w:sz w:val="32"/>
          <w:szCs w:val="32"/>
        </w:rPr>
        <w:t>上轮</w:t>
      </w:r>
      <w:r>
        <w:rPr>
          <w:rFonts w:hint="eastAsia" w:ascii="仿宋" w:hAnsi="仿宋" w:eastAsia="仿宋" w:cs="仿宋"/>
          <w:sz w:val="32"/>
          <w:szCs w:val="32"/>
        </w:rPr>
        <w:t>降幅收窄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个</w:t>
      </w:r>
      <w:r>
        <w:rPr>
          <w:rFonts w:ascii="仿宋" w:hAnsi="仿宋" w:eastAsia="仿宋" w:cs="仿宋"/>
          <w:sz w:val="32"/>
          <w:szCs w:val="32"/>
        </w:rPr>
        <w:t>百分点</w:t>
      </w:r>
      <w:r>
        <w:rPr>
          <w:rFonts w:hint="eastAsia" w:ascii="仿宋" w:hAnsi="仿宋" w:eastAsia="仿宋" w:cs="仿宋"/>
          <w:sz w:val="32"/>
          <w:szCs w:val="32"/>
        </w:rPr>
        <w:t>；三者保单25%降费，62%不变，13%上涨。</w:t>
      </w:r>
    </w:p>
    <w:p>
      <w:pPr>
        <w:adjustRightInd w:val="0"/>
        <w:snapToGrid w:val="0"/>
        <w:spacing w:line="560" w:lineRule="exact"/>
        <w:ind w:firstLine="422" w:firstLineChars="200"/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表2.2三者险费率平滑情况（分</w:t>
      </w:r>
      <w:r>
        <w:rPr>
          <w:rFonts w:ascii="仿宋" w:hAnsi="仿宋" w:eastAsia="仿宋"/>
          <w:b/>
          <w:szCs w:val="21"/>
        </w:rPr>
        <w:t>使用性质</w:t>
      </w:r>
      <w:r>
        <w:rPr>
          <w:rFonts w:hint="eastAsia" w:ascii="仿宋" w:hAnsi="仿宋" w:eastAsia="仿宋"/>
          <w:b/>
          <w:szCs w:val="21"/>
        </w:rPr>
        <w:t>）</w:t>
      </w:r>
    </w:p>
    <w:tbl>
      <w:tblPr>
        <w:tblStyle w:val="2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4"/>
        <w:gridCol w:w="1753"/>
        <w:gridCol w:w="1753"/>
        <w:gridCol w:w="1332"/>
        <w:gridCol w:w="13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303" w:type="pct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20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4"/>
              </w:rPr>
              <w:t>使用性质</w:t>
            </w:r>
          </w:p>
        </w:tc>
        <w:tc>
          <w:tcPr>
            <w:tcW w:w="1050" w:type="pct"/>
            <w:vMerge w:val="restar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20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4"/>
              </w:rPr>
              <w:t>基费占比</w:t>
            </w:r>
          </w:p>
        </w:tc>
        <w:tc>
          <w:tcPr>
            <w:tcW w:w="2647" w:type="pct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基费变化幅度（相对现行</w:t>
            </w:r>
            <w:r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综改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303" w:type="pct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1050" w:type="pct"/>
            <w:vMerge w:val="continue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客观情景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上轮</w:t>
            </w:r>
          </w:p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平滑</w:t>
            </w: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方案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本轮</w:t>
            </w:r>
          </w:p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平滑方案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家用车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30.7%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18.3%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-0.8%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0.0%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企业车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6.7%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16.3%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0.0%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2.0%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机关车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0.2%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-11.8%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-11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.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8%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3.0%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出租租赁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35.1%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-10.0%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-10.3%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-0.5%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城市公交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13.1%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-11.8%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-11.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8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-0.8%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公路客运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1.0%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-11.8%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</w:t>
            </w: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1.8%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非营业货车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2.4%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31.5%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0</w:t>
            </w: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.0%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2.0%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营业货车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 w:themeColor="dark1"/>
                <w:kern w:val="24"/>
                <w:sz w:val="18"/>
                <w14:textFill>
                  <w14:solidFill>
                    <w14:schemeClr w14:val="dk1"/>
                  </w14:solidFill>
                </w14:textFill>
              </w:rPr>
              <w:t>10.8%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-3.9%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24"/>
                <w:sz w:val="18"/>
                <w:szCs w:val="24"/>
              </w:rPr>
              <w:t>-5.2%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0.0%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303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合计</w:t>
            </w:r>
          </w:p>
        </w:tc>
        <w:tc>
          <w:tcPr>
            <w:tcW w:w="1050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100.0%</w:t>
            </w:r>
          </w:p>
        </w:tc>
        <w:tc>
          <w:tcPr>
            <w:tcW w:w="105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</w:rPr>
              <w:t>1.9%</w:t>
            </w:r>
          </w:p>
        </w:tc>
        <w:tc>
          <w:tcPr>
            <w:tcW w:w="798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b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-6.2%</w:t>
            </w:r>
          </w:p>
        </w:tc>
        <w:tc>
          <w:tcPr>
            <w:tcW w:w="799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</w:rPr>
              <w:t>-0.1%</w:t>
            </w:r>
          </w:p>
        </w:tc>
      </w:tr>
    </w:tbl>
    <w:p>
      <w:pPr>
        <w:keepNext/>
        <w:widowControl/>
        <w:spacing w:before="240" w:after="60"/>
        <w:ind w:left="576"/>
        <w:jc w:val="left"/>
        <w:outlineLvl w:val="1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（三）车损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险</w:t>
      </w: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本轮</w:t>
      </w:r>
      <w:r>
        <w:rPr>
          <w:rFonts w:ascii="仿宋" w:hAnsi="仿宋" w:eastAsia="仿宋" w:cs="仿宋"/>
          <w:sz w:val="32"/>
          <w:szCs w:val="32"/>
        </w:rPr>
        <w:t>考虑</w:t>
      </w:r>
      <w:r>
        <w:rPr>
          <w:rFonts w:hint="eastAsia" w:ascii="仿宋" w:hAnsi="仿宋" w:eastAsia="仿宋" w:cs="仿宋"/>
          <w:sz w:val="32"/>
          <w:szCs w:val="32"/>
        </w:rPr>
        <w:t>行业</w:t>
      </w:r>
      <w:r>
        <w:rPr>
          <w:rFonts w:ascii="仿宋" w:hAnsi="仿宋" w:eastAsia="仿宋" w:cs="仿宋"/>
          <w:sz w:val="32"/>
          <w:szCs w:val="32"/>
        </w:rPr>
        <w:t>反馈的新能源</w:t>
      </w:r>
      <w:r>
        <w:rPr>
          <w:rFonts w:hint="eastAsia" w:ascii="仿宋" w:hAnsi="仿宋" w:eastAsia="仿宋" w:cs="仿宋"/>
          <w:sz w:val="32"/>
          <w:szCs w:val="32"/>
        </w:rPr>
        <w:t>车费率</w:t>
      </w:r>
      <w:r>
        <w:rPr>
          <w:rFonts w:ascii="仿宋" w:hAnsi="仿宋" w:eastAsia="仿宋" w:cs="仿宋"/>
          <w:sz w:val="32"/>
          <w:szCs w:val="32"/>
        </w:rPr>
        <w:t>测算</w:t>
      </w:r>
      <w:r>
        <w:rPr>
          <w:rFonts w:hint="eastAsia" w:ascii="仿宋" w:hAnsi="仿宋" w:eastAsia="仿宋" w:cs="仿宋"/>
          <w:sz w:val="32"/>
          <w:szCs w:val="32"/>
        </w:rPr>
        <w:t>中</w:t>
      </w:r>
      <w:r>
        <w:rPr>
          <w:rFonts w:ascii="仿宋" w:hAnsi="仿宋" w:eastAsia="仿宋" w:cs="仿宋"/>
          <w:sz w:val="32"/>
          <w:szCs w:val="32"/>
        </w:rPr>
        <w:t>的不确定性因素，</w:t>
      </w:r>
      <w:r>
        <w:rPr>
          <w:rFonts w:hint="eastAsia" w:ascii="仿宋" w:hAnsi="仿宋" w:eastAsia="仿宋" w:cs="仿宋"/>
          <w:sz w:val="32"/>
          <w:szCs w:val="32"/>
        </w:rPr>
        <w:t>引入</w:t>
      </w:r>
      <w:r>
        <w:rPr>
          <w:rFonts w:ascii="仿宋" w:hAnsi="仿宋" w:eastAsia="仿宋" w:cs="仿宋"/>
          <w:sz w:val="32"/>
          <w:szCs w:val="32"/>
        </w:rPr>
        <w:t>风险边际</w:t>
      </w:r>
      <w:r>
        <w:rPr>
          <w:rFonts w:hint="eastAsia" w:ascii="仿宋" w:hAnsi="仿宋" w:eastAsia="仿宋" w:cs="仿宋"/>
          <w:sz w:val="32"/>
          <w:szCs w:val="32"/>
        </w:rPr>
        <w:t>，按照车辆</w:t>
      </w:r>
      <w:r>
        <w:rPr>
          <w:rFonts w:ascii="仿宋" w:hAnsi="仿宋" w:eastAsia="仿宋" w:cs="仿宋"/>
          <w:sz w:val="32"/>
          <w:szCs w:val="32"/>
        </w:rPr>
        <w:t>使用性质</w:t>
      </w:r>
      <w:r>
        <w:rPr>
          <w:rFonts w:hint="eastAsia" w:ascii="仿宋" w:hAnsi="仿宋" w:eastAsia="仿宋" w:cs="仿宋"/>
          <w:sz w:val="32"/>
          <w:szCs w:val="32"/>
        </w:rPr>
        <w:t>对基准</w:t>
      </w:r>
      <w:r>
        <w:rPr>
          <w:rFonts w:ascii="仿宋" w:hAnsi="仿宋" w:eastAsia="仿宋" w:cs="仿宋"/>
          <w:sz w:val="32"/>
          <w:szCs w:val="32"/>
        </w:rPr>
        <w:t>适度</w:t>
      </w:r>
      <w:r>
        <w:rPr>
          <w:rFonts w:hint="eastAsia" w:ascii="仿宋" w:hAnsi="仿宋" w:eastAsia="仿宋" w:cs="仿宋"/>
          <w:sz w:val="32"/>
          <w:szCs w:val="32"/>
        </w:rPr>
        <w:t>向上</w:t>
      </w:r>
      <w:r>
        <w:rPr>
          <w:rFonts w:ascii="仿宋" w:hAnsi="仿宋" w:eastAsia="仿宋" w:cs="仿宋"/>
          <w:sz w:val="32"/>
          <w:szCs w:val="32"/>
        </w:rPr>
        <w:t>平移</w:t>
      </w:r>
      <w:r>
        <w:rPr>
          <w:rFonts w:hint="eastAsia" w:ascii="仿宋" w:hAnsi="仿宋" w:eastAsia="仿宋" w:cs="仿宋"/>
          <w:sz w:val="32"/>
          <w:szCs w:val="32"/>
        </w:rPr>
        <w:t>；</w:t>
      </w:r>
      <w:r>
        <w:rPr>
          <w:rFonts w:ascii="仿宋" w:hAnsi="仿宋" w:eastAsia="仿宋" w:cs="仿宋"/>
          <w:sz w:val="32"/>
          <w:szCs w:val="32"/>
        </w:rPr>
        <w:t>同时，考虑新旧费率切换</w:t>
      </w:r>
      <w:bookmarkStart w:id="3" w:name="_GoBack"/>
      <w:bookmarkEnd w:id="3"/>
      <w:r>
        <w:rPr>
          <w:rFonts w:ascii="仿宋" w:hAnsi="仿宋" w:eastAsia="仿宋" w:cs="仿宋"/>
          <w:sz w:val="32"/>
          <w:szCs w:val="32"/>
        </w:rPr>
        <w:t>时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ascii="仿宋" w:hAnsi="仿宋" w:eastAsia="仿宋" w:cs="仿宋"/>
          <w:sz w:val="32"/>
          <w:szCs w:val="32"/>
        </w:rPr>
        <w:t>存量新能源</w:t>
      </w:r>
      <w:r>
        <w:rPr>
          <w:rFonts w:hint="eastAsia" w:ascii="仿宋" w:hAnsi="仿宋" w:eastAsia="仿宋" w:cs="仿宋"/>
          <w:sz w:val="32"/>
          <w:szCs w:val="32"/>
        </w:rPr>
        <w:t>车主在过渡期</w:t>
      </w:r>
      <w:r>
        <w:rPr>
          <w:rFonts w:ascii="仿宋" w:hAnsi="仿宋" w:eastAsia="仿宋" w:cs="仿宋"/>
          <w:sz w:val="32"/>
          <w:szCs w:val="32"/>
        </w:rPr>
        <w:t>的</w:t>
      </w:r>
      <w:r>
        <w:rPr>
          <w:rFonts w:hint="eastAsia" w:ascii="仿宋" w:hAnsi="仿宋" w:eastAsia="仿宋" w:cs="仿宋"/>
          <w:sz w:val="32"/>
          <w:szCs w:val="32"/>
        </w:rPr>
        <w:t>价格敏感性</w:t>
      </w:r>
      <w:r>
        <w:rPr>
          <w:rFonts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继续</w:t>
      </w:r>
      <w:r>
        <w:rPr>
          <w:rFonts w:ascii="仿宋" w:hAnsi="仿宋" w:eastAsia="仿宋" w:cs="仿宋"/>
          <w:sz w:val="32"/>
          <w:szCs w:val="32"/>
        </w:rPr>
        <w:t>维持</w:t>
      </w:r>
      <w:r>
        <w:rPr>
          <w:rFonts w:hint="eastAsia" w:ascii="仿宋" w:hAnsi="仿宋" w:eastAsia="仿宋" w:cs="仿宋"/>
          <w:sz w:val="32"/>
          <w:szCs w:val="32"/>
        </w:rPr>
        <w:t>25万以下车价不涨费，并</w:t>
      </w:r>
      <w:r>
        <w:rPr>
          <w:rFonts w:ascii="仿宋" w:hAnsi="仿宋" w:eastAsia="仿宋" w:cs="仿宋"/>
          <w:sz w:val="32"/>
          <w:szCs w:val="32"/>
        </w:rPr>
        <w:t>收窄</w:t>
      </w:r>
      <w:r>
        <w:rPr>
          <w:rFonts w:hint="eastAsia" w:ascii="仿宋" w:hAnsi="仿宋" w:eastAsia="仿宋" w:cs="仿宋"/>
          <w:sz w:val="32"/>
          <w:szCs w:val="32"/>
        </w:rPr>
        <w:t>费率</w:t>
      </w:r>
      <w:r>
        <w:rPr>
          <w:rFonts w:ascii="仿宋" w:hAnsi="仿宋" w:eastAsia="仿宋" w:cs="仿宋"/>
          <w:sz w:val="32"/>
          <w:szCs w:val="32"/>
        </w:rPr>
        <w:t>涨降幅</w:t>
      </w:r>
      <w:r>
        <w:rPr>
          <w:rFonts w:hint="eastAsia" w:ascii="仿宋" w:hAnsi="仿宋" w:eastAsia="仿宋" w:cs="仿宋"/>
          <w:sz w:val="32"/>
          <w:szCs w:val="32"/>
        </w:rPr>
        <w:t>限制阈值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(微信公众号-今日保条-收集）</w:t>
      </w:r>
      <w:r>
        <w:rPr>
          <w:rFonts w:ascii="仿宋" w:hAnsi="仿宋" w:eastAsia="仿宋" w:cs="仿宋"/>
          <w:sz w:val="32"/>
          <w:szCs w:val="32"/>
        </w:rPr>
        <w:t>。</w:t>
      </w: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相对现行综改基准保费，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车损险</w:t>
      </w:r>
      <w:r>
        <w:rPr>
          <w:rFonts w:hint="eastAsia" w:ascii="仿宋" w:hAnsi="仿宋" w:eastAsia="仿宋" w:cs="仿宋"/>
          <w:sz w:val="32"/>
          <w:szCs w:val="32"/>
        </w:rPr>
        <w:t>下降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%，相比</w:t>
      </w:r>
      <w:r>
        <w:rPr>
          <w:rFonts w:ascii="仿宋" w:hAnsi="仿宋" w:eastAsia="仿宋" w:cs="仿宋"/>
          <w:sz w:val="32"/>
          <w:szCs w:val="32"/>
        </w:rPr>
        <w:t>上轮</w:t>
      </w:r>
      <w:r>
        <w:rPr>
          <w:rFonts w:hint="eastAsia" w:ascii="仿宋" w:hAnsi="仿宋" w:eastAsia="仿宋" w:cs="仿宋"/>
          <w:sz w:val="32"/>
          <w:szCs w:val="32"/>
        </w:rPr>
        <w:t>降幅收窄5.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个</w:t>
      </w:r>
      <w:r>
        <w:rPr>
          <w:rFonts w:ascii="仿宋" w:hAnsi="仿宋" w:eastAsia="仿宋" w:cs="仿宋"/>
          <w:sz w:val="32"/>
          <w:szCs w:val="32"/>
        </w:rPr>
        <w:t>百分点</w:t>
      </w:r>
      <w:r>
        <w:rPr>
          <w:rFonts w:hint="eastAsia" w:ascii="仿宋" w:hAnsi="仿宋" w:eastAsia="仿宋" w:cs="仿宋"/>
          <w:sz w:val="32"/>
          <w:szCs w:val="32"/>
        </w:rPr>
        <w:t>；车损保单</w:t>
      </w:r>
      <w:r>
        <w:rPr>
          <w:rFonts w:ascii="仿宋" w:hAnsi="仿宋" w:eastAsia="仿宋" w:cs="仿宋"/>
          <w:sz w:val="32"/>
          <w:szCs w:val="32"/>
        </w:rPr>
        <w:t>60.2</w:t>
      </w:r>
      <w:r>
        <w:rPr>
          <w:rFonts w:hint="eastAsia" w:ascii="仿宋" w:hAnsi="仿宋" w:eastAsia="仿宋" w:cs="仿宋"/>
          <w:sz w:val="32"/>
          <w:szCs w:val="32"/>
        </w:rPr>
        <w:t>%降费，2</w:t>
      </w:r>
      <w:r>
        <w:rPr>
          <w:rFonts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%不变，18.8%上涨。</w:t>
      </w: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640"/>
        <w:rPr>
          <w:rFonts w:ascii="仿宋" w:hAnsi="仿宋" w:eastAsia="仿宋" w:cs="仿宋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640"/>
        <w:rPr>
          <w:rFonts w:hint="eastAsia" w:ascii="仿宋" w:hAnsi="仿宋" w:eastAsia="仿宋" w:cs="仿宋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422" w:firstLineChars="200"/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表2.</w:t>
      </w:r>
      <w:r>
        <w:rPr>
          <w:rFonts w:ascii="仿宋" w:hAnsi="仿宋" w:eastAsia="仿宋"/>
          <w:b/>
          <w:szCs w:val="21"/>
        </w:rPr>
        <w:t xml:space="preserve">3 </w:t>
      </w:r>
      <w:r>
        <w:rPr>
          <w:rFonts w:hint="eastAsia" w:ascii="仿宋" w:hAnsi="仿宋" w:eastAsia="仿宋"/>
          <w:b/>
          <w:szCs w:val="21"/>
        </w:rPr>
        <w:t>车损险费率平滑情况（分</w:t>
      </w:r>
      <w:r>
        <w:rPr>
          <w:rFonts w:ascii="仿宋" w:hAnsi="仿宋" w:eastAsia="仿宋"/>
          <w:b/>
          <w:szCs w:val="21"/>
        </w:rPr>
        <w:t>使用性质</w:t>
      </w:r>
      <w:r>
        <w:rPr>
          <w:rFonts w:hint="eastAsia" w:ascii="仿宋" w:hAnsi="仿宋" w:eastAsia="仿宋"/>
          <w:b/>
          <w:szCs w:val="21"/>
        </w:rPr>
        <w:t>）</w:t>
      </w:r>
    </w:p>
    <w:tbl>
      <w:tblPr>
        <w:tblStyle w:val="24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"/>
        <w:gridCol w:w="938"/>
        <w:gridCol w:w="1526"/>
        <w:gridCol w:w="1311"/>
        <w:gridCol w:w="1332"/>
        <w:gridCol w:w="848"/>
        <w:gridCol w:w="713"/>
        <w:gridCol w:w="6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628" w:type="pct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20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4"/>
              </w:rPr>
              <w:t>使用性质</w:t>
            </w:r>
          </w:p>
        </w:tc>
        <w:tc>
          <w:tcPr>
            <w:tcW w:w="562" w:type="pct"/>
            <w:vMerge w:val="restar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both"/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基费占比</w:t>
            </w:r>
          </w:p>
        </w:tc>
        <w:tc>
          <w:tcPr>
            <w:tcW w:w="914" w:type="pct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车价25万以下</w:t>
            </w:r>
          </w:p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基费占比</w:t>
            </w:r>
          </w:p>
        </w:tc>
        <w:tc>
          <w:tcPr>
            <w:tcW w:w="1583" w:type="pct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平滑</w:t>
            </w:r>
            <w:r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规则</w:t>
            </w:r>
          </w:p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（车价25万</w:t>
            </w:r>
            <w:r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以下不涨费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）</w:t>
            </w:r>
          </w:p>
        </w:tc>
        <w:tc>
          <w:tcPr>
            <w:tcW w:w="1310" w:type="pct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基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  <w:lang w:eastAsia="zh-CN"/>
              </w:rPr>
              <w:t>费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变化幅度</w:t>
            </w:r>
          </w:p>
          <w:p>
            <w:pPr>
              <w:widowControl/>
              <w:spacing w:line="240" w:lineRule="atLeast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（相对现行</w:t>
            </w:r>
            <w:r>
              <w:rPr>
                <w:rFonts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综改</w:t>
            </w: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kern w:val="24"/>
                <w:sz w:val="20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628" w:type="pct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562" w:type="pct"/>
            <w:vMerge w:val="continue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</w:p>
        </w:tc>
        <w:tc>
          <w:tcPr>
            <w:tcW w:w="914" w:type="pct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</w:p>
        </w:tc>
        <w:tc>
          <w:tcPr>
            <w:tcW w:w="785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上轮</w:t>
            </w:r>
          </w:p>
        </w:tc>
        <w:tc>
          <w:tcPr>
            <w:tcW w:w="79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本轮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客观情景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上轮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4"/>
                <w:sz w:val="18"/>
                <w:szCs w:val="24"/>
              </w:rPr>
              <w:t>本轮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家用车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58.7%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41.6%</w:t>
            </w:r>
          </w:p>
        </w:tc>
        <w:tc>
          <w:tcPr>
            <w:tcW w:w="785" w:type="pct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[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-</w:t>
            </w: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20%,+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30</w:t>
            </w: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%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</w:pP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+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0</w:t>
            </w: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%</w:t>
            </w:r>
          </w:p>
        </w:tc>
        <w:tc>
          <w:tcPr>
            <w:tcW w:w="798" w:type="pct"/>
            <w:vMerge w:val="restart"/>
            <w:tcBorders>
              <w:top w:val="single" w:color="4F81BD" w:sz="8" w:space="0"/>
              <w:left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[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-</w:t>
            </w: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10%,+15%</w:t>
            </w:r>
            <w:r>
              <w:rPr>
                <w:rFonts w:ascii="微软雅黑" w:hAnsi="微软雅黑" w:eastAsia="微软雅黑" w:cs="Arial"/>
                <w:bCs/>
                <w:kern w:val="24"/>
                <w:sz w:val="18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bCs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+5%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  <w:szCs w:val="18"/>
              </w:rPr>
              <w:t>-4.8%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-3.8%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-0.4%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企业车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11.6%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32.6%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vMerge w:val="continue"/>
            <w:tcBorders>
              <w:left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-2.4%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kern w:val="24"/>
                <w:sz w:val="18"/>
                <w:szCs w:val="18"/>
              </w:rPr>
              <w:t>-2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.5%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-0.9%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机关车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0.1%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77.0%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vMerge w:val="continue"/>
            <w:tcBorders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-9.5%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-11</w:t>
            </w:r>
            <w:r>
              <w:rPr>
                <w:rFonts w:ascii="微软雅黑" w:hAnsi="微软雅黑" w:eastAsia="微软雅黑" w:cs="Arial"/>
                <w:kern w:val="24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3%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-4.8%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出租租赁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22.2%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94.6%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[-5%,+15%</w:t>
            </w:r>
            <w:r>
              <w:rPr>
                <w:rFonts w:ascii="微软雅黑" w:hAnsi="微软雅黑" w:eastAsia="微软雅黑" w:cs="Arial"/>
                <w:kern w:val="24"/>
                <w:sz w:val="18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+5%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-11.2%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-11.8%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-3.1%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城市公交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2.0%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0.1%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vMerge w:val="restart"/>
            <w:tcBorders>
              <w:top w:val="single" w:color="4F81BD" w:sz="8" w:space="0"/>
              <w:left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微软雅黑" w:cs="Arial"/>
                <w:sz w:val="1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[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-5%,+15%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0%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-35.1%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-13.</w:t>
            </w:r>
            <w:r>
              <w:rPr>
                <w:rFonts w:ascii="微软雅黑" w:hAnsi="微软雅黑" w:eastAsia="微软雅黑" w:cs="Arial"/>
                <w:kern w:val="24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-1.6%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公路客运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0.1%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15.1%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vMerge w:val="continue"/>
            <w:tcBorders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-8.6%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Arial"/>
                <w:kern w:val="24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.6%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1.5%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非营业货车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1.1%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87.2%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微软雅黑" w:cs="Arial"/>
                <w:sz w:val="1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[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-10%,+15%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+10%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0.0%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kern w:val="24"/>
                <w:sz w:val="18"/>
                <w:szCs w:val="18"/>
              </w:rPr>
              <w:t>-5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.9%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营业货车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4.0%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73.6%</w:t>
            </w:r>
          </w:p>
        </w:tc>
        <w:tc>
          <w:tcPr>
            <w:tcW w:w="785" w:type="pct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</w:p>
        </w:tc>
        <w:tc>
          <w:tcPr>
            <w:tcW w:w="79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涨降幅限制：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微软雅黑" w:cs="Arial"/>
                <w:sz w:val="18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[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-5%,+15%</w:t>
            </w:r>
            <w:r>
              <w:rPr>
                <w:rFonts w:hint="eastAsia" w:ascii="微软雅黑" w:hAnsi="微软雅黑" w:eastAsia="微软雅黑" w:cs="Arial"/>
                <w:kern w:val="24"/>
                <w:sz w:val="18"/>
                <w:lang w:val="en-US" w:eastAsia="zh-CN"/>
              </w:rPr>
              <w:t>]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ascii="微软雅黑" w:hAnsi="微软雅黑" w:eastAsia="微软雅黑" w:cs="Arial"/>
                <w:kern w:val="24"/>
                <w:sz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</w:rPr>
              <w:t>基准平移：</w:t>
            </w:r>
          </w:p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Arial" w:hAnsi="Arial" w:eastAsia="宋体" w:cs="Arial"/>
                <w:kern w:val="0"/>
                <w:sz w:val="18"/>
                <w:szCs w:val="3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  <w:t>0%</w:t>
            </w: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-15.8%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-11.7%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E9EDF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24"/>
                <w:sz w:val="18"/>
                <w:szCs w:val="18"/>
              </w:rPr>
              <w:t>-2.8%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62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合计</w:t>
            </w:r>
          </w:p>
        </w:tc>
        <w:tc>
          <w:tcPr>
            <w:tcW w:w="562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Arial" w:hAnsi="Arial" w:eastAsia="宋体" w:cs="Arial"/>
                <w:kern w:val="0"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24"/>
                <w:sz w:val="18"/>
                <w:szCs w:val="24"/>
              </w:rPr>
              <w:t>100.0%</w:t>
            </w:r>
          </w:p>
        </w:tc>
        <w:tc>
          <w:tcPr>
            <w:tcW w:w="914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36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</w:rPr>
              <w:t>53.4%</w:t>
            </w:r>
          </w:p>
        </w:tc>
        <w:tc>
          <w:tcPr>
            <w:tcW w:w="1583" w:type="pct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Arial"/>
                <w:bCs/>
                <w:kern w:val="24"/>
                <w:sz w:val="18"/>
              </w:rPr>
            </w:pPr>
          </w:p>
        </w:tc>
        <w:tc>
          <w:tcPr>
            <w:tcW w:w="508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  <w:szCs w:val="18"/>
              </w:rPr>
              <w:t>1.9%</w:t>
            </w:r>
          </w:p>
        </w:tc>
        <w:tc>
          <w:tcPr>
            <w:tcW w:w="427" w:type="pct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  <w:szCs w:val="18"/>
              </w:rPr>
              <w:t>-6.2%</w:t>
            </w:r>
          </w:p>
        </w:tc>
        <w:tc>
          <w:tcPr>
            <w:tcW w:w="375" w:type="pct"/>
            <w:tcBorders>
              <w:top w:val="single" w:color="4F81BD" w:sz="8" w:space="0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pStyle w:val="22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24"/>
                <w:sz w:val="18"/>
                <w:szCs w:val="18"/>
              </w:rPr>
              <w:t>-1.2%</w:t>
            </w:r>
          </w:p>
        </w:tc>
      </w:tr>
      <w:bookmarkEnd w:id="1"/>
      <w:bookmarkEnd w:id="2"/>
    </w:tbl>
    <w:p>
      <w:pPr>
        <w:pStyle w:val="2"/>
        <w:ind w:left="432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</w:t>
      </w:r>
      <w:r>
        <w:rPr>
          <w:rFonts w:ascii="黑体" w:hAnsi="黑体" w:eastAsia="黑体"/>
          <w:sz w:val="32"/>
          <w:szCs w:val="32"/>
        </w:rPr>
        <w:t>、</w:t>
      </w:r>
      <w:r>
        <w:rPr>
          <w:rFonts w:hint="eastAsia" w:ascii="黑体" w:hAnsi="黑体" w:eastAsia="黑体"/>
          <w:sz w:val="32"/>
          <w:szCs w:val="32"/>
        </w:rPr>
        <w:t>新能源汽车附加费用率</w:t>
      </w:r>
    </w:p>
    <w:p>
      <w:pPr>
        <w:autoSpaceDE w:val="0"/>
        <w:autoSpaceDN w:val="0"/>
        <w:adjustRightInd w:val="0"/>
        <w:spacing w:line="56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新能源汽车测算使用的附加费用率为15%，即新能源汽车行业基准保费=新能源汽车基准纯风险保费/(1-15%)。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Zurich Blk BT">
    <w:altName w:val="Tahoma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lliard BT">
    <w:altName w:val="Times New Roman"/>
    <w:panose1 w:val="00000000000000000000"/>
    <w:charset w:val="00"/>
    <w:family w:val="roman"/>
    <w:pitch w:val="default"/>
    <w:sig w:usb0="00000000" w:usb1="00000000" w:usb2="00000000" w:usb3="00000000" w:csb0="0000001B" w:csb1="00000000"/>
  </w:font>
  <w:font w:name="Zurich B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Zurich Cn BT">
    <w:altName w:val="Arial Narrow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20"/>
        <w:rPr>
          <w:rFonts w:hint="eastAsia"/>
        </w:rPr>
      </w:pPr>
      <w:r>
        <w:rPr>
          <w:rStyle w:val="31"/>
        </w:rPr>
        <w:footnoteRef/>
      </w:r>
      <w:r>
        <w:t xml:space="preserve"> </w:t>
      </w:r>
      <w:r>
        <w:rPr>
          <w:rFonts w:hint="eastAsia"/>
        </w:rPr>
        <w:t>对第三者责任保险限额为4000万及以上时进行</w:t>
      </w:r>
      <w:r>
        <w:t>调整</w:t>
      </w:r>
      <w:r>
        <w:rPr>
          <w:rFonts w:hint="eastAsia"/>
        </w:rPr>
        <w:t>。外推公式调整为：基准纯风险保费 = (N/5+30)×(A-B)+A，式中A、B分别指同档次限额为200万、150万时的基准纯风险保费；N=限额/50万，限额为50万的整数倍。</w:t>
      </w:r>
    </w:p>
  </w:footnote>
  <w:footnote w:id="1">
    <w:p>
      <w:pPr>
        <w:pStyle w:val="20"/>
        <w:rPr>
          <w:rFonts w:hint="eastAsia"/>
        </w:rPr>
      </w:pPr>
      <w:r>
        <w:rPr>
          <w:rStyle w:val="31"/>
        </w:rPr>
        <w:footnoteRef/>
      </w:r>
      <w:r>
        <w:rPr>
          <w:rFonts w:hint="eastAsia"/>
        </w:rPr>
        <w:t xml:space="preserve"> 测算费率变化幅度时，使用2020年2季度至2012年1季度起保的新能源车保单。</w:t>
      </w:r>
    </w:p>
  </w:footnote>
  <w:footnote w:id="2">
    <w:p>
      <w:pPr>
        <w:pStyle w:val="20"/>
        <w:rPr>
          <w:rFonts w:hint="eastAsia"/>
        </w:rPr>
      </w:pPr>
      <w:r>
        <w:rPr>
          <w:rStyle w:val="31"/>
        </w:rPr>
        <w:footnoteRef/>
      </w:r>
      <w:r>
        <w:t xml:space="preserve"> </w:t>
      </w:r>
      <w:r>
        <w:rPr>
          <w:rFonts w:hint="eastAsia"/>
        </w:rPr>
        <w:t>上轮结果</w:t>
      </w:r>
      <w:r>
        <w:t>：</w:t>
      </w:r>
      <w:r>
        <w:rPr>
          <w:rFonts w:hint="eastAsia"/>
        </w:rPr>
        <w:t>相对</w:t>
      </w:r>
      <w:r>
        <w:t>现行综改，</w:t>
      </w:r>
      <w:r>
        <w:rPr>
          <w:rFonts w:hint="eastAsia"/>
        </w:rPr>
        <w:t>三者险和车损</w:t>
      </w:r>
      <w:r>
        <w:rPr>
          <w:rFonts w:hint="eastAsia"/>
          <w:highlight w:val="none"/>
        </w:rPr>
        <w:t>险</w:t>
      </w:r>
      <w:r>
        <w:rPr>
          <w:rFonts w:hint="eastAsia"/>
          <w:highlight w:val="none"/>
          <w:lang w:val="en-US" w:eastAsia="zh-CN"/>
        </w:rPr>
        <w:t>整体</w:t>
      </w:r>
      <w:r>
        <w:rPr>
          <w:rFonts w:hint="eastAsia"/>
          <w:highlight w:val="none"/>
        </w:rPr>
        <w:t>下</w:t>
      </w:r>
      <w:r>
        <w:rPr>
          <w:rFonts w:hint="eastAsia"/>
        </w:rPr>
        <w:t>降6.2%。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420"/>
  <w:drawingGridVerticalSpacing w:val="156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3D7FF9"/>
    <w:rsid w:val="00027E58"/>
    <w:rsid w:val="00052D54"/>
    <w:rsid w:val="000976C3"/>
    <w:rsid w:val="000D0081"/>
    <w:rsid w:val="000F007F"/>
    <w:rsid w:val="00120E93"/>
    <w:rsid w:val="00131376"/>
    <w:rsid w:val="00155BFC"/>
    <w:rsid w:val="0018687B"/>
    <w:rsid w:val="00193288"/>
    <w:rsid w:val="001B1711"/>
    <w:rsid w:val="001C69F8"/>
    <w:rsid w:val="001C71F0"/>
    <w:rsid w:val="001E0302"/>
    <w:rsid w:val="001E1FCB"/>
    <w:rsid w:val="001E3374"/>
    <w:rsid w:val="001F6C61"/>
    <w:rsid w:val="001F716B"/>
    <w:rsid w:val="0022297D"/>
    <w:rsid w:val="0025796B"/>
    <w:rsid w:val="002A320D"/>
    <w:rsid w:val="002C5DC5"/>
    <w:rsid w:val="002F2231"/>
    <w:rsid w:val="00303A15"/>
    <w:rsid w:val="0032579E"/>
    <w:rsid w:val="00326A9B"/>
    <w:rsid w:val="00327A3D"/>
    <w:rsid w:val="00333A40"/>
    <w:rsid w:val="0035478B"/>
    <w:rsid w:val="00356918"/>
    <w:rsid w:val="003903A4"/>
    <w:rsid w:val="00394DD0"/>
    <w:rsid w:val="003A1F16"/>
    <w:rsid w:val="003D7FF9"/>
    <w:rsid w:val="004264F9"/>
    <w:rsid w:val="00433EED"/>
    <w:rsid w:val="0043409A"/>
    <w:rsid w:val="00482995"/>
    <w:rsid w:val="00496F0E"/>
    <w:rsid w:val="004A1A31"/>
    <w:rsid w:val="004D1EE9"/>
    <w:rsid w:val="004F60FB"/>
    <w:rsid w:val="00517D23"/>
    <w:rsid w:val="0054092D"/>
    <w:rsid w:val="0054552A"/>
    <w:rsid w:val="005458E9"/>
    <w:rsid w:val="0054597B"/>
    <w:rsid w:val="00585CA9"/>
    <w:rsid w:val="005D145F"/>
    <w:rsid w:val="0060515C"/>
    <w:rsid w:val="0063358C"/>
    <w:rsid w:val="006604F3"/>
    <w:rsid w:val="00672697"/>
    <w:rsid w:val="00682150"/>
    <w:rsid w:val="006842D2"/>
    <w:rsid w:val="00695994"/>
    <w:rsid w:val="006B793E"/>
    <w:rsid w:val="006C2949"/>
    <w:rsid w:val="006C5B99"/>
    <w:rsid w:val="006E492E"/>
    <w:rsid w:val="006F7F97"/>
    <w:rsid w:val="0071421F"/>
    <w:rsid w:val="00716686"/>
    <w:rsid w:val="00726943"/>
    <w:rsid w:val="00751898"/>
    <w:rsid w:val="00777957"/>
    <w:rsid w:val="00784AE3"/>
    <w:rsid w:val="0078761B"/>
    <w:rsid w:val="00796FF3"/>
    <w:rsid w:val="007C7AEB"/>
    <w:rsid w:val="0083014E"/>
    <w:rsid w:val="00863933"/>
    <w:rsid w:val="00890918"/>
    <w:rsid w:val="008B5694"/>
    <w:rsid w:val="008C59B1"/>
    <w:rsid w:val="008D604D"/>
    <w:rsid w:val="008E4B81"/>
    <w:rsid w:val="008F17AF"/>
    <w:rsid w:val="009107D2"/>
    <w:rsid w:val="00947B12"/>
    <w:rsid w:val="00980396"/>
    <w:rsid w:val="009A193A"/>
    <w:rsid w:val="009B104A"/>
    <w:rsid w:val="009C0B04"/>
    <w:rsid w:val="009F0F61"/>
    <w:rsid w:val="00A13EA5"/>
    <w:rsid w:val="00A1503C"/>
    <w:rsid w:val="00A17086"/>
    <w:rsid w:val="00A2635E"/>
    <w:rsid w:val="00A769C6"/>
    <w:rsid w:val="00A839BD"/>
    <w:rsid w:val="00AA687E"/>
    <w:rsid w:val="00AB37C7"/>
    <w:rsid w:val="00AD7D2B"/>
    <w:rsid w:val="00AE107D"/>
    <w:rsid w:val="00BB21C3"/>
    <w:rsid w:val="00BD2790"/>
    <w:rsid w:val="00BE4484"/>
    <w:rsid w:val="00C11B0C"/>
    <w:rsid w:val="00C36378"/>
    <w:rsid w:val="00C852C8"/>
    <w:rsid w:val="00C918D2"/>
    <w:rsid w:val="00C934A9"/>
    <w:rsid w:val="00CE5C8B"/>
    <w:rsid w:val="00CF02A6"/>
    <w:rsid w:val="00CF1E0D"/>
    <w:rsid w:val="00CF23B8"/>
    <w:rsid w:val="00D22DD5"/>
    <w:rsid w:val="00D33781"/>
    <w:rsid w:val="00D64EC6"/>
    <w:rsid w:val="00D65186"/>
    <w:rsid w:val="00DE5EC2"/>
    <w:rsid w:val="00E223F4"/>
    <w:rsid w:val="00E32302"/>
    <w:rsid w:val="00E8154D"/>
    <w:rsid w:val="00ED3191"/>
    <w:rsid w:val="00ED31FA"/>
    <w:rsid w:val="00F06ACA"/>
    <w:rsid w:val="00F21CB5"/>
    <w:rsid w:val="00F72695"/>
    <w:rsid w:val="00FA0A14"/>
    <w:rsid w:val="00FB1FC1"/>
    <w:rsid w:val="00FB44A8"/>
    <w:rsid w:val="00FD4AC3"/>
    <w:rsid w:val="00FE1917"/>
    <w:rsid w:val="035E0CF9"/>
    <w:rsid w:val="037B6B7E"/>
    <w:rsid w:val="03C420BA"/>
    <w:rsid w:val="06147D0D"/>
    <w:rsid w:val="09366E91"/>
    <w:rsid w:val="0D523B46"/>
    <w:rsid w:val="0EBD61DC"/>
    <w:rsid w:val="0F915553"/>
    <w:rsid w:val="106D3877"/>
    <w:rsid w:val="167F3B2A"/>
    <w:rsid w:val="192D5062"/>
    <w:rsid w:val="1F787DED"/>
    <w:rsid w:val="21F8432C"/>
    <w:rsid w:val="240C4250"/>
    <w:rsid w:val="25240CA6"/>
    <w:rsid w:val="274455D3"/>
    <w:rsid w:val="297C6E3A"/>
    <w:rsid w:val="2C487DDD"/>
    <w:rsid w:val="2D751D83"/>
    <w:rsid w:val="2E901C38"/>
    <w:rsid w:val="2FCF2EBC"/>
    <w:rsid w:val="32A5483A"/>
    <w:rsid w:val="344523FA"/>
    <w:rsid w:val="37D24989"/>
    <w:rsid w:val="38D0273D"/>
    <w:rsid w:val="3D2B2DCC"/>
    <w:rsid w:val="409066A2"/>
    <w:rsid w:val="411B600D"/>
    <w:rsid w:val="41820D32"/>
    <w:rsid w:val="44FE7006"/>
    <w:rsid w:val="495C5063"/>
    <w:rsid w:val="49E96BE6"/>
    <w:rsid w:val="4A546407"/>
    <w:rsid w:val="4BC002BD"/>
    <w:rsid w:val="4BF9479F"/>
    <w:rsid w:val="4E5B6284"/>
    <w:rsid w:val="4EAF4EC6"/>
    <w:rsid w:val="4F080A18"/>
    <w:rsid w:val="5282650F"/>
    <w:rsid w:val="54B01DB5"/>
    <w:rsid w:val="56266A80"/>
    <w:rsid w:val="5A232AE3"/>
    <w:rsid w:val="5C3D43DC"/>
    <w:rsid w:val="5CCC5DA3"/>
    <w:rsid w:val="5DDA1E55"/>
    <w:rsid w:val="61835655"/>
    <w:rsid w:val="61984A67"/>
    <w:rsid w:val="64685E30"/>
    <w:rsid w:val="6BF811E9"/>
    <w:rsid w:val="6C950461"/>
    <w:rsid w:val="6F0630A6"/>
    <w:rsid w:val="706D64FC"/>
    <w:rsid w:val="75CB5D5C"/>
    <w:rsid w:val="765B371F"/>
    <w:rsid w:val="77327B31"/>
    <w:rsid w:val="775D7A36"/>
    <w:rsid w:val="7BC544B8"/>
    <w:rsid w:val="7FA30C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widowControl/>
      <w:tabs>
        <w:tab w:val="left" w:pos="576"/>
      </w:tabs>
      <w:spacing w:before="240" w:after="60"/>
      <w:ind w:left="576" w:hanging="576"/>
      <w:jc w:val="left"/>
      <w:outlineLvl w:val="1"/>
    </w:pPr>
    <w:rPr>
      <w:rFonts w:ascii="Zurich Blk BT" w:hAnsi="Zurich Blk BT" w:eastAsia="宋体" w:cs="Times New Roman"/>
      <w:kern w:val="0"/>
      <w:sz w:val="24"/>
      <w:szCs w:val="20"/>
      <w:lang w:val="en-AU"/>
    </w:rPr>
  </w:style>
  <w:style w:type="paragraph" w:styleId="4">
    <w:name w:val="heading 3"/>
    <w:basedOn w:val="1"/>
    <w:next w:val="1"/>
    <w:link w:val="36"/>
    <w:qFormat/>
    <w:uiPriority w:val="0"/>
    <w:pPr>
      <w:keepNext/>
      <w:widowControl/>
      <w:tabs>
        <w:tab w:val="left" w:pos="720"/>
      </w:tabs>
      <w:spacing w:before="240" w:after="60"/>
      <w:ind w:left="720" w:hanging="720"/>
      <w:jc w:val="left"/>
      <w:outlineLvl w:val="2"/>
    </w:pPr>
    <w:rPr>
      <w:rFonts w:ascii="Galliard BT" w:hAnsi="Galliard BT" w:eastAsia="宋体" w:cs="Times New Roman"/>
      <w:kern w:val="0"/>
      <w:sz w:val="23"/>
      <w:szCs w:val="20"/>
      <w:lang w:val="en-AU"/>
    </w:rPr>
  </w:style>
  <w:style w:type="paragraph" w:styleId="5">
    <w:name w:val="heading 4"/>
    <w:basedOn w:val="1"/>
    <w:next w:val="1"/>
    <w:link w:val="37"/>
    <w:qFormat/>
    <w:uiPriority w:val="0"/>
    <w:pPr>
      <w:keepNext/>
      <w:widowControl/>
      <w:tabs>
        <w:tab w:val="left" w:pos="864"/>
        <w:tab w:val="left" w:pos="1440"/>
      </w:tabs>
      <w:spacing w:before="240" w:after="60"/>
      <w:ind w:left="864" w:hanging="864"/>
      <w:jc w:val="left"/>
      <w:outlineLvl w:val="3"/>
    </w:pPr>
    <w:rPr>
      <w:rFonts w:ascii="Galliard BT" w:hAnsi="Galliard BT" w:eastAsia="宋体" w:cs="Times New Roman"/>
      <w:kern w:val="0"/>
      <w:sz w:val="23"/>
      <w:szCs w:val="20"/>
      <w:lang w:val="en-AU"/>
    </w:rPr>
  </w:style>
  <w:style w:type="paragraph" w:styleId="6">
    <w:name w:val="heading 5"/>
    <w:basedOn w:val="1"/>
    <w:next w:val="1"/>
    <w:link w:val="38"/>
    <w:qFormat/>
    <w:uiPriority w:val="0"/>
    <w:pPr>
      <w:widowControl/>
      <w:tabs>
        <w:tab w:val="left" w:pos="1008"/>
        <w:tab w:val="left" w:pos="2664"/>
        <w:tab w:val="left" w:pos="3024"/>
        <w:tab w:val="left" w:pos="3384"/>
        <w:tab w:val="left" w:pos="3600"/>
        <w:tab w:val="left" w:pos="4320"/>
        <w:tab w:val="left" w:pos="5040"/>
        <w:tab w:val="left" w:pos="5760"/>
      </w:tabs>
      <w:spacing w:before="240" w:after="60" w:line="300" w:lineRule="exact"/>
      <w:ind w:left="1008" w:hanging="1008"/>
      <w:jc w:val="left"/>
      <w:outlineLvl w:val="4"/>
    </w:pPr>
    <w:rPr>
      <w:rFonts w:ascii="Zurich Blk BT" w:hAnsi="Zurich Blk BT" w:eastAsia="宋体" w:cs="Times New Roman"/>
      <w:caps/>
      <w:kern w:val="0"/>
      <w:sz w:val="28"/>
      <w:szCs w:val="20"/>
      <w:lang w:val="en-AU"/>
    </w:rPr>
  </w:style>
  <w:style w:type="paragraph" w:styleId="7">
    <w:name w:val="heading 6"/>
    <w:basedOn w:val="1"/>
    <w:next w:val="1"/>
    <w:link w:val="39"/>
    <w:qFormat/>
    <w:uiPriority w:val="0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Zurich Blk BT" w:hAnsi="Zurich Blk BT" w:eastAsia="宋体" w:cs="Times New Roman"/>
      <w:kern w:val="0"/>
      <w:sz w:val="24"/>
      <w:szCs w:val="20"/>
      <w:lang w:val="en-AU"/>
    </w:rPr>
  </w:style>
  <w:style w:type="paragraph" w:styleId="8">
    <w:name w:val="heading 7"/>
    <w:basedOn w:val="1"/>
    <w:next w:val="1"/>
    <w:link w:val="40"/>
    <w:qFormat/>
    <w:uiPriority w:val="0"/>
    <w:pPr>
      <w:widowControl/>
      <w:tabs>
        <w:tab w:val="left" w:pos="1296"/>
        <w:tab w:val="left" w:pos="2664"/>
        <w:tab w:val="left" w:pos="3024"/>
        <w:tab w:val="left" w:pos="3384"/>
        <w:tab w:val="left" w:pos="3600"/>
        <w:tab w:val="left" w:pos="4320"/>
        <w:tab w:val="left" w:pos="5040"/>
        <w:tab w:val="left" w:pos="5760"/>
      </w:tabs>
      <w:spacing w:before="240" w:after="60"/>
      <w:ind w:left="1296" w:hanging="1296"/>
      <w:jc w:val="left"/>
      <w:outlineLvl w:val="6"/>
    </w:pPr>
    <w:rPr>
      <w:rFonts w:ascii="Arial" w:hAnsi="Arial" w:eastAsia="宋体" w:cs="Times New Roman"/>
      <w:kern w:val="0"/>
      <w:sz w:val="20"/>
      <w:szCs w:val="20"/>
      <w:lang w:val="en-AU"/>
    </w:rPr>
  </w:style>
  <w:style w:type="paragraph" w:styleId="9">
    <w:name w:val="heading 8"/>
    <w:basedOn w:val="1"/>
    <w:next w:val="1"/>
    <w:link w:val="41"/>
    <w:qFormat/>
    <w:uiPriority w:val="0"/>
    <w:pPr>
      <w:widowControl/>
      <w:tabs>
        <w:tab w:val="left" w:pos="1440"/>
        <w:tab w:val="left" w:pos="2664"/>
        <w:tab w:val="left" w:pos="3024"/>
        <w:tab w:val="left" w:pos="3384"/>
        <w:tab w:val="left" w:pos="3600"/>
        <w:tab w:val="left" w:pos="4320"/>
        <w:tab w:val="left" w:pos="5040"/>
        <w:tab w:val="left" w:pos="5760"/>
      </w:tabs>
      <w:spacing w:before="240" w:after="60"/>
      <w:ind w:left="1440" w:hanging="1440"/>
      <w:jc w:val="left"/>
      <w:outlineLvl w:val="7"/>
    </w:pPr>
    <w:rPr>
      <w:rFonts w:ascii="Arial" w:hAnsi="Arial" w:eastAsia="宋体" w:cs="Times New Roman"/>
      <w:i/>
      <w:kern w:val="0"/>
      <w:sz w:val="20"/>
      <w:szCs w:val="20"/>
      <w:lang w:val="en-AU"/>
    </w:rPr>
  </w:style>
  <w:style w:type="paragraph" w:styleId="10">
    <w:name w:val="heading 9"/>
    <w:basedOn w:val="1"/>
    <w:next w:val="1"/>
    <w:link w:val="42"/>
    <w:qFormat/>
    <w:uiPriority w:val="0"/>
    <w:pPr>
      <w:widowControl/>
      <w:tabs>
        <w:tab w:val="left" w:pos="1584"/>
        <w:tab w:val="left" w:pos="2664"/>
        <w:tab w:val="left" w:pos="3024"/>
        <w:tab w:val="left" w:pos="3384"/>
        <w:tab w:val="left" w:pos="3600"/>
        <w:tab w:val="left" w:pos="4320"/>
        <w:tab w:val="left" w:pos="5040"/>
        <w:tab w:val="left" w:pos="5760"/>
      </w:tabs>
      <w:spacing w:before="240" w:after="60"/>
      <w:ind w:left="1584" w:hanging="1584"/>
      <w:jc w:val="left"/>
      <w:outlineLvl w:val="8"/>
    </w:pPr>
    <w:rPr>
      <w:rFonts w:ascii="Arial" w:hAnsi="Arial" w:eastAsia="宋体" w:cs="Times New Roman"/>
      <w:i/>
      <w:kern w:val="0"/>
      <w:sz w:val="18"/>
      <w:szCs w:val="20"/>
      <w:lang w:val="en-AU"/>
    </w:rPr>
  </w:style>
  <w:style w:type="character" w:default="1" w:styleId="26">
    <w:name w:val="Default Paragraph Font"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Date"/>
    <w:basedOn w:val="1"/>
    <w:next w:val="1"/>
    <w:link w:val="48"/>
    <w:semiHidden/>
    <w:unhideWhenUsed/>
    <w:qFormat/>
    <w:uiPriority w:val="99"/>
    <w:pPr>
      <w:ind w:left="100" w:leftChars="2500"/>
    </w:pPr>
  </w:style>
  <w:style w:type="paragraph" w:styleId="15">
    <w:name w:val="endnote text"/>
    <w:basedOn w:val="1"/>
    <w:link w:val="56"/>
    <w:semiHidden/>
    <w:unhideWhenUsed/>
    <w:qFormat/>
    <w:uiPriority w:val="99"/>
    <w:pPr>
      <w:snapToGrid w:val="0"/>
      <w:jc w:val="left"/>
    </w:pPr>
  </w:style>
  <w:style w:type="paragraph" w:styleId="16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contextualSpacing/>
      <w:jc w:val="left"/>
    </w:pPr>
    <w:rPr>
      <w:kern w:val="0"/>
      <w:sz w:val="22"/>
    </w:rPr>
  </w:style>
  <w:style w:type="paragraph" w:styleId="20">
    <w:name w:val="footnote text"/>
    <w:basedOn w:val="1"/>
    <w:link w:val="5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1">
    <w:name w:val="toc 2"/>
    <w:basedOn w:val="1"/>
    <w:next w:val="1"/>
    <w:qFormat/>
    <w:uiPriority w:val="39"/>
    <w:pPr>
      <w:widowControl/>
      <w:spacing w:after="286" w:line="286" w:lineRule="exact"/>
      <w:jc w:val="left"/>
    </w:pPr>
    <w:rPr>
      <w:rFonts w:ascii="Galliard BT" w:hAnsi="Galliard BT" w:eastAsia="宋体" w:cs="Times New Roman"/>
      <w:b/>
      <w:kern w:val="0"/>
      <w:sz w:val="22"/>
      <w:szCs w:val="20"/>
      <w:lang w:val="en-AU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annotation subject"/>
    <w:basedOn w:val="12"/>
    <w:next w:val="12"/>
    <w:link w:val="62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endnote reference"/>
    <w:basedOn w:val="26"/>
    <w:semiHidden/>
    <w:unhideWhenUsed/>
    <w:qFormat/>
    <w:uiPriority w:val="99"/>
    <w:rPr>
      <w:vertAlign w:val="superscript"/>
    </w:rPr>
  </w:style>
  <w:style w:type="character" w:styleId="28">
    <w:name w:val="FollowedHyperlink"/>
    <w:basedOn w:val="2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styleId="31">
    <w:name w:val="footnote reference"/>
    <w:basedOn w:val="26"/>
    <w:semiHidden/>
    <w:unhideWhenUsed/>
    <w:qFormat/>
    <w:uiPriority w:val="99"/>
    <w:rPr>
      <w:vertAlign w:val="superscript"/>
    </w:rPr>
  </w:style>
  <w:style w:type="character" w:customStyle="1" w:styleId="32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table" w:customStyle="1" w:styleId="34">
    <w:name w:val="网格表 4 - 着色 11"/>
    <w:basedOn w:val="24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character" w:customStyle="1" w:styleId="35">
    <w:name w:val="标题 2 Char"/>
    <w:basedOn w:val="26"/>
    <w:link w:val="3"/>
    <w:qFormat/>
    <w:uiPriority w:val="0"/>
    <w:rPr>
      <w:rFonts w:ascii="Zurich Blk BT" w:hAnsi="Zurich Blk BT" w:eastAsia="宋体" w:cs="Times New Roman"/>
      <w:kern w:val="0"/>
      <w:sz w:val="24"/>
      <w:szCs w:val="20"/>
      <w:lang w:val="en-AU"/>
    </w:rPr>
  </w:style>
  <w:style w:type="character" w:customStyle="1" w:styleId="36">
    <w:name w:val="标题 3 Char"/>
    <w:basedOn w:val="26"/>
    <w:link w:val="4"/>
    <w:qFormat/>
    <w:uiPriority w:val="0"/>
    <w:rPr>
      <w:rFonts w:ascii="Galliard BT" w:hAnsi="Galliard BT" w:eastAsia="宋体" w:cs="Times New Roman"/>
      <w:kern w:val="0"/>
      <w:sz w:val="23"/>
      <w:szCs w:val="20"/>
      <w:lang w:val="en-AU"/>
    </w:rPr>
  </w:style>
  <w:style w:type="character" w:customStyle="1" w:styleId="37">
    <w:name w:val="标题 4 Char"/>
    <w:basedOn w:val="26"/>
    <w:link w:val="5"/>
    <w:qFormat/>
    <w:uiPriority w:val="0"/>
    <w:rPr>
      <w:rFonts w:ascii="Galliard BT" w:hAnsi="Galliard BT" w:eastAsia="宋体" w:cs="Times New Roman"/>
      <w:kern w:val="0"/>
      <w:sz w:val="23"/>
      <w:szCs w:val="20"/>
      <w:lang w:val="en-AU"/>
    </w:rPr>
  </w:style>
  <w:style w:type="character" w:customStyle="1" w:styleId="38">
    <w:name w:val="标题 5 Char"/>
    <w:basedOn w:val="26"/>
    <w:link w:val="6"/>
    <w:qFormat/>
    <w:uiPriority w:val="0"/>
    <w:rPr>
      <w:rFonts w:ascii="Zurich Blk BT" w:hAnsi="Zurich Blk BT" w:eastAsia="宋体" w:cs="Times New Roman"/>
      <w:caps/>
      <w:kern w:val="0"/>
      <w:sz w:val="28"/>
      <w:szCs w:val="20"/>
      <w:lang w:val="en-AU"/>
    </w:rPr>
  </w:style>
  <w:style w:type="character" w:customStyle="1" w:styleId="39">
    <w:name w:val="标题 6 Char"/>
    <w:basedOn w:val="26"/>
    <w:link w:val="7"/>
    <w:qFormat/>
    <w:uiPriority w:val="0"/>
    <w:rPr>
      <w:rFonts w:ascii="Zurich Blk BT" w:hAnsi="Zurich Blk BT" w:eastAsia="宋体" w:cs="Times New Roman"/>
      <w:kern w:val="0"/>
      <w:sz w:val="24"/>
      <w:szCs w:val="20"/>
      <w:lang w:val="en-AU"/>
    </w:rPr>
  </w:style>
  <w:style w:type="character" w:customStyle="1" w:styleId="40">
    <w:name w:val="标题 7 Char"/>
    <w:basedOn w:val="26"/>
    <w:link w:val="8"/>
    <w:qFormat/>
    <w:uiPriority w:val="0"/>
    <w:rPr>
      <w:rFonts w:ascii="Arial" w:hAnsi="Arial" w:eastAsia="宋体" w:cs="Times New Roman"/>
      <w:kern w:val="0"/>
      <w:sz w:val="20"/>
      <w:szCs w:val="20"/>
      <w:lang w:val="en-AU"/>
    </w:rPr>
  </w:style>
  <w:style w:type="character" w:customStyle="1" w:styleId="41">
    <w:name w:val="标题 8 Char"/>
    <w:basedOn w:val="26"/>
    <w:link w:val="9"/>
    <w:qFormat/>
    <w:uiPriority w:val="0"/>
    <w:rPr>
      <w:rFonts w:ascii="Arial" w:hAnsi="Arial" w:eastAsia="宋体" w:cs="Times New Roman"/>
      <w:i/>
      <w:kern w:val="0"/>
      <w:sz w:val="20"/>
      <w:szCs w:val="20"/>
      <w:lang w:val="en-AU"/>
    </w:rPr>
  </w:style>
  <w:style w:type="character" w:customStyle="1" w:styleId="42">
    <w:name w:val="标题 9 Char"/>
    <w:basedOn w:val="26"/>
    <w:link w:val="10"/>
    <w:qFormat/>
    <w:uiPriority w:val="0"/>
    <w:rPr>
      <w:rFonts w:ascii="Arial" w:hAnsi="Arial" w:eastAsia="宋体" w:cs="Times New Roman"/>
      <w:i/>
      <w:kern w:val="0"/>
      <w:sz w:val="18"/>
      <w:szCs w:val="20"/>
      <w:lang w:val="en-AU"/>
    </w:rPr>
  </w:style>
  <w:style w:type="character" w:customStyle="1" w:styleId="43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44">
    <w:name w:val="页脚 Char"/>
    <w:basedOn w:val="26"/>
    <w:link w:val="17"/>
    <w:qFormat/>
    <w:uiPriority w:val="99"/>
    <w:rPr>
      <w:sz w:val="18"/>
      <w:szCs w:val="18"/>
    </w:rPr>
  </w:style>
  <w:style w:type="paragraph" w:styleId="45">
    <w:name w:val="No Spacing"/>
    <w:link w:val="4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6">
    <w:name w:val="无间隔 Char"/>
    <w:basedOn w:val="26"/>
    <w:link w:val="45"/>
    <w:qFormat/>
    <w:uiPriority w:val="1"/>
    <w:rPr>
      <w:kern w:val="0"/>
      <w:sz w:val="22"/>
    </w:rPr>
  </w:style>
  <w:style w:type="character" w:customStyle="1" w:styleId="47">
    <w:name w:val="批注框文本 Char"/>
    <w:basedOn w:val="26"/>
    <w:link w:val="16"/>
    <w:semiHidden/>
    <w:qFormat/>
    <w:uiPriority w:val="99"/>
    <w:rPr>
      <w:sz w:val="18"/>
      <w:szCs w:val="18"/>
    </w:rPr>
  </w:style>
  <w:style w:type="character" w:customStyle="1" w:styleId="48">
    <w:name w:val="日期 Char"/>
    <w:basedOn w:val="26"/>
    <w:link w:val="14"/>
    <w:semiHidden/>
    <w:qFormat/>
    <w:uiPriority w:val="99"/>
  </w:style>
  <w:style w:type="character" w:customStyle="1" w:styleId="49">
    <w:name w:val="日期 Char1"/>
    <w:basedOn w:val="26"/>
    <w:semiHidden/>
    <w:qFormat/>
    <w:uiPriority w:val="99"/>
  </w:style>
  <w:style w:type="character" w:customStyle="1" w:styleId="50">
    <w:name w:val="脚注文本 Char"/>
    <w:basedOn w:val="26"/>
    <w:link w:val="20"/>
    <w:semiHidden/>
    <w:qFormat/>
    <w:uiPriority w:val="99"/>
    <w:rPr>
      <w:sz w:val="18"/>
      <w:szCs w:val="18"/>
    </w:rPr>
  </w:style>
  <w:style w:type="paragraph" w:customStyle="1" w:styleId="51">
    <w:name w:val="Body"/>
    <w:basedOn w:val="1"/>
    <w:qFormat/>
    <w:uiPriority w:val="0"/>
    <w:pPr>
      <w:widowControl/>
      <w:tabs>
        <w:tab w:val="left" w:pos="2664"/>
        <w:tab w:val="left" w:pos="302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</w:tabs>
      <w:spacing w:after="200" w:line="400" w:lineRule="exact"/>
      <w:jc w:val="left"/>
    </w:pPr>
    <w:rPr>
      <w:rFonts w:ascii="Galliard BT" w:hAnsi="Galliard BT" w:eastAsia="宋体" w:cs="Times New Roman"/>
      <w:kern w:val="0"/>
      <w:sz w:val="23"/>
      <w:szCs w:val="20"/>
      <w:lang w:val="en-AU"/>
    </w:rPr>
  </w:style>
  <w:style w:type="paragraph" w:customStyle="1" w:styleId="52">
    <w:name w:val="Table1 Title"/>
    <w:basedOn w:val="53"/>
    <w:qFormat/>
    <w:uiPriority w:val="0"/>
    <w:pPr>
      <w:spacing w:before="120" w:after="80" w:line="300" w:lineRule="exact"/>
    </w:pPr>
    <w:rPr>
      <w:caps w:val="0"/>
      <w:sz w:val="22"/>
    </w:rPr>
  </w:style>
  <w:style w:type="paragraph" w:customStyle="1" w:styleId="53">
    <w:name w:val="Table1 Name"/>
    <w:qFormat/>
    <w:uiPriority w:val="0"/>
    <w:rPr>
      <w:rFonts w:ascii="Zurich BT" w:hAnsi="Zurich BT" w:eastAsia="宋体" w:cs="Times New Roman"/>
      <w:b/>
      <w:caps/>
      <w:lang w:val="en-US" w:eastAsia="zh-CN" w:bidi="ar-SA"/>
    </w:rPr>
  </w:style>
  <w:style w:type="paragraph" w:customStyle="1" w:styleId="54">
    <w:name w:val="Table1 Column Head"/>
    <w:qFormat/>
    <w:uiPriority w:val="0"/>
    <w:pPr>
      <w:spacing w:before="120" w:after="120" w:line="240" w:lineRule="exact"/>
    </w:pPr>
    <w:rPr>
      <w:rFonts w:ascii="Zurich BT" w:hAnsi="Zurich BT" w:eastAsia="宋体" w:cs="Times New Roman"/>
      <w:b/>
      <w:lang w:val="en-US" w:eastAsia="zh-CN" w:bidi="ar-SA"/>
    </w:rPr>
  </w:style>
  <w:style w:type="paragraph" w:customStyle="1" w:styleId="55">
    <w:name w:val="Table1 Data Row"/>
    <w:qFormat/>
    <w:uiPriority w:val="0"/>
    <w:pPr>
      <w:spacing w:line="250" w:lineRule="exact"/>
    </w:pPr>
    <w:rPr>
      <w:rFonts w:ascii="Zurich Cn BT" w:hAnsi="Zurich Cn BT" w:eastAsia="宋体" w:cs="Times New Roman"/>
      <w:lang w:val="en-US" w:eastAsia="zh-CN" w:bidi="ar-SA"/>
    </w:rPr>
  </w:style>
  <w:style w:type="character" w:customStyle="1" w:styleId="56">
    <w:name w:val="尾注文本 Char"/>
    <w:basedOn w:val="26"/>
    <w:link w:val="15"/>
    <w:semiHidden/>
    <w:qFormat/>
    <w:uiPriority w:val="99"/>
  </w:style>
  <w:style w:type="character" w:customStyle="1" w:styleId="57">
    <w:name w:val="尾注文本 Char1"/>
    <w:basedOn w:val="26"/>
    <w:semiHidden/>
    <w:qFormat/>
    <w:uiPriority w:val="99"/>
  </w:style>
  <w:style w:type="paragraph" w:customStyle="1" w:styleId="5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9">
    <w:name w:val="文档结构图 Char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60">
    <w:name w:val="文档结构图 Char1"/>
    <w:basedOn w:val="26"/>
    <w:semiHidden/>
    <w:qFormat/>
    <w:uiPriority w:val="99"/>
    <w:rPr>
      <w:rFonts w:ascii="宋体" w:eastAsia="宋体"/>
      <w:sz w:val="18"/>
      <w:szCs w:val="18"/>
    </w:rPr>
  </w:style>
  <w:style w:type="character" w:customStyle="1" w:styleId="61">
    <w:name w:val="批注文字 Char"/>
    <w:basedOn w:val="26"/>
    <w:link w:val="12"/>
    <w:qFormat/>
    <w:uiPriority w:val="99"/>
  </w:style>
  <w:style w:type="character" w:customStyle="1" w:styleId="62">
    <w:name w:val="批注主题 Char"/>
    <w:basedOn w:val="61"/>
    <w:link w:val="23"/>
    <w:semiHidden/>
    <w:qFormat/>
    <w:uiPriority w:val="99"/>
    <w:rPr>
      <w:b/>
      <w:bCs/>
    </w:rPr>
  </w:style>
  <w:style w:type="character" w:customStyle="1" w:styleId="63">
    <w:name w:val="批注主题 Char1"/>
    <w:basedOn w:val="61"/>
    <w:semiHidden/>
    <w:qFormat/>
    <w:uiPriority w:val="99"/>
    <w:rPr>
      <w:b/>
      <w:bCs/>
    </w:rPr>
  </w:style>
  <w:style w:type="table" w:customStyle="1" w:styleId="64">
    <w:name w:val="浅色底纹 - 强调文字颜色 11"/>
    <w:basedOn w:val="2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65">
    <w:name w:val="浅色列表1"/>
    <w:basedOn w:val="24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6">
    <w:name w:val="浅色列表 - 强调文字颜色 11"/>
    <w:basedOn w:val="2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7">
    <w:name w:val="浅色底纹 - 强调文字颜色 12"/>
    <w:basedOn w:val="2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6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69">
    <w:name w:val="浅色底纹 - 强调文字颜色 13"/>
    <w:basedOn w:val="2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70">
    <w:name w:val="清单表 4 - 着色 51"/>
    <w:basedOn w:val="24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71">
    <w:name w:val="清单表 4 - 着色 11"/>
    <w:basedOn w:val="24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72">
    <w:name w:val="网格表 2 - 着色 11"/>
    <w:basedOn w:val="24"/>
    <w:qFormat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73">
    <w:name w:val="网格表 4 - 着色 12"/>
    <w:basedOn w:val="24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character" w:customStyle="1" w:styleId="74">
    <w:name w:val="font11"/>
    <w:basedOn w:val="26"/>
    <w:qFormat/>
    <w:uiPriority w:val="0"/>
    <w:rPr>
      <w:rFonts w:hint="eastAsia" w:ascii="仿宋" w:hAnsi="仿宋" w:eastAsia="仿宋" w:cs="仿宋"/>
      <w:color w:val="000000"/>
      <w:sz w:val="21"/>
      <w:szCs w:val="21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D8F74-0C9F-4FD7-881E-B56592BC2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399</Words>
  <Characters>2278</Characters>
  <Lines>18</Lines>
  <Paragraphs>5</Paragraphs>
  <TotalTime>1017</TotalTime>
  <ScaleCrop>false</ScaleCrop>
  <LinksUpToDate>false</LinksUpToDate>
  <CharactersWithSpaces>2672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2021-11-11T02:35:00Z</dcterms:created>
  <dc:creator>9-dsjgzs</dc:creator>
  <cp:lastModifiedBy>飞蚂蚁</cp:lastModifiedBy>
  <dcterms:modified xsi:type="dcterms:W3CDTF">2021-12-02T16:19:44Z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DFF8B31A2B014926BAE1F043E48306E0</vt:lpwstr>
  </property>
</Properties>
</file>