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abderezzak ADJILA EQUIPEMENTS GENERALES</w:t>
        <w:br/>
      </w:r>
      <w:r>
        <w:rPr>
          <w:b/>
          <w:sz w:val="24"/>
        </w:rPr>
        <w:t>التجهيزات و التموينات للمؤسسات العمومية التربوية و الجماعات</w:t>
        <w:br/>
      </w:r>
      <w:r>
        <w:rPr>
          <w:sz w:val="20"/>
        </w:rPr>
        <w:t>Compte CCP : 00799999001596957184 METLILI GHARDAIA</w:t>
        <w:br/>
      </w:r>
      <w:r>
        <w:rPr>
          <w:sz w:val="20"/>
        </w:rPr>
        <w:t>Compte CCP : 00 159695 71 clé 84</w:t>
        <w:br/>
      </w:r>
      <w:r>
        <w:rPr>
          <w:sz w:val="20"/>
        </w:rPr>
        <w:t>RC : 47/00- 4319242/A/03 - MF: 197947050051328 - ART:</w:t>
        <w:br/>
        <w:t>47050004335 - NIF 1979 4705 00513 28</w:t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</w:tblGrid>
      <w:tr>
        <w:tc>
          <w:tcPr>
            <w:tcW w:type="dxa" w:w="1054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22"/>
              </w:rPr>
              <w:t>الزبون:جمعية الخير يجمعنا</w:t>
              <w:br/>
              <w:t>المنصورة</w:t>
            </w:r>
          </w:p>
        </w:tc>
      </w:tr>
    </w:tbl>
    <w:p>
      <w:pPr>
        <w:spacing w:before="120" w:after="120"/>
        <w:jc w:val="center"/>
      </w:pPr>
      <w:r>
        <w:rPr>
          <w:b/>
          <w:sz w:val="24"/>
        </w:rPr>
        <w:t>وصل استلام : 10 / 2024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المبلغ</w:t>
              <w:br/>
              <w:t>Montant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السعر الفردي</w:t>
              <w:br/>
              <w:t>Prix Unit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الكمية</w:t>
              <w:br/>
              <w:t>Unit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التعين</w:t>
              <w:br/>
              <w:t>Designation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الرقم</w:t>
              <w:br/>
              <w:t>N°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6800,00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170,00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192 صفحة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01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75,00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96 ص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02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3300,00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48ص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03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4000,00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32 ص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04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75,00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أعمال تطبيقية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05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أقلام زرقاء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06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أقلام خضراء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07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480,00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24,00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أقلام رصاص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08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3100,00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155,00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أوراق الرسم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09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ألوان تربية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أكياس بلاستكية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11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2820,00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470,00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06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شهادات تكريمية لطلاب مع الإطار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12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>
              <w:rPr>
                <w:sz w:val="20"/>
              </w:rPr>
              <w:t>30000,00</w:t>
            </w:r>
          </w:p>
        </w:tc>
        <w:tc>
          <w:tcPr>
            <w:tcW w:type="dxa" w:w="210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المجموع</w:t>
            </w:r>
          </w:p>
        </w:tc>
        <w:tc>
          <w:tcPr>
            <w:tcW w:type="dxa" w:w="210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10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10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200"/>
        <w:jc w:val="right"/>
      </w:pPr>
      <w:r>
        <w:rPr>
          <w:b/>
          <w:sz w:val="24"/>
        </w:rPr>
        <w:t>أقفلت هذه الفاتورة عند مبلغ ثلاثون ألف دينار جزائري و 00 سنتيم</w:t>
      </w:r>
    </w:p>
    <w:p>
      <w:pPr>
        <w:jc w:val="left"/>
      </w:pPr>
      <w:r>
        <w:rPr>
          <w:b/>
          <w:sz w:val="28"/>
        </w:rPr>
        <w:t xml:space="preserve">الممون                     </w:t>
      </w:r>
    </w:p>
    <w:sectPr w:rsidR="00FC693F" w:rsidRPr="0006063C" w:rsidSect="00034616">
      <w:pgSz w:w="12240" w:h="15840"/>
      <w:pgMar w:top="56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