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>
            <w:pPr>
              <w:jc w:val="center"/>
            </w:pPr>
            <w:r>
              <w:rPr>
                <w:b/>
                <w:sz w:val="44"/>
              </w:rPr>
              <w:t>بحيصة الشيخ</w:t>
              <w:br/>
            </w:r>
            <w:r>
              <w:rPr>
                <w:b/>
                <w:sz w:val="28"/>
              </w:rPr>
              <w:t>تجارة للاجهزة الكهرومنزلية والوراقة والمعدات المكتبية وعتاد الاعلام</w:t>
              <w:br/>
              <w:t>الآلي والكمبيوتر ولواحقه وعتاد المكاتب</w:t>
              <w:br/>
              <w:t>حي الأمير عبد القادر متليلي ولاية غارداية</w:t>
            </w:r>
          </w:p>
        </w:tc>
      </w:tr>
    </w:tbl>
    <w:p/>
    <w:p>
      <w:pPr>
        <w:jc w:val="right"/>
      </w:pPr>
      <w:r>
        <w:rPr>
          <w:b/>
          <w:sz w:val="24"/>
        </w:rPr>
        <w:t>س.ت.رقم : 47/00-4322843-06</w:t>
        <w:br/>
        <w:t>رقم المادة: 47050004809</w:t>
        <w:br/>
        <w:t>الرقم الجبائي : 197447050036724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4320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في ذمة هشام بجاج ENTP</w:t>
              <w:br/>
            </w:r>
            <w:r>
              <w:rPr>
                <w:b/>
                <w:sz w:val="22"/>
              </w:rPr>
              <w:t>رقم المادة: 4705005550 الرقم الجبائي: 198647050008430</w:t>
              <w:br/>
              <w:t>س.ت.رقم : 47/00-0648436-16</w:t>
            </w:r>
          </w:p>
        </w:tc>
        <w:tc>
          <w:tcPr>
            <w:tcW w:type="dxa" w:w="4320"/>
          </w:tcPr>
          <w:p/>
        </w:tc>
      </w:tr>
    </w:tbl>
    <w:p>
      <w:pPr>
        <w:jc w:val="center"/>
      </w:pPr>
      <w:r>
        <w:rPr>
          <w:b/>
          <w:sz w:val="32"/>
        </w:rPr>
        <w:br/>
        <w:t>فاتورة رقم 2018/B61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السعر الكلى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سعر الوحدة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الكمية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التعيين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الرقم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19 000,00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19 000,00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طاولة خشبية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33 000,00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33 000,00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مكتب خشبي (0,7*0,7*1,5)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19 000,00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19 000,00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طاولة تلفاز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71 000,00</w:t>
            </w:r>
          </w:p>
        </w:tc>
        <w:tc>
          <w:tcPr>
            <w:tcW w:type="dxa" w:w="1728"/>
            <w:tcBorders>
              <w:right w:sz="4" w:val="single" w:color="auto"/>
            </w:tcBorders>
          </w:tcPr>
          <w:p>
            <w:pPr>
              <w:jc w:val="center"/>
            </w:pPr>
            <w:r>
              <w:rPr>
                <w:b/>
              </w:rPr>
              <w:t>المجموع</w:t>
            </w:r>
          </w:p>
        </w:tc>
        <w:tc>
          <w:tcPr>
            <w:tcW w:type="dxa" w:w="5184"/>
            <w:gridSpan w:val="3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13 490,00</w:t>
            </w:r>
          </w:p>
        </w:tc>
        <w:tc>
          <w:tcPr>
            <w:tcW w:type="dxa" w:w="1728"/>
            <w:tcBorders>
              <w:right w:sz="4" w:val="single" w:color="auto"/>
            </w:tcBorders>
          </w:tcPr>
          <w:p>
            <w:pPr>
              <w:jc w:val="center"/>
            </w:pPr>
            <w:r>
              <w:rPr>
                <w:b/>
              </w:rPr>
              <w:t>الرسم ع القيمة المضافة 19%</w:t>
            </w:r>
          </w:p>
        </w:tc>
        <w:tc>
          <w:tcPr>
            <w:tcW w:type="dxa" w:w="5184"/>
            <w:gridSpan w:val="3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845,00</w:t>
            </w:r>
          </w:p>
        </w:tc>
        <w:tc>
          <w:tcPr>
            <w:tcW w:type="dxa" w:w="1728"/>
            <w:tcBorders>
              <w:right w:sz="4" w:val="single" w:color="auto"/>
            </w:tcBorders>
          </w:tcPr>
          <w:p>
            <w:pPr>
              <w:jc w:val="center"/>
            </w:pPr>
            <w:r>
              <w:rPr>
                <w:b/>
              </w:rPr>
              <w:t>الرسم على الطابع</w:t>
            </w:r>
          </w:p>
        </w:tc>
        <w:tc>
          <w:tcPr>
            <w:tcW w:type="dxa" w:w="5184"/>
            <w:gridSpan w:val="3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t>85 335,00</w:t>
            </w:r>
          </w:p>
        </w:tc>
        <w:tc>
          <w:tcPr>
            <w:tcW w:type="dxa" w:w="1728"/>
            <w:tcBorders>
              <w:right w:sz="4" w:val="single" w:color="auto"/>
            </w:tcBorders>
          </w:tcPr>
          <w:p>
            <w:pPr>
              <w:jc w:val="center"/>
            </w:pPr>
            <w:r>
              <w:rPr>
                <w:b/>
              </w:rPr>
              <w:t>المجموع الكلى</w:t>
            </w:r>
          </w:p>
        </w:tc>
        <w:tc>
          <w:tcPr>
            <w:tcW w:type="dxa" w:w="5184"/>
            <w:gridSpan w:val="3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jc w:val="right"/>
      </w:pPr>
      <w:r>
        <w:rPr>
          <w:b/>
          <w:sz w:val="28"/>
        </w:rPr>
        <w:br/>
        <w:t>أوقفت هذه الفاتورة عند مبلغ: خمسة و ثمانون ألف و ثلاثمائة و خمسة و ثلاثون دينار جزائري.</w:t>
      </w:r>
    </w:p>
    <w:p>
      <w:pPr>
        <w:jc w:val="left"/>
      </w:pPr>
      <w:r>
        <w:rPr>
          <w:b/>
          <w:sz w:val="32"/>
        </w:rPr>
        <w:br/>
        <w:t xml:space="preserve">الممون             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