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点击实时走势进入实施走势页面。页面包括三个TAB页，分别为分时图、分时明细、价量分布。默认显示分时图TAB页。</w:t>
      </w:r>
    </w:p>
    <w:p>
      <w:pPr>
        <w:pStyle w:val="2"/>
        <w:ind w:firstLine="420"/>
        <w:rPr>
          <w:rFonts w:ascii="宋体" w:hAnsi="宋体" w:cs="宋体"/>
        </w:rPr>
      </w:pPr>
      <w:bookmarkStart w:id="0" w:name="_Toc465079221"/>
      <w:r>
        <w:rPr>
          <w:rFonts w:hint="eastAsia"/>
        </w:rPr>
        <w:t>分时图</w:t>
      </w:r>
      <w:bookmarkEnd w:id="0"/>
      <w:r>
        <w:rPr>
          <w:rFonts w:hint="eastAsia" w:ascii="宋体" w:hAnsi="宋体" w:cs="宋体"/>
        </w:rPr>
        <w:t>点击分时图TAB页，显示分时图页面。分时图默认显示一天的数据。页面包括四部分：左上参数显示区、分时走势图区、成交量柱形图区和右上详细信息栏，右下分时明细信息。</w:t>
      </w:r>
    </w:p>
    <w:p>
      <w:pPr>
        <w:pStyle w:val="3"/>
        <w:ind w:right="240"/>
      </w:pPr>
      <w:bookmarkStart w:id="1" w:name="_Toc465079222"/>
      <w:r>
        <w:rPr>
          <w:rFonts w:hint="eastAsia"/>
        </w:rPr>
        <w:t>个股</w:t>
      </w:r>
      <w:r>
        <w:t>分时图</w:t>
      </w:r>
      <w:bookmarkEnd w:id="1"/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如下图：</w:t>
      </w:r>
    </w:p>
    <w:p>
      <w:pPr>
        <w:rPr>
          <w:rFonts w:hint="eastAsia" w:ascii="宋体" w:hAnsi="宋体" w:cs="宋体"/>
        </w:rPr>
      </w:pPr>
      <w:r>
        <w:drawing>
          <wp:inline distT="0" distB="0" distL="0" distR="0">
            <wp:extent cx="5274310" cy="2966720"/>
            <wp:effectExtent l="0" t="0" r="13970" b="508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详细信息栏</w:t>
      </w:r>
    </w:p>
    <w:p>
      <w:r>
        <w:rPr>
          <w:rFonts w:hint="eastAsia"/>
        </w:rPr>
        <w:t xml:space="preserve">    名词</w:t>
      </w:r>
      <w:r>
        <w:t>解释：</w:t>
      </w:r>
    </w:p>
    <w:p>
      <w:pPr>
        <w:ind w:firstLine="360" w:firstLineChars="150"/>
        <w:rPr>
          <w:rFonts w:ascii="宋体" w:hAnsi="宋体" w:cs="宋体"/>
        </w:rPr>
      </w:pPr>
      <w:r>
        <w:rPr>
          <w:rFonts w:hint="eastAsia" w:ascii="宋体" w:hAnsi="宋体" w:cs="宋体"/>
        </w:rPr>
        <w:t>（1）显示股票代码和名称。</w:t>
      </w:r>
    </w:p>
    <w:p>
      <w:pPr>
        <w:ind w:left="960" w:leftChars="150" w:hanging="600" w:hangingChars="250"/>
        <w:rPr>
          <w:rFonts w:ascii="宋体" w:hAnsi="宋体" w:cs="宋体"/>
        </w:rPr>
      </w:pPr>
      <w:r>
        <w:rPr>
          <w:rFonts w:hint="eastAsia" w:ascii="宋体" w:hAnsi="宋体" w:cs="宋体"/>
        </w:rPr>
        <w:t>（2）委比：</w:t>
      </w:r>
      <w:r>
        <w:rPr>
          <w:rFonts w:ascii="宋体" w:hAnsi="宋体" w:cs="宋体"/>
        </w:rPr>
        <w:t>衡量某一时段买卖盘相对强度的指标</w:t>
      </w:r>
      <w:r>
        <w:rPr>
          <w:rFonts w:hint="eastAsia" w:ascii="宋体" w:hAnsi="宋体" w:cs="宋体"/>
        </w:rPr>
        <w:t xml:space="preserve">,会根据行情的变化实时变化。委比=（委买手数－委卖手数）/（委买手数+委卖手数）×100%。 </w:t>
      </w:r>
    </w:p>
    <w:p>
      <w:pPr>
        <w:ind w:firstLine="420"/>
        <w:rPr>
          <w:rFonts w:ascii="宋体" w:hAnsi="宋体" w:cs="宋体"/>
          <w:highlight w:val="yellow"/>
        </w:rPr>
      </w:pPr>
      <w:r>
        <w:rPr>
          <w:rFonts w:hint="eastAsia" w:ascii="宋体" w:hAnsi="宋体" w:cs="宋体"/>
          <w:highlight w:val="yellow"/>
        </w:rPr>
        <w:t>（3）买入：买一价格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  <w:highlight w:val="yellow"/>
        </w:rPr>
        <w:t>（4）卖出：卖一价格</w:t>
      </w:r>
    </w:p>
    <w:p>
      <w:pPr>
        <w:pStyle w:val="6"/>
        <w:shd w:val="clear" w:color="auto" w:fill="FFFFFF"/>
        <w:spacing w:before="150" w:after="150" w:line="450" w:lineRule="atLeast"/>
        <w:ind w:left="960" w:leftChars="150" w:hanging="600" w:hangingChars="250"/>
        <w:rPr>
          <w:rFonts w:ascii="微软雅黑" w:hAnsi="微软雅黑" w:eastAsia="微软雅黑"/>
          <w:color w:val="333333"/>
        </w:rPr>
      </w:pPr>
      <w:r>
        <w:rPr>
          <w:rFonts w:hint="eastAsia"/>
        </w:rPr>
        <w:t>（5）买一-买五：</w:t>
      </w:r>
      <w:r>
        <w:rPr>
          <w:kern w:val="2"/>
        </w:rPr>
        <w:t>委托人在股市服务中的期望买入价格</w:t>
      </w:r>
      <w:r>
        <w:rPr>
          <w:rFonts w:hint="eastAsia"/>
          <w:kern w:val="2"/>
        </w:rPr>
        <w:t>,</w:t>
      </w:r>
      <w:r>
        <w:rPr>
          <w:kern w:val="2"/>
        </w:rPr>
        <w:t>用户买入的价格必须高于卖一</w:t>
      </w:r>
      <w:r>
        <w:rPr>
          <w:rFonts w:hint="eastAsia"/>
          <w:kern w:val="2"/>
        </w:rPr>
        <w:t>,</w:t>
      </w:r>
      <w:r>
        <w:rPr>
          <w:kern w:val="2"/>
        </w:rPr>
        <w:t xml:space="preserve"> 股市必须符合该股价, 用户才可以买入, 否则排队等待</w:t>
      </w:r>
      <w:r>
        <w:rPr>
          <w:rFonts w:hint="eastAsia"/>
          <w:kern w:val="2"/>
        </w:rPr>
        <w:t>。未成交的最高买价就是买一，以此类推</w:t>
      </w:r>
    </w:p>
    <w:p>
      <w:pPr>
        <w:ind w:left="960" w:leftChars="150" w:hanging="600" w:hangingChars="250"/>
        <w:rPr>
          <w:rFonts w:ascii="宋体" w:hAnsi="宋体" w:cs="宋体"/>
        </w:rPr>
      </w:pPr>
      <w:r>
        <w:rPr>
          <w:rFonts w:hint="eastAsia" w:ascii="宋体" w:hAnsi="宋体" w:cs="宋体"/>
        </w:rPr>
        <w:t>（6）卖一-卖五：</w:t>
      </w:r>
      <w:r>
        <w:rPr>
          <w:rFonts w:ascii="宋体" w:hAnsi="宋体" w:cs="宋体"/>
        </w:rPr>
        <w:t>委托人在股市服务中的期望卖出价格</w:t>
      </w:r>
      <w:r>
        <w:rPr>
          <w:rFonts w:hint="eastAsia" w:ascii="宋体" w:hAnsi="宋体" w:cs="宋体"/>
        </w:rPr>
        <w:t>,</w:t>
      </w:r>
      <w:r>
        <w:rPr>
          <w:rFonts w:ascii="宋体" w:hAnsi="宋体" w:cs="宋体"/>
        </w:rPr>
        <w:t xml:space="preserve"> 用户卖出的价格必须低于买一</w:t>
      </w:r>
      <w:r>
        <w:rPr>
          <w:rFonts w:hint="eastAsia" w:ascii="宋体" w:hAnsi="宋体" w:cs="宋体"/>
        </w:rPr>
        <w:t>,</w:t>
      </w:r>
      <w:r>
        <w:rPr>
          <w:rFonts w:ascii="宋体" w:hAnsi="宋体" w:cs="宋体"/>
        </w:rPr>
        <w:t xml:space="preserve"> 股市必须符合该股价, 用户才可以卖出, 否则排队等待</w:t>
      </w:r>
      <w:r>
        <w:rPr>
          <w:rFonts w:hint="eastAsia" w:ascii="宋体" w:hAnsi="宋体" w:cs="宋体"/>
        </w:rPr>
        <w:t>.未成交的最低卖价就是卖一，以此类推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（7）成交：当前成交价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（8）涨跌：现价</w:t>
      </w:r>
      <w:r>
        <w:rPr>
          <w:rFonts w:ascii="宋体" w:hAnsi="宋体" w:cs="宋体"/>
        </w:rPr>
        <w:t>-</w:t>
      </w:r>
      <w:r>
        <w:rPr>
          <w:rFonts w:hint="eastAsia" w:ascii="宋体" w:hAnsi="宋体" w:cs="宋体"/>
        </w:rPr>
        <w:t>昨日收盘价格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（9）幅度：涨跌价</w:t>
      </w:r>
      <w:r>
        <w:rPr>
          <w:rFonts w:ascii="宋体" w:hAnsi="宋体" w:cs="宋体"/>
        </w:rPr>
        <w:t>/</w:t>
      </w:r>
      <w:r>
        <w:rPr>
          <w:rFonts w:hint="eastAsia" w:ascii="宋体" w:hAnsi="宋体" w:cs="宋体"/>
        </w:rPr>
        <w:t>昨天收盘价格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（10）总手：到当前的所有成交量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（11）现手：股票即时的成交量。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（12）均价：平均价格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（13）开盘：今日开盘价格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（14）最高：当天的最高价格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（15）最低：当日的最低价</w:t>
      </w:r>
    </w:p>
    <w:p>
      <w:pPr>
        <w:ind w:left="1200" w:leftChars="200" w:hanging="720" w:hangingChars="300"/>
        <w:rPr>
          <w:rFonts w:ascii="宋体" w:hAnsi="宋体" w:cs="宋体"/>
        </w:rPr>
      </w:pPr>
      <w:r>
        <w:rPr>
          <w:rFonts w:hint="eastAsia" w:ascii="宋体" w:hAnsi="宋体" w:cs="宋体"/>
        </w:rPr>
        <w:t>（16）量比：开市后平均每分钟的成交量与过去</w:t>
      </w:r>
      <w:r>
        <w:rPr>
          <w:rFonts w:ascii="宋体" w:hAnsi="宋体" w:cs="宋体"/>
        </w:rPr>
        <w:t>5</w:t>
      </w:r>
      <w:r>
        <w:rPr>
          <w:rFonts w:hint="eastAsia" w:ascii="宋体" w:hAnsi="宋体" w:cs="宋体"/>
        </w:rPr>
        <w:t>个交易日平均每分钟成交量的比。</w:t>
      </w:r>
    </w:p>
    <w:p>
      <w:pPr>
        <w:ind w:left="1200" w:leftChars="200" w:hanging="720" w:hangingChars="300"/>
        <w:rPr>
          <w:rFonts w:ascii="宋体" w:hAnsi="宋体" w:cs="宋体"/>
        </w:rPr>
      </w:pPr>
      <w:r>
        <w:rPr>
          <w:rFonts w:hint="eastAsia" w:ascii="宋体" w:hAnsi="宋体" w:cs="宋体"/>
        </w:rPr>
        <w:t>（17）外盘：以买入价格成交的数量，即卖方主动以低于或等于当前买一、买二、买三等价格下单卖出股票时成交的数量</w:t>
      </w:r>
    </w:p>
    <w:p>
      <w:pPr>
        <w:ind w:left="1200" w:leftChars="200" w:hanging="720" w:hangingChars="300"/>
        <w:rPr>
          <w:rFonts w:ascii="宋体" w:hAnsi="宋体" w:cs="宋体"/>
        </w:rPr>
      </w:pPr>
      <w:r>
        <w:rPr>
          <w:rFonts w:hint="eastAsia" w:ascii="宋体" w:hAnsi="宋体" w:cs="宋体"/>
        </w:rPr>
        <w:t>（18）内盘：以卖出价格成交的数量，即买方主动以高于或等于当前卖一、卖二、卖三等价格下单买入股票时成交的数量。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价格颜色</w:t>
      </w:r>
      <w:r>
        <w:rPr>
          <w:rFonts w:ascii="宋体" w:hAnsi="宋体" w:cs="宋体"/>
        </w:rPr>
        <w:t>显示：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（1）绿色</w:t>
      </w:r>
      <w:r>
        <w:rPr>
          <w:rFonts w:ascii="宋体" w:hAnsi="宋体" w:cs="宋体"/>
        </w:rPr>
        <w:t>：价格小于昨日收盘价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（2）红色</w:t>
      </w:r>
      <w:r>
        <w:rPr>
          <w:rFonts w:ascii="宋体" w:hAnsi="宋体" w:cs="宋体"/>
        </w:rPr>
        <w:t>：价格大于昨日收盘价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（3）白色</w:t>
      </w:r>
      <w:r>
        <w:rPr>
          <w:rFonts w:ascii="宋体" w:hAnsi="宋体" w:cs="宋体"/>
        </w:rPr>
        <w:t>：价格等于昨日收盘价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委比</w:t>
      </w:r>
      <w:r>
        <w:rPr>
          <w:rFonts w:ascii="宋体" w:hAnsi="宋体" w:cs="宋体"/>
        </w:rPr>
        <w:t>颜色显示：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（1）绿色</w:t>
      </w:r>
      <w:r>
        <w:rPr>
          <w:rFonts w:ascii="宋体" w:hAnsi="宋体" w:cs="宋体"/>
        </w:rPr>
        <w:t>：买入小于卖出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（2）红色</w:t>
      </w:r>
      <w:r>
        <w:rPr>
          <w:rFonts w:ascii="宋体" w:hAnsi="宋体" w:cs="宋体"/>
        </w:rPr>
        <w:t>：</w:t>
      </w:r>
      <w:r>
        <w:rPr>
          <w:rFonts w:hint="eastAsia" w:ascii="宋体" w:hAnsi="宋体" w:cs="宋体"/>
        </w:rPr>
        <w:t>买入</w:t>
      </w:r>
      <w:r>
        <w:rPr>
          <w:rFonts w:ascii="宋体" w:hAnsi="宋体" w:cs="宋体"/>
        </w:rPr>
        <w:t>大于卖出</w:t>
      </w:r>
    </w:p>
    <w:p/>
    <w:p>
      <w:pPr>
        <w:pStyle w:val="3"/>
        <w:ind w:right="240"/>
      </w:pPr>
      <w:bookmarkStart w:id="2" w:name="_Toc465079223"/>
      <w:r>
        <w:rPr>
          <w:rFonts w:hint="eastAsia"/>
        </w:rPr>
        <w:t>大盘</w:t>
      </w:r>
      <w:r>
        <w:rPr>
          <w:rFonts w:hint="eastAsia"/>
          <w:lang w:eastAsia="zh-CN"/>
        </w:rPr>
        <w:t>指数</w:t>
      </w:r>
      <w:r>
        <w:t>分时图</w:t>
      </w:r>
      <w:bookmarkEnd w:id="2"/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如下图：</w:t>
      </w:r>
    </w:p>
    <w:p>
      <w:r>
        <w:drawing>
          <wp:inline distT="0" distB="0" distL="0" distR="0">
            <wp:extent cx="5274310" cy="2861310"/>
            <wp:effectExtent l="0" t="0" r="1397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详细</w:t>
      </w:r>
      <w:r>
        <w:t>信息栏</w:t>
      </w:r>
    </w:p>
    <w:p>
      <w:r>
        <w:rPr>
          <w:rFonts w:hint="eastAsia"/>
        </w:rPr>
        <w:t>大盘</w:t>
      </w:r>
      <w:r>
        <w:t>分时包含：</w:t>
      </w:r>
    </w:p>
    <w:p>
      <w:r>
        <w:rPr>
          <w:rFonts w:hint="eastAsia"/>
        </w:rPr>
        <w:t>（1）上证</w:t>
      </w:r>
      <w:r>
        <w:t>指数、涨跌</w:t>
      </w:r>
    </w:p>
    <w:p>
      <w:r>
        <w:rPr>
          <w:rFonts w:hint="eastAsia"/>
        </w:rPr>
        <w:t>（2）上证A股</w:t>
      </w:r>
      <w:r>
        <w:t>、涨跌</w:t>
      </w:r>
    </w:p>
    <w:p>
      <w:r>
        <w:rPr>
          <w:rFonts w:hint="eastAsia"/>
        </w:rPr>
        <w:t>（3）上证B股</w:t>
      </w:r>
      <w:r>
        <w:t>、涨跌</w:t>
      </w:r>
    </w:p>
    <w:p>
      <w:r>
        <w:rPr>
          <w:rFonts w:hint="eastAsia"/>
        </w:rPr>
        <w:t>（4）成交</w:t>
      </w:r>
      <w:r>
        <w:t>总额、成交手数</w:t>
      </w:r>
    </w:p>
    <w:p>
      <w:r>
        <w:rPr>
          <w:rFonts w:hint="eastAsia"/>
        </w:rPr>
        <w:t>（5）上证</w:t>
      </w:r>
      <w:r>
        <w:t>开</w:t>
      </w:r>
      <w:r>
        <w:rPr>
          <w:rFonts w:hint="eastAsia"/>
        </w:rPr>
        <w:t>盘</w:t>
      </w:r>
      <w:r>
        <w:t>、上证最高、</w:t>
      </w:r>
      <w:r>
        <w:rPr>
          <w:rFonts w:hint="eastAsia"/>
        </w:rPr>
        <w:t>上证</w:t>
      </w:r>
      <w:r>
        <w:t>最低</w:t>
      </w:r>
    </w:p>
    <w:p>
      <w:r>
        <w:rPr>
          <w:rFonts w:hint="eastAsia"/>
        </w:rPr>
        <w:t>（6）上涨</w:t>
      </w:r>
      <w:r>
        <w:t>家数、平盘家数、下跌家数</w:t>
      </w:r>
    </w:p>
    <w:p>
      <w:pPr>
        <w:pStyle w:val="3"/>
        <w:ind w:right="240"/>
      </w:pPr>
      <w:bookmarkStart w:id="3" w:name="_Toc465079224"/>
      <w:r>
        <w:rPr>
          <w:rFonts w:hint="eastAsia"/>
        </w:rPr>
        <w:t>指数显示区</w:t>
      </w:r>
      <w:bookmarkEnd w:id="3"/>
    </w:p>
    <w:p>
      <w:r>
        <w:rPr>
          <w:rFonts w:hint="eastAsia"/>
        </w:rPr>
        <w:t>左侧参数区显示十字游标或十字光标（十字游标和十字光标详见下文）焦点的时间、成交、涨跌、涨幅、均价、分时量信息。其中分时量定义为：股票交易时间内，每一个时间单位发生的交易的量。</w:t>
      </w:r>
    </w:p>
    <w:p>
      <w:pPr>
        <w:pStyle w:val="3"/>
        <w:ind w:right="240"/>
      </w:pPr>
      <w:bookmarkStart w:id="4" w:name="_Toc465079225"/>
      <w:r>
        <w:rPr>
          <w:rFonts w:hint="eastAsia"/>
        </w:rPr>
        <w:t>分时走势图区</w:t>
      </w:r>
      <w:bookmarkEnd w:id="4"/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分时走势图区组成包括坐标和绘图区。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坐标信息：横坐标为时间刻度；左侧纵坐标轴显示价格，昨收价格线做为红色实线参考线，高于昨收价为红色，低于昨收价为绿色，与昨收价持平为白色；右侧纵坐标轴显示涨跌百分比，涨为红色，跌为绿色，持平为白色。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绘图区：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白色曲线：成交价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黄色曲线：加权平均</w:t>
      </w:r>
    </w:p>
    <w:p>
      <w:pPr>
        <w:pStyle w:val="3"/>
        <w:ind w:right="240"/>
      </w:pPr>
      <w:bookmarkStart w:id="5" w:name="_Toc465079226"/>
      <w:r>
        <w:rPr>
          <w:rFonts w:hint="eastAsia"/>
        </w:rPr>
        <w:t>成交量柱形图区</w:t>
      </w:r>
      <w:bookmarkEnd w:id="5"/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成交量柱形图区包括坐标和绘图区。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坐标信息：横坐标为时间刻度，同分时走势公用横坐标。左侧纵坐标为成交量。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绘图区：</w:t>
      </w:r>
    </w:p>
    <w:p>
      <w:pPr>
        <w:ind w:firstLine="420"/>
        <w:rPr>
          <w:rFonts w:ascii="宋体" w:hAnsi="宋体" w:cs="宋体"/>
          <w:highlight w:val="yellow"/>
        </w:rPr>
      </w:pPr>
      <w:r>
        <w:rPr>
          <w:rFonts w:hint="eastAsia" w:ascii="宋体" w:hAnsi="宋体" w:cs="宋体"/>
          <w:highlight w:val="yellow"/>
          <w:lang w:eastAsia="zh-CN"/>
        </w:rPr>
        <w:t>红</w:t>
      </w:r>
      <w:r>
        <w:rPr>
          <w:rFonts w:hint="eastAsia" w:ascii="宋体" w:hAnsi="宋体" w:cs="宋体"/>
          <w:highlight w:val="yellow"/>
        </w:rPr>
        <w:t>色柱形图：比上一分钟高为</w:t>
      </w:r>
      <w:r>
        <w:rPr>
          <w:rFonts w:hint="eastAsia" w:ascii="宋体" w:hAnsi="宋体" w:cs="宋体"/>
          <w:highlight w:val="yellow"/>
          <w:lang w:eastAsia="zh-CN"/>
        </w:rPr>
        <w:t>红</w:t>
      </w:r>
      <w:r>
        <w:rPr>
          <w:rFonts w:hint="eastAsia" w:ascii="宋体" w:hAnsi="宋体" w:cs="宋体"/>
          <w:highlight w:val="yellow"/>
        </w:rPr>
        <w:t>色</w:t>
      </w:r>
    </w:p>
    <w:p>
      <w:pPr>
        <w:ind w:firstLine="420"/>
        <w:rPr>
          <w:rFonts w:ascii="宋体" w:hAnsi="宋体" w:cs="宋体"/>
          <w:highlight w:val="yellow"/>
        </w:rPr>
      </w:pPr>
      <w:r>
        <w:rPr>
          <w:rFonts w:hint="eastAsia" w:ascii="宋体" w:hAnsi="宋体" w:cs="宋体"/>
          <w:highlight w:val="yellow"/>
          <w:lang w:eastAsia="zh-CN"/>
        </w:rPr>
        <w:t>绿</w:t>
      </w:r>
      <w:r>
        <w:rPr>
          <w:rFonts w:hint="eastAsia" w:ascii="宋体" w:hAnsi="宋体" w:cs="宋体"/>
          <w:highlight w:val="yellow"/>
        </w:rPr>
        <w:t>色柱形图：比上一分钟低</w:t>
      </w:r>
      <w:bookmarkStart w:id="13" w:name="_GoBack"/>
      <w:bookmarkEnd w:id="13"/>
      <w:r>
        <w:rPr>
          <w:rFonts w:hint="eastAsia" w:ascii="宋体" w:hAnsi="宋体" w:cs="宋体"/>
          <w:highlight w:val="yellow"/>
        </w:rPr>
        <w:t>为</w:t>
      </w:r>
      <w:r>
        <w:rPr>
          <w:rFonts w:hint="eastAsia" w:ascii="宋体" w:hAnsi="宋体" w:cs="宋体"/>
          <w:highlight w:val="yellow"/>
          <w:lang w:eastAsia="zh-CN"/>
        </w:rPr>
        <w:t>绿</w:t>
      </w:r>
      <w:r>
        <w:rPr>
          <w:rFonts w:hint="eastAsia" w:ascii="宋体" w:hAnsi="宋体" w:cs="宋体"/>
          <w:highlight w:val="yellow"/>
        </w:rPr>
        <w:t>色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  <w:highlight w:val="yellow"/>
        </w:rPr>
        <w:t>若</w:t>
      </w:r>
      <w:r>
        <w:rPr>
          <w:rFonts w:ascii="宋体" w:hAnsi="宋体" w:cs="宋体"/>
          <w:highlight w:val="yellow"/>
        </w:rPr>
        <w:t>与上一分钟价格一样，颜色与上一分钟一样。</w:t>
      </w:r>
    </w:p>
    <w:p>
      <w:pPr>
        <w:pStyle w:val="3"/>
        <w:ind w:right="240"/>
      </w:pPr>
      <w:bookmarkStart w:id="6" w:name="_Toc465079227"/>
      <w:r>
        <w:rPr>
          <w:rFonts w:hint="eastAsia"/>
        </w:rPr>
        <w:t>分笔明细信息</w:t>
      </w:r>
      <w:bookmarkEnd w:id="6"/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箭头及</w:t>
      </w:r>
      <w:r>
        <w:rPr>
          <w:rFonts w:ascii="宋体" w:hAnsi="宋体" w:cs="宋体"/>
        </w:rPr>
        <w:t>现手颜色：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（1）绿色：与上一笔</w:t>
      </w:r>
      <w:r>
        <w:rPr>
          <w:rFonts w:ascii="宋体" w:hAnsi="宋体" w:cs="宋体"/>
        </w:rPr>
        <w:t>交易对比，价格</w:t>
      </w:r>
      <w:r>
        <w:rPr>
          <w:rFonts w:hint="eastAsia" w:ascii="宋体" w:hAnsi="宋体" w:cs="宋体"/>
        </w:rPr>
        <w:t>低于</w:t>
      </w:r>
      <w:r>
        <w:rPr>
          <w:rFonts w:ascii="宋体" w:hAnsi="宋体" w:cs="宋体"/>
        </w:rPr>
        <w:t>上一笔为绿色下降箭头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（2）红色：与上一笔</w:t>
      </w:r>
      <w:r>
        <w:rPr>
          <w:rFonts w:ascii="宋体" w:hAnsi="宋体" w:cs="宋体"/>
        </w:rPr>
        <w:t>交易对比，价格</w:t>
      </w:r>
      <w:r>
        <w:rPr>
          <w:rFonts w:hint="eastAsia" w:ascii="宋体" w:hAnsi="宋体" w:cs="宋体"/>
        </w:rPr>
        <w:t>高于</w:t>
      </w:r>
      <w:r>
        <w:rPr>
          <w:rFonts w:ascii="宋体" w:hAnsi="宋体" w:cs="宋体"/>
        </w:rPr>
        <w:t>上一笔为绿色下降箭头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（3）白色：与上一笔</w:t>
      </w:r>
      <w:r>
        <w:rPr>
          <w:rFonts w:ascii="宋体" w:hAnsi="宋体" w:cs="宋体"/>
        </w:rPr>
        <w:t>交易对比，价格</w:t>
      </w:r>
      <w:r>
        <w:rPr>
          <w:rFonts w:hint="eastAsia" w:ascii="宋体" w:hAnsi="宋体" w:cs="宋体"/>
        </w:rPr>
        <w:t>等于</w:t>
      </w:r>
      <w:r>
        <w:rPr>
          <w:rFonts w:ascii="宋体" w:hAnsi="宋体" w:cs="宋体"/>
        </w:rPr>
        <w:t>上一笔为</w:t>
      </w:r>
      <w:r>
        <w:rPr>
          <w:rFonts w:hint="eastAsia" w:ascii="宋体" w:hAnsi="宋体" w:cs="宋体"/>
        </w:rPr>
        <w:t>白色。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价格</w:t>
      </w:r>
      <w:r>
        <w:rPr>
          <w:rFonts w:ascii="宋体" w:hAnsi="宋体" w:cs="宋体"/>
        </w:rPr>
        <w:t>颜色</w:t>
      </w:r>
      <w:r>
        <w:rPr>
          <w:rFonts w:hint="eastAsia" w:ascii="宋体" w:hAnsi="宋体" w:cs="宋体"/>
        </w:rPr>
        <w:t>：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（1）绿色</w:t>
      </w:r>
      <w:r>
        <w:rPr>
          <w:rFonts w:ascii="宋体" w:hAnsi="宋体" w:cs="宋体"/>
        </w:rPr>
        <w:t>：价格小于昨日收盘价为绿色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（2）红色</w:t>
      </w:r>
      <w:r>
        <w:rPr>
          <w:rFonts w:ascii="宋体" w:hAnsi="宋体" w:cs="宋体"/>
        </w:rPr>
        <w:t>：价格大于昨日</w:t>
      </w:r>
      <w:r>
        <w:rPr>
          <w:rFonts w:hint="eastAsia" w:ascii="宋体" w:hAnsi="宋体" w:cs="宋体"/>
        </w:rPr>
        <w:t>收盘价</w:t>
      </w:r>
      <w:r>
        <w:rPr>
          <w:rFonts w:ascii="宋体" w:hAnsi="宋体" w:cs="宋体"/>
        </w:rPr>
        <w:t>为红色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（3）白色</w:t>
      </w:r>
      <w:r>
        <w:rPr>
          <w:rFonts w:ascii="宋体" w:hAnsi="宋体" w:cs="宋体"/>
        </w:rPr>
        <w:t>：价格</w:t>
      </w:r>
      <w:r>
        <w:rPr>
          <w:rFonts w:hint="eastAsia" w:ascii="宋体" w:hAnsi="宋体" w:cs="宋体"/>
        </w:rPr>
        <w:t>等于</w:t>
      </w:r>
      <w:r>
        <w:rPr>
          <w:rFonts w:ascii="宋体" w:hAnsi="宋体" w:cs="宋体"/>
        </w:rPr>
        <w:t>昨日收盘价为白色</w:t>
      </w:r>
    </w:p>
    <w:p>
      <w:pPr>
        <w:pStyle w:val="2"/>
      </w:pPr>
      <w:bookmarkStart w:id="7" w:name="_Toc465079228"/>
      <w:r>
        <w:rPr>
          <w:rFonts w:hint="eastAsia"/>
        </w:rPr>
        <w:t>分时明细</w:t>
      </w:r>
      <w:bookmarkEnd w:id="7"/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点击分时明细TAB，显示分时明细页面。页面按照时间顺序显示所选股票每笔成交信息，包括时间、成交价、现手、笔数。如下图：</w:t>
      </w:r>
    </w:p>
    <w:p>
      <w:pPr>
        <w:ind w:firstLine="420"/>
        <w:rPr>
          <w:rFonts w:hint="eastAsia" w:ascii="宋体" w:hAnsi="宋体" w:cs="宋体"/>
        </w:rPr>
      </w:pPr>
      <w:r>
        <w:drawing>
          <wp:inline distT="0" distB="0" distL="0" distR="0">
            <wp:extent cx="5274310" cy="2976245"/>
            <wp:effectExtent l="0" t="0" r="13970" b="1079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cs="宋体"/>
        </w:rPr>
      </w:pP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（1）价格</w:t>
      </w:r>
      <w:r>
        <w:rPr>
          <w:rFonts w:ascii="宋体" w:hAnsi="宋体" w:cs="宋体"/>
        </w:rPr>
        <w:t>颜色</w:t>
      </w:r>
      <w:r>
        <w:rPr>
          <w:rFonts w:hint="eastAsia" w:ascii="宋体" w:hAnsi="宋体" w:cs="宋体"/>
        </w:rPr>
        <w:t>：</w:t>
      </w:r>
    </w:p>
    <w:p>
      <w:pPr>
        <w:ind w:left="600" w:leftChars="250"/>
        <w:rPr>
          <w:rFonts w:ascii="宋体" w:hAnsi="宋体" w:cs="宋体"/>
        </w:rPr>
      </w:pPr>
      <w:r>
        <w:rPr>
          <w:rFonts w:hint="eastAsia" w:ascii="宋体" w:hAnsi="宋体" w:cs="宋体"/>
        </w:rPr>
        <w:t>每笔成交价格大于昨日收盘价为红色显示，小于昨日收盘价为绿色显示，</w:t>
      </w:r>
      <w:r>
        <w:rPr>
          <w:rFonts w:ascii="宋体" w:hAnsi="宋体" w:cs="宋体"/>
        </w:rPr>
        <w:t>等于昨日收盘价为白色</w:t>
      </w:r>
      <w:r>
        <w:rPr>
          <w:rFonts w:hint="eastAsia" w:ascii="宋体" w:hAnsi="宋体" w:cs="宋体"/>
        </w:rPr>
        <w:t>。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（2）每笔成交量颜色：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成交价格高于上一笔成交价格：红色</w:t>
      </w:r>
      <w:r>
        <w:rPr>
          <w:rFonts w:ascii="宋体" w:hAnsi="宋体" w:cs="宋体"/>
        </w:rPr>
        <w:t xml:space="preserve"> </w:t>
      </w:r>
      <w:r>
        <w:rPr>
          <w:rFonts w:hint="eastAsia" w:ascii="宋体" w:hAnsi="宋体" w:cs="宋体"/>
        </w:rPr>
        <w:t>带向上箭头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成交价格低于上一笔成交价格：绿色</w:t>
      </w:r>
      <w:r>
        <w:rPr>
          <w:rFonts w:ascii="宋体" w:hAnsi="宋体" w:cs="宋体"/>
        </w:rPr>
        <w:t xml:space="preserve"> </w:t>
      </w:r>
      <w:r>
        <w:rPr>
          <w:rFonts w:hint="eastAsia" w:ascii="宋体" w:hAnsi="宋体" w:cs="宋体"/>
        </w:rPr>
        <w:t>带向下箭头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成交价格等于上一笔成交价格：白色</w:t>
      </w:r>
      <w:r>
        <w:rPr>
          <w:rFonts w:ascii="宋体" w:hAnsi="宋体" w:cs="宋体"/>
        </w:rPr>
        <w:t xml:space="preserve"> </w:t>
      </w:r>
      <w:r>
        <w:rPr>
          <w:rFonts w:hint="eastAsia" w:ascii="宋体" w:hAnsi="宋体" w:cs="宋体"/>
        </w:rPr>
        <w:t>不带箭头</w:t>
      </w:r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  <w:highlight w:val="yellow"/>
        </w:rPr>
        <w:t>蓝色</w:t>
      </w:r>
      <w:r>
        <w:rPr>
          <w:rFonts w:ascii="宋体" w:hAnsi="宋体" w:cs="宋体"/>
          <w:highlight w:val="yellow"/>
        </w:rPr>
        <w:t>1</w:t>
      </w:r>
      <w:r>
        <w:rPr>
          <w:rFonts w:hint="eastAsia" w:ascii="宋体" w:hAnsi="宋体" w:cs="宋体"/>
          <w:highlight w:val="yellow"/>
        </w:rPr>
        <w:t>表示成交笔数</w:t>
      </w:r>
    </w:p>
    <w:p>
      <w:pPr>
        <w:pStyle w:val="2"/>
      </w:pPr>
      <w:bookmarkStart w:id="8" w:name="_Toc465079229"/>
      <w:r>
        <w:rPr>
          <w:rFonts w:hint="eastAsia"/>
        </w:rPr>
        <w:t>价量分布</w:t>
      </w:r>
      <w:bookmarkEnd w:id="8"/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点击价量分布TAB，显示价量分布页面。如下图：</w:t>
      </w:r>
    </w:p>
    <w:p>
      <w:pPr>
        <w:ind w:firstLine="420"/>
        <w:rPr>
          <w:rFonts w:hint="eastAsia" w:ascii="宋体" w:hAnsi="宋体" w:cs="宋体"/>
        </w:rPr>
      </w:pPr>
      <w:r>
        <w:drawing>
          <wp:inline distT="0" distB="0" distL="0" distR="0">
            <wp:extent cx="5274310" cy="2969895"/>
            <wp:effectExtent l="0" t="0" r="13970" b="190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cs="宋体"/>
        </w:rPr>
      </w:pPr>
    </w:p>
    <w:p>
      <w:pPr>
        <w:pStyle w:val="3"/>
        <w:ind w:right="240"/>
      </w:pPr>
      <w:bookmarkStart w:id="9" w:name="_Toc465079230"/>
      <w:r>
        <w:rPr>
          <w:rFonts w:hint="eastAsia"/>
        </w:rPr>
        <w:t>成交分布</w:t>
      </w:r>
      <w:bookmarkEnd w:id="9"/>
    </w:p>
    <w:p>
      <w:pPr>
        <w:ind w:firstLine="120" w:firstLineChars="50"/>
        <w:rPr>
          <w:rFonts w:ascii="宋体" w:hAnsi="宋体" w:cs="宋体"/>
        </w:rPr>
      </w:pPr>
      <w:r>
        <w:rPr>
          <w:rFonts w:hint="eastAsia" w:ascii="宋体" w:hAnsi="宋体" w:cs="宋体"/>
        </w:rPr>
        <w:t>（1）以横向柱状图显示以此价格成交的量占总成交量的比例</w:t>
      </w:r>
    </w:p>
    <w:p>
      <w:pPr>
        <w:ind w:left="720" w:leftChars="50" w:hanging="600" w:hangingChars="250"/>
        <w:rPr>
          <w:rFonts w:ascii="宋体" w:hAnsi="宋体" w:cs="宋体"/>
        </w:rPr>
      </w:pPr>
      <w:r>
        <w:rPr>
          <w:rFonts w:hint="eastAsia" w:ascii="宋体" w:hAnsi="宋体" w:cs="宋体"/>
        </w:rPr>
        <w:t>（2）柱状图颜色分为白色、绿色、红色，横向的宽度等于此种类型的交易量的和。</w:t>
      </w:r>
    </w:p>
    <w:p>
      <w:pPr>
        <w:ind w:firstLine="480" w:firstLineChars="200"/>
        <w:rPr>
          <w:rFonts w:ascii="宋体" w:hAnsi="宋体" w:cs="宋体"/>
        </w:rPr>
      </w:pPr>
      <w:r>
        <w:rPr>
          <w:rFonts w:hint="eastAsia" w:ascii="宋体" w:hAnsi="宋体" w:cs="宋体"/>
        </w:rPr>
        <w:t>白色</w:t>
      </w:r>
      <w:r>
        <w:rPr>
          <w:rFonts w:ascii="宋体" w:hAnsi="宋体" w:cs="宋体"/>
        </w:rPr>
        <w:t>柱状图：</w:t>
      </w:r>
      <w:r>
        <w:rPr>
          <w:rFonts w:hint="eastAsia" w:ascii="宋体" w:hAnsi="宋体" w:cs="宋体"/>
        </w:rPr>
        <w:t>若此笔成交价格等于上一笔成交价格，将此笔加入白色柱状图</w:t>
      </w:r>
    </w:p>
    <w:p>
      <w:pPr>
        <w:ind w:firstLine="480" w:firstLineChars="200"/>
        <w:rPr>
          <w:rFonts w:ascii="宋体" w:hAnsi="宋体" w:cs="宋体"/>
        </w:rPr>
      </w:pPr>
      <w:r>
        <w:rPr>
          <w:rFonts w:hint="eastAsia" w:ascii="宋体" w:hAnsi="宋体" w:cs="宋体"/>
        </w:rPr>
        <w:t>绿色</w:t>
      </w:r>
      <w:r>
        <w:rPr>
          <w:rFonts w:ascii="宋体" w:hAnsi="宋体" w:cs="宋体"/>
        </w:rPr>
        <w:t>柱状图：</w:t>
      </w:r>
      <w:r>
        <w:rPr>
          <w:rFonts w:hint="eastAsia" w:ascii="宋体" w:hAnsi="宋体" w:cs="宋体"/>
        </w:rPr>
        <w:t>若此笔成交价格低于上一笔成交价格，将此笔加入绿色柱状图</w:t>
      </w:r>
    </w:p>
    <w:p>
      <w:pPr>
        <w:ind w:firstLine="480" w:firstLineChars="200"/>
        <w:rPr>
          <w:rFonts w:ascii="宋体" w:hAnsi="宋体" w:cs="宋体"/>
        </w:rPr>
      </w:pPr>
      <w:r>
        <w:rPr>
          <w:rFonts w:hint="eastAsia" w:ascii="宋体" w:hAnsi="宋体" w:cs="宋体"/>
        </w:rPr>
        <w:t>红色</w:t>
      </w:r>
      <w:r>
        <w:rPr>
          <w:rFonts w:ascii="宋体" w:hAnsi="宋体" w:cs="宋体"/>
        </w:rPr>
        <w:t>柱状图：</w:t>
      </w:r>
      <w:r>
        <w:rPr>
          <w:rFonts w:hint="eastAsia" w:ascii="宋体" w:hAnsi="宋体" w:cs="宋体"/>
        </w:rPr>
        <w:t>若此笔成交价格高于上一笔成交价格，将此笔加入红色柱状图</w:t>
      </w:r>
    </w:p>
    <w:p>
      <w:pPr>
        <w:pStyle w:val="3"/>
        <w:ind w:right="240"/>
      </w:pPr>
      <w:bookmarkStart w:id="10" w:name="_Toc465079231"/>
      <w:r>
        <w:rPr>
          <w:rFonts w:hint="eastAsia"/>
        </w:rPr>
        <w:t>成交笔数</w:t>
      </w:r>
      <w:bookmarkEnd w:id="10"/>
    </w:p>
    <w:p>
      <w:pPr>
        <w:ind w:firstLine="120" w:firstLineChars="50"/>
        <w:rPr>
          <w:rFonts w:ascii="宋体" w:hAnsi="宋体" w:cs="宋体"/>
        </w:rPr>
      </w:pPr>
      <w:r>
        <w:rPr>
          <w:rFonts w:hint="eastAsia" w:ascii="宋体" w:hAnsi="宋体" w:cs="宋体"/>
        </w:rPr>
        <w:t>（1）以横向柱状图显示以此成交价格成交的笔数</w:t>
      </w:r>
    </w:p>
    <w:p>
      <w:pPr>
        <w:ind w:left="720" w:leftChars="50" w:hanging="600" w:hangingChars="250"/>
        <w:rPr>
          <w:rFonts w:ascii="宋体" w:hAnsi="宋体" w:cs="宋体"/>
        </w:rPr>
      </w:pPr>
      <w:r>
        <w:rPr>
          <w:rFonts w:hint="eastAsia" w:ascii="宋体" w:hAnsi="宋体" w:cs="宋体"/>
        </w:rPr>
        <w:t>（2）柱状图颜色分为白色、绿色、红色，横向的宽度等于此种类型的交易笔数的和。柱状</w:t>
      </w:r>
      <w:r>
        <w:rPr>
          <w:rFonts w:ascii="宋体" w:hAnsi="宋体" w:cs="宋体"/>
        </w:rPr>
        <w:t>颜色分布同</w:t>
      </w:r>
      <w:r>
        <w:rPr>
          <w:rFonts w:hint="eastAsia" w:ascii="宋体" w:hAnsi="宋体" w:cs="宋体"/>
        </w:rPr>
        <w:t>“成交分布”</w:t>
      </w:r>
    </w:p>
    <w:p>
      <w:pPr>
        <w:pStyle w:val="3"/>
        <w:ind w:right="240"/>
      </w:pPr>
      <w:bookmarkStart w:id="11" w:name="_Toc465079232"/>
      <w:r>
        <w:rPr>
          <w:rFonts w:hint="eastAsia"/>
        </w:rPr>
        <w:t>每笔均量</w:t>
      </w:r>
      <w:bookmarkEnd w:id="11"/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成交总数</w:t>
      </w:r>
      <w:r>
        <w:rPr>
          <w:rFonts w:ascii="宋体" w:hAnsi="宋体" w:cs="宋体"/>
        </w:rPr>
        <w:t>/</w:t>
      </w:r>
      <w:r>
        <w:rPr>
          <w:rFonts w:hint="eastAsia" w:ascii="宋体" w:hAnsi="宋体" w:cs="宋体"/>
        </w:rPr>
        <w:t>成交笔数。</w:t>
      </w:r>
    </w:p>
    <w:p>
      <w:pPr>
        <w:pStyle w:val="3"/>
        <w:ind w:right="240"/>
      </w:pPr>
      <w:bookmarkStart w:id="12" w:name="_Toc465079233"/>
      <w:r>
        <w:rPr>
          <w:rFonts w:hint="eastAsia"/>
        </w:rPr>
        <w:t>价格</w:t>
      </w:r>
      <w:bookmarkEnd w:id="12"/>
    </w:p>
    <w:p>
      <w:pPr>
        <w:ind w:firstLine="420"/>
        <w:rPr>
          <w:rFonts w:ascii="宋体" w:hAnsi="宋体" w:cs="宋体"/>
        </w:rPr>
      </w:pPr>
      <w:r>
        <w:rPr>
          <w:rFonts w:hint="eastAsia" w:ascii="宋体" w:hAnsi="宋体" w:cs="宋体"/>
        </w:rPr>
        <w:t>显示成交价格。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00"/>
    <w:family w:val="modern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550371"/>
    <w:multiLevelType w:val="multilevel"/>
    <w:tmpl w:val="42550371"/>
    <w:lvl w:ilvl="0" w:tentative="0">
      <w:start w:val="1"/>
      <w:numFmt w:val="chineseCountingThousand"/>
      <w:lvlText w:val="第%1张"/>
      <w:lvlJc w:val="left"/>
      <w:pPr>
        <w:ind w:left="432" w:hanging="432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spacing w:val="0"/>
        <w:kern w:val="0"/>
        <w:position w:val="0"/>
        <w:u w:val="none"/>
        <w:vertAlign w:val="baseline"/>
        <w14:ligatures w14:val="none"/>
        <w14:numForm w14:val="default"/>
        <w14:numSpacing w14:val="default"/>
        <w14:cntxtalts w14:val="0"/>
      </w:rPr>
    </w:lvl>
    <w:lvl w:ilvl="1" w:tentative="0">
      <w:start w:val="1"/>
      <w:numFmt w:val="decimal"/>
      <w:isLgl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isLgl/>
      <w:lvlText w:val="%1.%2.%3"/>
      <w:lvlJc w:val="left"/>
      <w:pPr>
        <w:ind w:left="1003" w:hanging="1003"/>
      </w:pPr>
      <w:rPr>
        <w:rFonts w:hint="eastAsia"/>
      </w:rPr>
    </w:lvl>
    <w:lvl w:ilvl="3" w:tentative="0">
      <w:start w:val="1"/>
      <w:numFmt w:val="decimal"/>
      <w:isLgl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5"/>
      <w:isLgl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isLgl/>
      <w:lvlText w:val="%6.1.1.1.1.1.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isLgl/>
      <w:lvlText w:val="%7.1.1.1.1.1.1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isLgl/>
      <w:lvlText w:val="%8.1.1.1.1.1.1.1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9.1.1.11.1.1.1.1."/>
      <w:lvlJc w:val="left"/>
      <w:pPr>
        <w:ind w:left="1584" w:hanging="1584"/>
      </w:pPr>
      <w:rPr>
        <w:rFonts w:hint="eastAsia"/>
      </w:rPr>
    </w:lvl>
  </w:abstractNum>
  <w:abstractNum w:abstractNumId="1">
    <w:nsid w:val="752E2B0A"/>
    <w:multiLevelType w:val="multilevel"/>
    <w:tmpl w:val="752E2B0A"/>
    <w:lvl w:ilvl="0" w:tentative="0">
      <w:start w:val="1"/>
      <w:numFmt w:val="chineseCountingThousand"/>
      <w:lvlText w:val="第%1章"/>
      <w:lvlJc w:val="left"/>
      <w:pPr>
        <w:ind w:left="432" w:hanging="432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1" w:tentative="0">
      <w:start w:val="1"/>
      <w:numFmt w:val="decimal"/>
      <w:pStyle w:val="2"/>
      <w:isLgl/>
      <w:lvlText w:val="%1.%2.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3"/>
      <w:isLgl/>
      <w:lvlText w:val="%1.%2.%3"/>
      <w:lvlJc w:val="left"/>
      <w:pPr>
        <w:ind w:left="1003" w:hanging="1003"/>
      </w:pPr>
      <w:rPr>
        <w:rFonts w:hint="eastAsia"/>
      </w:rPr>
    </w:lvl>
    <w:lvl w:ilvl="3" w:tentative="0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5.1.1.1.1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isLgl/>
      <w:lvlText w:val="%6.1.1.1.1.1.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isLgl/>
      <w:lvlText w:val="%7.1.1.1.1.1.1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isLgl/>
      <w:lvlText w:val="%8.1.1.1.1.1.1.1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9.1.1.11.1.1.1.1."/>
      <w:lvlJc w:val="left"/>
      <w:pPr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BD15F0"/>
    <w:rsid w:val="20BD15F0"/>
    <w:rsid w:val="4B1826E1"/>
    <w:rsid w:val="6D484C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/>
      <w:b/>
      <w:bCs/>
      <w:sz w:val="30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708"/>
        <w:tab w:val="left" w:pos="1080"/>
      </w:tabs>
      <w:spacing w:before="260" w:after="260" w:line="416" w:lineRule="auto"/>
      <w:ind w:right="100" w:rightChars="100"/>
      <w:jc w:val="left"/>
      <w:outlineLvl w:val="2"/>
    </w:pPr>
    <w:rPr>
      <w:rFonts w:ascii="Arial" w:hAnsi="Arial" w:eastAsia="黑体"/>
      <w:b/>
      <w:bCs/>
      <w:sz w:val="30"/>
      <w:szCs w:val="32"/>
    </w:rPr>
  </w:style>
  <w:style w:type="paragraph" w:styleId="4">
    <w:name w:val="heading 4"/>
    <w:basedOn w:val="5"/>
    <w:next w:val="5"/>
    <w:unhideWhenUsed/>
    <w:qFormat/>
    <w:uiPriority w:val="0"/>
    <w:pPr>
      <w:numPr>
        <w:ilvl w:val="3"/>
        <w:numId w:val="1"/>
      </w:numPr>
      <w:spacing w:line="377" w:lineRule="auto"/>
      <w:jc w:val="left"/>
      <w:outlineLvl w:val="3"/>
    </w:pPr>
    <w:rPr>
      <w:rFonts w:asciiTheme="majorHAnsi" w:hAnsiTheme="majorHAnsi" w:eastAsiaTheme="majorEastAsia" w:cstheme="majorBidi"/>
      <w:snapToGrid w:val="0"/>
      <w:kern w:val="0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2017-05-19T05:00:00Z</dcterms:created>
  <dc:creator>Administrator</dc:creator>
  <cp:lastModifiedBy>Administrator</cp:lastModifiedBy>
  <dcterms:modified xsi:type="dcterms:W3CDTF">2017-05-19T05:09:14Z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2052-10.1.0.6466</vt:lpwstr>
  </property>
</Properties>
</file>