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972"/>
      </w:tblGrid>
      <w:tr>
        <w:tc>
          <w:tcPr>
            <w:tcW w:type="dxa" w:w="9972"/>
            <w:shd w:val="clear" w:color="auto" w:fill="FCE4D6"/>
          </w:tcPr>
          <w:p>
            <w:pPr>
              <w:spacing w:line="240" w:lineRule="auto"/>
            </w:pPr>
            <w:r>
              <w:rPr>
                <w:b/>
                <w:sz w:val="20"/>
              </w:rPr>
              <w:t>EXAMPLE ONLY (delete this box). It shows the structure, level of detail and style of Task 4. Rubber gloves and air passengers are DUMMY numbers, and the palm oil prices for Q4 2019 and Q2 2020 are unverified placeholders. Restaurants is derived from DOSM year-on-year changes and still needs confirming. Write your own sentences from your own sourced data.</w:t>
            </w:r>
          </w:p>
        </w:tc>
      </w:tr>
    </w:tbl>
    <w:p>
      <w:r>
        <w:rPr>
          <w:b/>
          <w:i w:val="0"/>
        </w:rPr>
        <w:t>Task 4: Elasticities</w:t>
      </w:r>
    </w:p>
    <w:p>
      <w:r>
        <w:rPr>
          <w:b/>
          <w:i w:val="0"/>
        </w:rPr>
        <w:t xml:space="preserve">Method. </w:t>
      </w:r>
      <w:r>
        <w:rPr>
          <w:b w:val="0"/>
          <w:i w:val="0"/>
        </w:rPr>
        <w:t>We use the midpoint (arc) formula between P1 (Q4 2019) and P2 (Q2 2020): E = [(Q2 − Q1)/((Q2 + Q1)/2)] ÷ [(P2 − P1)/((P2 + P1)/2)]. Where price and quantity moved in the same direction we read the shock as demand-driven and report the elasticity of supply (PES); where they moved in opposite directions we read it as supply-driven and report the elasticity of demand (PED). For palm oil: %ΔQ = (5.19 − 4.67)/4.93 = +10.6%, %ΔP = (2,074 − 2,813)/2,443.5 = −30.2%, so E = −0.35.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2948"/>
            <w:shd w:val="clear" w:color="auto" w:fill="D9E2F3"/>
          </w:tcPr>
          <w:p>
            <w:r/>
            <w:r>
              <w:rPr>
                <w:b/>
                <w:sz w:val="20"/>
              </w:rPr>
              <w:t>Market</w:t>
            </w:r>
          </w:p>
        </w:tc>
        <w:tc>
          <w:tcPr>
            <w:tcW w:type="dxa" w:w="1662"/>
            <w:shd w:val="clear" w:color="auto" w:fill="D9E2F3"/>
          </w:tcPr>
          <w:p>
            <w:r/>
            <w:r>
              <w:rPr>
                <w:b/>
                <w:sz w:val="20"/>
              </w:rPr>
              <w:t>%ΔQ</w:t>
            </w:r>
          </w:p>
        </w:tc>
        <w:tc>
          <w:tcPr>
            <w:tcW w:type="dxa" w:w="1662"/>
            <w:shd w:val="clear" w:color="auto" w:fill="D9E2F3"/>
          </w:tcPr>
          <w:p>
            <w:r/>
            <w:r>
              <w:rPr>
                <w:b/>
                <w:sz w:val="20"/>
              </w:rPr>
              <w:t>%ΔP</w:t>
            </w:r>
          </w:p>
        </w:tc>
        <w:tc>
          <w:tcPr>
            <w:tcW w:type="dxa" w:w="1662"/>
            <w:shd w:val="clear" w:color="auto" w:fill="D9E2F3"/>
          </w:tcPr>
          <w:p>
            <w:r/>
            <w:r>
              <w:rPr>
                <w:b/>
                <w:sz w:val="20"/>
              </w:rPr>
              <w:t>E</w:t>
            </w:r>
          </w:p>
        </w:tc>
        <w:tc>
          <w:tcPr>
            <w:tcW w:type="dxa" w:w="1662"/>
            <w:shd w:val="clear" w:color="auto" w:fill="D9E2F3"/>
          </w:tcPr>
          <w:p>
            <w:r/>
            <w:r>
              <w:rPr>
                <w:b/>
                <w:sz w:val="20"/>
              </w:rPr>
              <w:t>|E|</w:t>
            </w:r>
          </w:p>
        </w:tc>
        <w:tc>
          <w:tcPr>
            <w:tcW w:type="dxa" w:w="1662"/>
            <w:shd w:val="clear" w:color="auto" w:fill="D9E2F3"/>
          </w:tcPr>
          <w:p>
            <w:r/>
            <w:r>
              <w:rPr>
                <w:b/>
                <w:sz w:val="20"/>
              </w:rPr>
              <w:t>Reading</w:t>
            </w:r>
          </w:p>
        </w:tc>
      </w:tr>
      <w:tr>
        <w:tc>
          <w:tcPr>
            <w:tcW w:type="dxa" w:w="2948"/>
          </w:tcPr>
          <w:p>
            <w:pPr>
              <w:spacing w:line="240" w:lineRule="auto"/>
            </w:pPr>
            <w:r/>
            <w:r>
              <w:rPr>
                <w:sz w:val="20"/>
              </w:rPr>
              <w:t>Restaurants / F&amp;B</w:t>
            </w:r>
          </w:p>
        </w:tc>
        <w:tc>
          <w:tcPr>
            <w:tcW w:type="dxa" w:w="1662"/>
          </w:tcPr>
          <w:p>
            <w:pPr>
              <w:spacing w:line="240" w:lineRule="auto"/>
            </w:pPr>
            <w:r/>
            <w:r>
              <w:rPr>
                <w:sz w:val="20"/>
              </w:rPr>
              <w:t>-37.7%</w:t>
            </w:r>
          </w:p>
        </w:tc>
        <w:tc>
          <w:tcPr>
            <w:tcW w:type="dxa" w:w="1662"/>
          </w:tcPr>
          <w:p>
            <w:pPr>
              <w:spacing w:line="240" w:lineRule="auto"/>
            </w:pPr>
            <w:r/>
            <w:r>
              <w:rPr>
                <w:sz w:val="20"/>
              </w:rPr>
              <w:t>+1.5%</w:t>
            </w:r>
          </w:p>
        </w:tc>
        <w:tc>
          <w:tcPr>
            <w:tcW w:type="dxa" w:w="1662"/>
          </w:tcPr>
          <w:p>
            <w:pPr>
              <w:spacing w:line="240" w:lineRule="auto"/>
            </w:pPr>
            <w:r/>
            <w:r>
              <w:rPr>
                <w:sz w:val="20"/>
              </w:rPr>
              <w:t>-25.30</w:t>
            </w:r>
          </w:p>
        </w:tc>
        <w:tc>
          <w:tcPr>
            <w:tcW w:type="dxa" w:w="1662"/>
          </w:tcPr>
          <w:p>
            <w:pPr>
              <w:spacing w:line="240" w:lineRule="auto"/>
            </w:pPr>
            <w:r/>
            <w:r>
              <w:rPr>
                <w:sz w:val="20"/>
              </w:rPr>
              <w:t>25.30</w:t>
            </w:r>
          </w:p>
        </w:tc>
        <w:tc>
          <w:tcPr>
            <w:tcW w:type="dxa" w:w="1662"/>
          </w:tcPr>
          <w:p>
            <w:pPr>
              <w:spacing w:line="240" w:lineRule="auto"/>
            </w:pPr>
            <w:r/>
            <w:r>
              <w:rPr>
                <w:sz w:val="20"/>
              </w:rPr>
              <w:t>Not a true elasticity: sticky price</w:t>
            </w:r>
          </w:p>
        </w:tc>
      </w:tr>
      <w:tr>
        <w:tc>
          <w:tcPr>
            <w:tcW w:type="dxa" w:w="2948"/>
            <w:shd w:val="clear" w:color="auto" w:fill="F8CBAD"/>
          </w:tcPr>
          <w:p>
            <w:pPr>
              <w:spacing w:line="240" w:lineRule="auto"/>
            </w:pPr>
            <w:r/>
            <w:r>
              <w:rPr>
                <w:sz w:val="20"/>
              </w:rPr>
              <w:t>Crude palm oil (P placeholder)</w:t>
            </w:r>
          </w:p>
        </w:tc>
        <w:tc>
          <w:tcPr>
            <w:tcW w:type="dxa" w:w="1662"/>
            <w:shd w:val="clear" w:color="auto" w:fill="F8CBAD"/>
          </w:tcPr>
          <w:p>
            <w:pPr>
              <w:spacing w:line="240" w:lineRule="auto"/>
            </w:pPr>
            <w:r/>
            <w:r>
              <w:rPr>
                <w:sz w:val="20"/>
              </w:rPr>
              <w:t>+10.6%</w:t>
            </w:r>
          </w:p>
        </w:tc>
        <w:tc>
          <w:tcPr>
            <w:tcW w:type="dxa" w:w="1662"/>
            <w:shd w:val="clear" w:color="auto" w:fill="F8CBAD"/>
          </w:tcPr>
          <w:p>
            <w:pPr>
              <w:spacing w:line="240" w:lineRule="auto"/>
            </w:pPr>
            <w:r/>
            <w:r>
              <w:rPr>
                <w:sz w:val="20"/>
              </w:rPr>
              <w:t>-30.2%</w:t>
            </w:r>
          </w:p>
        </w:tc>
        <w:tc>
          <w:tcPr>
            <w:tcW w:type="dxa" w:w="1662"/>
            <w:shd w:val="clear" w:color="auto" w:fill="F8CBAD"/>
          </w:tcPr>
          <w:p>
            <w:pPr>
              <w:spacing w:line="240" w:lineRule="auto"/>
            </w:pPr>
            <w:r/>
            <w:r>
              <w:rPr>
                <w:sz w:val="20"/>
              </w:rPr>
              <w:t>-0.35</w:t>
            </w:r>
          </w:p>
        </w:tc>
        <w:tc>
          <w:tcPr>
            <w:tcW w:type="dxa" w:w="1662"/>
            <w:shd w:val="clear" w:color="auto" w:fill="F8CBAD"/>
          </w:tcPr>
          <w:p>
            <w:pPr>
              <w:spacing w:line="240" w:lineRule="auto"/>
            </w:pPr>
            <w:r/>
            <w:r>
              <w:rPr>
                <w:sz w:val="20"/>
              </w:rPr>
              <w:t>0.35</w:t>
            </w:r>
          </w:p>
        </w:tc>
        <w:tc>
          <w:tcPr>
            <w:tcW w:type="dxa" w:w="1662"/>
            <w:shd w:val="clear" w:color="auto" w:fill="F8CBAD"/>
          </w:tcPr>
          <w:p>
            <w:pPr>
              <w:spacing w:line="240" w:lineRule="auto"/>
            </w:pPr>
            <w:r/>
            <w:r>
              <w:rPr>
                <w:sz w:val="20"/>
              </w:rPr>
              <w:t>Inelastic (PED)</w:t>
            </w:r>
          </w:p>
        </w:tc>
      </w:tr>
      <w:tr>
        <w:tc>
          <w:tcPr>
            <w:tcW w:type="dxa" w:w="2948"/>
            <w:shd w:val="clear" w:color="auto" w:fill="F8CBAD"/>
          </w:tcPr>
          <w:p>
            <w:pPr>
              <w:spacing w:line="240" w:lineRule="auto"/>
            </w:pPr>
            <w:r/>
            <w:r>
              <w:rPr>
                <w:sz w:val="20"/>
              </w:rPr>
              <w:t>Rubber gloves (DUMMY)</w:t>
            </w:r>
          </w:p>
        </w:tc>
        <w:tc>
          <w:tcPr>
            <w:tcW w:type="dxa" w:w="1662"/>
            <w:shd w:val="clear" w:color="auto" w:fill="F8CBAD"/>
          </w:tcPr>
          <w:p>
            <w:pPr>
              <w:spacing w:line="240" w:lineRule="auto"/>
            </w:pPr>
            <w:r/>
            <w:r>
              <w:rPr>
                <w:sz w:val="20"/>
              </w:rPr>
              <w:t>+40.0%</w:t>
            </w:r>
          </w:p>
        </w:tc>
        <w:tc>
          <w:tcPr>
            <w:tcW w:type="dxa" w:w="1662"/>
            <w:shd w:val="clear" w:color="auto" w:fill="F8CBAD"/>
          </w:tcPr>
          <w:p>
            <w:pPr>
              <w:spacing w:line="240" w:lineRule="auto"/>
            </w:pPr>
            <w:r/>
            <w:r>
              <w:rPr>
                <w:sz w:val="20"/>
              </w:rPr>
              <w:t>+26.1%</w:t>
            </w:r>
          </w:p>
        </w:tc>
        <w:tc>
          <w:tcPr>
            <w:tcW w:type="dxa" w:w="1662"/>
            <w:shd w:val="clear" w:color="auto" w:fill="F8CBAD"/>
          </w:tcPr>
          <w:p>
            <w:pPr>
              <w:spacing w:line="240" w:lineRule="auto"/>
            </w:pPr>
            <w:r/>
            <w:r>
              <w:rPr>
                <w:sz w:val="20"/>
              </w:rPr>
              <w:t>1.53</w:t>
            </w:r>
          </w:p>
        </w:tc>
        <w:tc>
          <w:tcPr>
            <w:tcW w:type="dxa" w:w="1662"/>
            <w:shd w:val="clear" w:color="auto" w:fill="F8CBAD"/>
          </w:tcPr>
          <w:p>
            <w:pPr>
              <w:spacing w:line="240" w:lineRule="auto"/>
            </w:pPr>
            <w:r/>
            <w:r>
              <w:rPr>
                <w:sz w:val="20"/>
              </w:rPr>
              <w:t>1.53</w:t>
            </w:r>
          </w:p>
        </w:tc>
        <w:tc>
          <w:tcPr>
            <w:tcW w:type="dxa" w:w="1662"/>
            <w:shd w:val="clear" w:color="auto" w:fill="F8CBAD"/>
          </w:tcPr>
          <w:p>
            <w:pPr>
              <w:spacing w:line="240" w:lineRule="auto"/>
            </w:pPr>
            <w:r/>
            <w:r>
              <w:rPr>
                <w:sz w:val="20"/>
              </w:rPr>
              <w:t>Elastic (PES)</w:t>
            </w:r>
          </w:p>
        </w:tc>
      </w:tr>
      <w:tr>
        <w:tc>
          <w:tcPr>
            <w:tcW w:type="dxa" w:w="2948"/>
            <w:shd w:val="clear" w:color="auto" w:fill="F8CBAD"/>
          </w:tcPr>
          <w:p>
            <w:pPr>
              <w:spacing w:line="240" w:lineRule="auto"/>
            </w:pPr>
            <w:r/>
            <w:r>
              <w:rPr>
                <w:sz w:val="20"/>
              </w:rPr>
              <w:t>Air passengers (DUMMY)</w:t>
            </w:r>
          </w:p>
        </w:tc>
        <w:tc>
          <w:tcPr>
            <w:tcW w:type="dxa" w:w="1662"/>
            <w:shd w:val="clear" w:color="auto" w:fill="F8CBAD"/>
          </w:tcPr>
          <w:p>
            <w:pPr>
              <w:spacing w:line="240" w:lineRule="auto"/>
            </w:pPr>
            <w:r/>
            <w:r>
              <w:rPr>
                <w:sz w:val="20"/>
              </w:rPr>
              <w:t>-50.0%</w:t>
            </w:r>
          </w:p>
        </w:tc>
        <w:tc>
          <w:tcPr>
            <w:tcW w:type="dxa" w:w="1662"/>
            <w:shd w:val="clear" w:color="auto" w:fill="F8CBAD"/>
          </w:tcPr>
          <w:p>
            <w:pPr>
              <w:spacing w:line="240" w:lineRule="auto"/>
            </w:pPr>
            <w:r/>
            <w:r>
              <w:rPr>
                <w:sz w:val="20"/>
              </w:rPr>
              <w:t>+22.2%</w:t>
            </w:r>
          </w:p>
        </w:tc>
        <w:tc>
          <w:tcPr>
            <w:tcW w:type="dxa" w:w="1662"/>
            <w:shd w:val="clear" w:color="auto" w:fill="F8CBAD"/>
          </w:tcPr>
          <w:p>
            <w:pPr>
              <w:spacing w:line="240" w:lineRule="auto"/>
            </w:pPr>
            <w:r/>
            <w:r>
              <w:rPr>
                <w:sz w:val="20"/>
              </w:rPr>
              <w:t>-2.25</w:t>
            </w:r>
          </w:p>
        </w:tc>
        <w:tc>
          <w:tcPr>
            <w:tcW w:type="dxa" w:w="1662"/>
            <w:shd w:val="clear" w:color="auto" w:fill="F8CBAD"/>
          </w:tcPr>
          <w:p>
            <w:pPr>
              <w:spacing w:line="240" w:lineRule="auto"/>
            </w:pPr>
            <w:r/>
            <w:r>
              <w:rPr>
                <w:sz w:val="20"/>
              </w:rPr>
              <w:t>2.25</w:t>
            </w:r>
          </w:p>
        </w:tc>
        <w:tc>
          <w:tcPr>
            <w:tcW w:type="dxa" w:w="1662"/>
            <w:shd w:val="clear" w:color="auto" w:fill="F8CBAD"/>
          </w:tcPr>
          <w:p>
            <w:pPr>
              <w:spacing w:line="240" w:lineRule="auto"/>
            </w:pPr>
            <w:r/>
            <w:r>
              <w:rPr>
                <w:sz w:val="20"/>
              </w:rPr>
              <w:t>Elastic (PED)</w:t>
            </w:r>
          </w:p>
        </w:tc>
      </w:tr>
    </w:tbl>
    <w:p>
      <w:pPr>
        <w:spacing w:line="240" w:lineRule="auto"/>
      </w:pPr>
      <w:r>
        <w:rPr>
          <w:b w:val="0"/>
          <w:i/>
          <w:sz w:val="20"/>
        </w:rPr>
        <w:t>Table 1. Arc elasticities, P1 to P2. Source: team workbook (Elasticity_Example.xlsx); inputs logged in the data appendix.</w:t>
      </w:r>
    </w:p>
    <w:p>
      <w:r>
        <w:rPr>
          <w:b/>
          <w:i w:val="0"/>
        </w:rPr>
        <w:t xml:space="preserve">Interpretation. </w:t>
      </w:r>
      <w:r>
        <w:rPr>
          <w:b w:val="0"/>
          <w:i w:val="0"/>
        </w:rPr>
        <w:t>Restaurants: the price index rose 1.5% while volume fell 31.7%, giving |E| of about 25. Theory would call restaurant demand price-elastic (many substitutes, a luxury for many households), but the ratio mostly reflects lockdown rules cutting quantity while prices were sticky, so we report it as an extreme value and not as consumer behaviour. Palm oil: |E| = 0.35 matches the prediction that demand for an input with few short-run substitutes is inelastic, although the pattern (price down, quantity up) points to supply expansion or seasonality, which we flag as a limitation. Gloves and air: [state whether the value is above or below 1 and which determinant (necessity, substitutes, share of income, time) explains it].</w:t>
      </w:r>
    </w:p>
    <w:p>
      <w:r>
        <w:rPr>
          <w:b/>
          <w:i w:val="0"/>
        </w:rPr>
        <w:t xml:space="preserve">Long run. </w:t>
      </w:r>
      <w:r>
        <w:rPr>
          <w:b w:val="0"/>
          <w:i w:val="0"/>
        </w:rPr>
        <w:t>Demand and supply both become more elastic with time because buyers find substitutes and producers adjust capacity (cite: author, year, on short-run versus long-run elasticity). Our later-period data support this for palm oil: between Q2 2020 and Q4 2021 quantity fell 7.6% while price rose 85.2%, an arc value of 0.09, still inelastic, consistent with supply that cannot expand quickly because oil palms take years to mature. [Add one sentence per market using your own P3 data.]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