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72"/>
      </w:tblGrid>
      <w:tr>
        <w:tc>
          <w:tcPr>
            <w:tcW w:type="dxa" w:w="9972"/>
            <w:shd w:val="clear" w:color="auto" w:fill="FCE4D6"/>
          </w:tcPr>
          <w:p>
            <w:pPr>
              <w:spacing w:line="240" w:lineRule="auto"/>
            </w:pPr>
            <w:r/>
            <w:r>
              <w:rPr>
                <w:b/>
                <w:sz w:val="18"/>
              </w:rPr>
              <w:t>SCAFFOLD, NOT FINAL TEXT (delete this box). Yellow = figure found in research, confirm it on the original source before use. Red = GAP, you must find it. Grey = write this sentence yourself. The brief requires one page, so trim the tables and cut sentences to fit. Every figure must also appear in the data appendix with source, exact URL and retrieval date.</w:t>
            </w:r>
          </w:p>
        </w:tc>
      </w:tr>
    </w:tbl>
    <w:p>
      <w:r>
        <w:rPr>
          <w:b/>
        </w:rPr>
        <w:t>Task 1: Country profile and pandemic scale</w:t>
      </w:r>
    </w:p>
    <w:p>
      <w:r>
        <w:rPr>
          <w:b/>
        </w:rPr>
        <w:t xml:space="preserve">1. Country profile. </w:t>
      </w:r>
      <w:r>
        <w:t xml:space="preserve">Malaysia is a </w:t>
      </w:r>
      <w:r>
        <w:rPr>
          <w:highlight w:val="red"/>
        </w:rPr>
        <w:t>[income group, source]</w:t>
      </w:r>
      <w:r>
        <w:t xml:space="preserve"> economy with a population of </w:t>
      </w:r>
      <w:r>
        <w:rPr>
          <w:highlight w:val="yellow"/>
        </w:rPr>
        <w:t>32.4 million (2020)</w:t>
      </w:r>
      <w:r>
        <w:t xml:space="preserve"> and nominal GDP of </w:t>
      </w:r>
      <w:r>
        <w:rPr>
          <w:highlight w:val="yellow"/>
        </w:rPr>
        <w:t>RM1,418.5 billion (2020)</w:t>
      </w:r>
      <w:r>
        <w:t xml:space="preserve"> [MEIF 2023]. Real GDP grew </w:t>
      </w:r>
      <w:r>
        <w:rPr>
          <w:highlight w:val="yellow"/>
        </w:rPr>
        <w:t>4.4% in 2019, fell 5.5% in 2020 and grew 3.1% in 2021</w:t>
      </w:r>
      <w:r>
        <w:t xml:space="preserve"> [DOSM]. </w:t>
      </w:r>
      <w:r>
        <w:rPr>
          <w:highlight w:val="lightGray"/>
        </w:rPr>
        <w:t>[Write 1 sentence on the structure of the economy: which sectors matter for exports and jobs (palm oil, gloves, electronics, tourism), with one figure and source.]</w:t>
      </w:r>
    </w:p>
    <w:p>
      <w:r>
        <w:rPr>
          <w:b/>
        </w:rPr>
        <w:t xml:space="preserve">2. Scale of the pandemic. </w:t>
      </w:r>
      <w:r>
        <w:rPr>
          <w:highlight w:val="lightGray"/>
        </w:rPr>
        <w:t>[Write 2 sentences: when the first Movement Control Order began (</w:t>
      </w:r>
      <w:r>
        <w:rPr>
          <w:highlight w:val="yellow"/>
        </w:rPr>
        <w:t>18 March 2020</w:t>
      </w:r>
      <w:r>
        <w:rPr>
          <w:highlight w:val="lightGray"/>
        </w:rPr>
        <w:t>), how many waves and lockdown phases followed, and what the table shows.]</w:t>
      </w:r>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pPr>
              <w:spacing w:line="240" w:lineRule="auto"/>
            </w:pPr>
            <w:r/>
            <w:r>
              <w:rPr>
                <w:b/>
                <w:sz w:val="18"/>
              </w:rPr>
              <w:t>Indicator</w:t>
            </w:r>
          </w:p>
        </w:tc>
        <w:tc>
          <w:tcPr>
            <w:tcW w:type="dxa" w:w="2493"/>
            <w:shd w:val="clear" w:color="auto" w:fill="D9E2F3"/>
          </w:tcPr>
          <w:p>
            <w:pPr>
              <w:spacing w:line="240" w:lineRule="auto"/>
            </w:pPr>
            <w:r/>
            <w:r>
              <w:rPr>
                <w:b/>
                <w:sz w:val="18"/>
              </w:rPr>
              <w:t>Value</w:t>
            </w:r>
          </w:p>
        </w:tc>
        <w:tc>
          <w:tcPr>
            <w:tcW w:type="dxa" w:w="2493"/>
            <w:shd w:val="clear" w:color="auto" w:fill="D9E2F3"/>
          </w:tcPr>
          <w:p>
            <w:pPr>
              <w:spacing w:line="240" w:lineRule="auto"/>
            </w:pPr>
            <w:r/>
            <w:r>
              <w:rPr>
                <w:b/>
                <w:sz w:val="18"/>
              </w:rPr>
              <w:t>Date</w:t>
            </w:r>
          </w:p>
        </w:tc>
        <w:tc>
          <w:tcPr>
            <w:tcW w:type="dxa" w:w="2493"/>
            <w:shd w:val="clear" w:color="auto" w:fill="D9E2F3"/>
          </w:tcPr>
          <w:p>
            <w:pPr>
              <w:spacing w:line="240" w:lineRule="auto"/>
            </w:pPr>
            <w:r/>
            <w:r>
              <w:rPr>
                <w:b/>
                <w:sz w:val="18"/>
              </w:rPr>
              <w:t>Source (international source 1 or 2)</w:t>
            </w:r>
          </w:p>
        </w:tc>
      </w:tr>
      <w:tr>
        <w:tc>
          <w:tcPr>
            <w:tcW w:type="dxa" w:w="2493"/>
          </w:tcPr>
          <w:p>
            <w:pPr>
              <w:spacing w:line="240" w:lineRule="auto"/>
            </w:pPr>
            <w:r/>
            <w:r>
              <w:rPr>
                <w:sz w:val="18"/>
              </w:rPr>
              <w:t>Cumulative confirmed cases</w:t>
            </w:r>
          </w:p>
        </w:tc>
        <w:tc>
          <w:tcPr>
            <w:tcW w:type="dxa" w:w="2493"/>
          </w:tcPr>
          <w:p>
            <w:pPr>
              <w:spacing w:line="240" w:lineRule="auto"/>
            </w:pPr>
            <w:r/>
            <w:r>
              <w:rPr>
                <w:sz w:val="18"/>
                <w:highlight w:val="red"/>
              </w:rPr>
              <w:t>GAP: WHO / OWID</w:t>
            </w:r>
          </w:p>
        </w:tc>
        <w:tc>
          <w:tcPr>
            <w:tcW w:type="dxa" w:w="2493"/>
          </w:tcPr>
          <w:p>
            <w:pPr>
              <w:spacing w:line="240" w:lineRule="auto"/>
            </w:pPr>
            <w:r/>
            <w:r>
              <w:rPr>
                <w:sz w:val="18"/>
              </w:rPr>
            </w:r>
          </w:p>
        </w:tc>
        <w:tc>
          <w:tcPr>
            <w:tcW w:type="dxa" w:w="2493"/>
          </w:tcPr>
          <w:p>
            <w:pPr>
              <w:spacing w:line="240" w:lineRule="auto"/>
            </w:pPr>
            <w:r/>
            <w:r>
              <w:rPr>
                <w:sz w:val="18"/>
              </w:rPr>
            </w:r>
          </w:p>
        </w:tc>
      </w:tr>
      <w:tr>
        <w:tc>
          <w:tcPr>
            <w:tcW w:type="dxa" w:w="2493"/>
          </w:tcPr>
          <w:p>
            <w:pPr>
              <w:spacing w:line="240" w:lineRule="auto"/>
            </w:pPr>
            <w:r/>
            <w:r>
              <w:rPr>
                <w:sz w:val="18"/>
              </w:rPr>
              <w:t>Cases per million</w:t>
            </w:r>
          </w:p>
        </w:tc>
        <w:tc>
          <w:tcPr>
            <w:tcW w:type="dxa" w:w="2493"/>
          </w:tcPr>
          <w:p>
            <w:pPr>
              <w:spacing w:line="240" w:lineRule="auto"/>
            </w:pPr>
            <w:r/>
            <w:r>
              <w:rPr>
                <w:sz w:val="18"/>
                <w:highlight w:val="red"/>
              </w:rPr>
              <w:t>GAP: compute from WHO total and population</w:t>
            </w:r>
          </w:p>
        </w:tc>
        <w:tc>
          <w:tcPr>
            <w:tcW w:type="dxa" w:w="2493"/>
          </w:tcPr>
          <w:p>
            <w:pPr>
              <w:spacing w:line="240" w:lineRule="auto"/>
            </w:pPr>
            <w:r/>
            <w:r>
              <w:rPr>
                <w:sz w:val="18"/>
              </w:rPr>
            </w:r>
          </w:p>
        </w:tc>
        <w:tc>
          <w:tcPr>
            <w:tcW w:type="dxa" w:w="2493"/>
          </w:tcPr>
          <w:p>
            <w:pPr>
              <w:spacing w:line="240" w:lineRule="auto"/>
            </w:pPr>
            <w:r/>
            <w:r>
              <w:rPr>
                <w:sz w:val="18"/>
              </w:rPr>
            </w:r>
          </w:p>
        </w:tc>
      </w:tr>
      <w:tr>
        <w:tc>
          <w:tcPr>
            <w:tcW w:type="dxa" w:w="2493"/>
          </w:tcPr>
          <w:p>
            <w:pPr>
              <w:spacing w:line="240" w:lineRule="auto"/>
            </w:pPr>
            <w:r/>
            <w:r>
              <w:rPr>
                <w:sz w:val="18"/>
              </w:rPr>
              <w:t>Cumulative deaths</w:t>
            </w:r>
          </w:p>
        </w:tc>
        <w:tc>
          <w:tcPr>
            <w:tcW w:type="dxa" w:w="2493"/>
          </w:tcPr>
          <w:p>
            <w:pPr>
              <w:spacing w:line="240" w:lineRule="auto"/>
            </w:pPr>
            <w:r/>
            <w:r>
              <w:rPr>
                <w:sz w:val="18"/>
                <w:highlight w:val="red"/>
              </w:rPr>
              <w:t>GAP: WHO / OWID (a tracker shows 37,348 at 13 Apr 2024, secondary)</w:t>
            </w:r>
          </w:p>
        </w:tc>
        <w:tc>
          <w:tcPr>
            <w:tcW w:type="dxa" w:w="2493"/>
          </w:tcPr>
          <w:p>
            <w:pPr>
              <w:spacing w:line="240" w:lineRule="auto"/>
            </w:pPr>
            <w:r/>
            <w:r>
              <w:rPr>
                <w:sz w:val="18"/>
              </w:rPr>
            </w:r>
          </w:p>
        </w:tc>
        <w:tc>
          <w:tcPr>
            <w:tcW w:type="dxa" w:w="2493"/>
          </w:tcPr>
          <w:p>
            <w:pPr>
              <w:spacing w:line="240" w:lineRule="auto"/>
            </w:pPr>
            <w:r/>
            <w:r>
              <w:rPr>
                <w:sz w:val="18"/>
              </w:rPr>
            </w:r>
          </w:p>
        </w:tc>
      </w:tr>
      <w:tr>
        <w:tc>
          <w:tcPr>
            <w:tcW w:type="dxa" w:w="2493"/>
          </w:tcPr>
          <w:p>
            <w:pPr>
              <w:spacing w:line="240" w:lineRule="auto"/>
            </w:pPr>
            <w:r/>
            <w:r>
              <w:rPr>
                <w:sz w:val="18"/>
              </w:rPr>
              <w:t>Deaths per million</w:t>
            </w:r>
          </w:p>
        </w:tc>
        <w:tc>
          <w:tcPr>
            <w:tcW w:type="dxa" w:w="2493"/>
          </w:tcPr>
          <w:p>
            <w:pPr>
              <w:spacing w:line="240" w:lineRule="auto"/>
            </w:pPr>
            <w:r/>
            <w:r>
              <w:rPr>
                <w:sz w:val="18"/>
                <w:highlight w:val="red"/>
              </w:rPr>
              <w:t>GAP</w:t>
            </w:r>
          </w:p>
        </w:tc>
        <w:tc>
          <w:tcPr>
            <w:tcW w:type="dxa" w:w="2493"/>
          </w:tcPr>
          <w:p>
            <w:pPr>
              <w:spacing w:line="240" w:lineRule="auto"/>
            </w:pPr>
            <w:r/>
            <w:r>
              <w:rPr>
                <w:sz w:val="18"/>
              </w:rPr>
            </w:r>
          </w:p>
        </w:tc>
        <w:tc>
          <w:tcPr>
            <w:tcW w:type="dxa" w:w="2493"/>
          </w:tcPr>
          <w:p>
            <w:pPr>
              <w:spacing w:line="240" w:lineRule="auto"/>
            </w:pPr>
            <w:r/>
            <w:r>
              <w:rPr>
                <w:sz w:val="18"/>
              </w:rPr>
            </w:r>
          </w:p>
        </w:tc>
      </w:tr>
      <w:tr>
        <w:tc>
          <w:tcPr>
            <w:tcW w:type="dxa" w:w="2493"/>
          </w:tcPr>
          <w:p>
            <w:pPr>
              <w:spacing w:line="240" w:lineRule="auto"/>
            </w:pPr>
            <w:r/>
            <w:r>
              <w:rPr>
                <w:sz w:val="18"/>
              </w:rPr>
              <w:t>Excess deaths</w:t>
            </w:r>
          </w:p>
        </w:tc>
        <w:tc>
          <w:tcPr>
            <w:tcW w:type="dxa" w:w="2493"/>
          </w:tcPr>
          <w:p>
            <w:pPr>
              <w:spacing w:line="240" w:lineRule="auto"/>
            </w:pPr>
            <w:r/>
            <w:r>
              <w:rPr>
                <w:sz w:val="18"/>
                <w:highlight w:val="red"/>
              </w:rPr>
              <w:t>GAP: choose the Economist/OWID dataset and cite it; published estimates range 7,692 to 48,100</w:t>
            </w:r>
          </w:p>
        </w:tc>
        <w:tc>
          <w:tcPr>
            <w:tcW w:type="dxa" w:w="2493"/>
          </w:tcPr>
          <w:p>
            <w:pPr>
              <w:spacing w:line="240" w:lineRule="auto"/>
            </w:pPr>
            <w:r/>
            <w:r>
              <w:rPr>
                <w:sz w:val="18"/>
              </w:rPr>
            </w:r>
          </w:p>
        </w:tc>
        <w:tc>
          <w:tcPr>
            <w:tcW w:type="dxa" w:w="2493"/>
          </w:tcPr>
          <w:p>
            <w:pPr>
              <w:spacing w:line="240" w:lineRule="auto"/>
            </w:pPr>
            <w:r/>
            <w:r>
              <w:rPr>
                <w:sz w:val="18"/>
              </w:rPr>
            </w:r>
          </w:p>
        </w:tc>
      </w:tr>
      <w:tr>
        <w:tc>
          <w:tcPr>
            <w:tcW w:type="dxa" w:w="2493"/>
          </w:tcPr>
          <w:p>
            <w:pPr>
              <w:spacing w:line="240" w:lineRule="auto"/>
            </w:pPr>
            <w:r/>
            <w:r>
              <w:rPr>
                <w:sz w:val="18"/>
              </w:rPr>
              <w:t>Stringency Index (peak, date, Q2 2020 mean, Q4 2021 mean)</w:t>
            </w:r>
          </w:p>
        </w:tc>
        <w:tc>
          <w:tcPr>
            <w:tcW w:type="dxa" w:w="2493"/>
          </w:tcPr>
          <w:p>
            <w:pPr>
              <w:spacing w:line="240" w:lineRule="auto"/>
            </w:pPr>
            <w:r/>
            <w:r>
              <w:rPr>
                <w:sz w:val="18"/>
                <w:highlight w:val="red"/>
              </w:rPr>
              <w:t>GAP: Oxford tracker via OWID</w:t>
            </w:r>
          </w:p>
        </w:tc>
        <w:tc>
          <w:tcPr>
            <w:tcW w:type="dxa" w:w="2493"/>
          </w:tcPr>
          <w:p>
            <w:pPr>
              <w:spacing w:line="240" w:lineRule="auto"/>
            </w:pPr>
            <w:r/>
            <w:r>
              <w:rPr>
                <w:sz w:val="18"/>
              </w:rPr>
            </w:r>
          </w:p>
        </w:tc>
        <w:tc>
          <w:tcPr>
            <w:tcW w:type="dxa" w:w="2493"/>
          </w:tcPr>
          <w:p>
            <w:pPr>
              <w:spacing w:line="240" w:lineRule="auto"/>
            </w:pPr>
            <w:r/>
            <w:r>
              <w:rPr>
                <w:sz w:val="18"/>
              </w:rPr>
            </w:r>
          </w:p>
        </w:tc>
      </w:tr>
      <w:tr>
        <w:tc>
          <w:tcPr>
            <w:tcW w:type="dxa" w:w="2493"/>
          </w:tcPr>
          <w:p>
            <w:pPr>
              <w:spacing w:line="240" w:lineRule="auto"/>
            </w:pPr>
            <w:r/>
            <w:r>
              <w:rPr>
                <w:sz w:val="18"/>
              </w:rPr>
              <w:t>GDP growth Q2 2020 (yoy)</w:t>
            </w:r>
          </w:p>
        </w:tc>
        <w:tc>
          <w:tcPr>
            <w:tcW w:type="dxa" w:w="2493"/>
          </w:tcPr>
          <w:p>
            <w:pPr>
              <w:spacing w:line="240" w:lineRule="auto"/>
            </w:pPr>
            <w:r/>
            <w:r>
              <w:rPr>
                <w:sz w:val="18"/>
                <w:highlight w:val="yellow"/>
              </w:rPr>
              <w:t>-16.9% (confirm in the DOSM GDP release)</w:t>
            </w:r>
          </w:p>
        </w:tc>
        <w:tc>
          <w:tcPr>
            <w:tcW w:type="dxa" w:w="2493"/>
          </w:tcPr>
          <w:p>
            <w:pPr>
              <w:spacing w:line="240" w:lineRule="auto"/>
            </w:pPr>
            <w:r/>
            <w:r>
              <w:rPr>
                <w:sz w:val="18"/>
                <w:highlight w:val="yellow"/>
              </w:rPr>
              <w:t>Q2 2020</w:t>
            </w:r>
          </w:p>
        </w:tc>
        <w:tc>
          <w:tcPr>
            <w:tcW w:type="dxa" w:w="2493"/>
          </w:tcPr>
          <w:p>
            <w:pPr>
              <w:spacing w:line="240" w:lineRule="auto"/>
            </w:pPr>
            <w:r/>
            <w:r>
              <w:rPr>
                <w:sz w:val="18"/>
              </w:rPr>
              <w:t>DOSM</w:t>
            </w:r>
          </w:p>
        </w:tc>
      </w:tr>
    </w:tbl>
    <w:p>
      <w:pPr>
        <w:spacing w:line="240" w:lineRule="auto"/>
      </w:pPr>
      <w:r>
        <w:rPr>
          <w:sz w:val="8"/>
        </w:rPr>
      </w:r>
    </w:p>
    <w:p>
      <w:r>
        <w:rPr>
          <w:b/>
        </w:rPr>
        <w:t xml:space="preserve">3. Government support. </w:t>
      </w:r>
      <w:r>
        <w:rPr>
          <w:highlight w:val="lightGray"/>
        </w:rPr>
        <w:t xml:space="preserve">[Write 2 sentences: the main packages and what they did.] </w:t>
      </w:r>
      <w:r>
        <w:rPr>
          <w:highlight w:val="yellow"/>
        </w:rPr>
        <w:t>PRIHATIN RM250bn (Mar 2020), PENJANA RM35bn (Jun 2020), PEMULIH RM150bn (Jun 2021); eight packages totalling about RM530bn</w:t>
      </w:r>
      <w:r>
        <w:t xml:space="preserve"> [Ministry of Finance]. </w:t>
      </w:r>
      <w:r>
        <w:rPr>
          <w:highlight w:val="lightGray"/>
        </w:rPr>
        <w:t>[Add one sentence on size relative to GDP, and that actual COVID-19 Fund spending was RM38.0bn in 2020 and RM37.7bn in 2021 (MEIF Table 4.1.4), so the headline total includes guarantees and moratoria. Check this wording against the primary source.]</w:t>
      </w:r>
    </w:p>
    <w:p>
      <w:r>
        <w:rPr>
          <w:b/>
        </w:rPr>
        <w:t xml:space="preserve">4. Goods and services whose prices changed suddenly. </w:t>
      </w:r>
      <w:r>
        <w:rPr>
          <w:highlight w:val="lightGray"/>
        </w:rPr>
        <w:t>[Write 1-2 sentences introducing the table and saying which four markets the team studies and why.]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pPr>
              <w:spacing w:line="240" w:lineRule="auto"/>
            </w:pPr>
            <w:r/>
            <w:r>
              <w:rPr>
                <w:b/>
                <w:sz w:val="18"/>
              </w:rPr>
              <w:t>Market</w:t>
            </w:r>
          </w:p>
        </w:tc>
        <w:tc>
          <w:tcPr>
            <w:tcW w:type="dxa" w:w="1994"/>
            <w:shd w:val="clear" w:color="auto" w:fill="D9E2F3"/>
          </w:tcPr>
          <w:p>
            <w:pPr>
              <w:spacing w:line="240" w:lineRule="auto"/>
            </w:pPr>
            <w:r/>
            <w:r>
              <w:rPr>
                <w:b/>
                <w:sz w:val="18"/>
              </w:rPr>
              <w:t>Shock</w:t>
            </w:r>
          </w:p>
        </w:tc>
        <w:tc>
          <w:tcPr>
            <w:tcW w:type="dxa" w:w="1994"/>
            <w:shd w:val="clear" w:color="auto" w:fill="D9E2F3"/>
          </w:tcPr>
          <w:p>
            <w:pPr>
              <w:spacing w:line="240" w:lineRule="auto"/>
            </w:pPr>
            <w:r/>
            <w:r>
              <w:rPr>
                <w:b/>
                <w:sz w:val="18"/>
              </w:rPr>
              <w:t>Price change</w:t>
            </w:r>
          </w:p>
        </w:tc>
        <w:tc>
          <w:tcPr>
            <w:tcW w:type="dxa" w:w="1994"/>
            <w:shd w:val="clear" w:color="auto" w:fill="D9E2F3"/>
          </w:tcPr>
          <w:p>
            <w:pPr>
              <w:spacing w:line="240" w:lineRule="auto"/>
            </w:pPr>
            <w:r/>
            <w:r>
              <w:rPr>
                <w:b/>
                <w:sz w:val="18"/>
              </w:rPr>
              <w:t>Period</w:t>
            </w:r>
          </w:p>
        </w:tc>
        <w:tc>
          <w:tcPr>
            <w:tcW w:type="dxa" w:w="1994"/>
            <w:shd w:val="clear" w:color="auto" w:fill="D9E2F3"/>
          </w:tcPr>
          <w:p>
            <w:pPr>
              <w:spacing w:line="240" w:lineRule="auto"/>
            </w:pPr>
            <w:r/>
            <w:r>
              <w:rPr>
                <w:b/>
                <w:sz w:val="18"/>
              </w:rPr>
              <w:t>Source</w:t>
            </w:r>
          </w:p>
        </w:tc>
      </w:tr>
      <w:tr>
        <w:tc>
          <w:tcPr>
            <w:tcW w:type="dxa" w:w="1994"/>
          </w:tcPr>
          <w:p>
            <w:pPr>
              <w:spacing w:line="240" w:lineRule="auto"/>
            </w:pPr>
            <w:r/>
            <w:r>
              <w:rPr>
                <w:sz w:val="18"/>
              </w:rPr>
              <w:t>Rubber gloves (export unit value)</w:t>
            </w:r>
          </w:p>
        </w:tc>
        <w:tc>
          <w:tcPr>
            <w:tcW w:type="dxa" w:w="1994"/>
          </w:tcPr>
          <w:p>
            <w:pPr>
              <w:spacing w:line="240" w:lineRule="auto"/>
            </w:pPr>
            <w:r/>
            <w:r>
              <w:rPr>
                <w:sz w:val="18"/>
              </w:rPr>
              <w:t>Demand</w:t>
            </w:r>
          </w:p>
        </w:tc>
        <w:tc>
          <w:tcPr>
            <w:tcW w:type="dxa" w:w="1994"/>
          </w:tcPr>
          <w:p>
            <w:pPr>
              <w:spacing w:line="240" w:lineRule="auto"/>
            </w:pPr>
            <w:r/>
            <w:r>
              <w:rPr>
                <w:sz w:val="18"/>
                <w:highlight w:val="red"/>
              </w:rPr>
              <w:t>GAP</w:t>
            </w:r>
          </w:p>
        </w:tc>
        <w:tc>
          <w:tcPr>
            <w:tcW w:type="dxa" w:w="1994"/>
          </w:tcPr>
          <w:p>
            <w:pPr>
              <w:spacing w:line="240" w:lineRule="auto"/>
            </w:pPr>
            <w:r/>
            <w:r>
              <w:rPr>
                <w:sz w:val="18"/>
              </w:rPr>
              <w:t>Q4 2019 to Q2 2020</w:t>
            </w:r>
          </w:p>
        </w:tc>
        <w:tc>
          <w:tcPr>
            <w:tcW w:type="dxa" w:w="1994"/>
          </w:tcPr>
          <w:p>
            <w:pPr>
              <w:spacing w:line="240" w:lineRule="auto"/>
            </w:pPr>
            <w:r/>
            <w:r>
              <w:rPr>
                <w:sz w:val="18"/>
                <w:highlight w:val="red"/>
              </w:rPr>
              <w:t>GAP: DOSM trade</w:t>
            </w:r>
          </w:p>
        </w:tc>
      </w:tr>
      <w:tr>
        <w:tc>
          <w:tcPr>
            <w:tcW w:type="dxa" w:w="1994"/>
          </w:tcPr>
          <w:p>
            <w:pPr>
              <w:spacing w:line="240" w:lineRule="auto"/>
            </w:pPr>
            <w:r/>
            <w:r>
              <w:rPr>
                <w:sz w:val="18"/>
              </w:rPr>
              <w:t>Restaurants / food and beverage</w:t>
            </w:r>
          </w:p>
        </w:tc>
        <w:tc>
          <w:tcPr>
            <w:tcW w:type="dxa" w:w="1994"/>
          </w:tcPr>
          <w:p>
            <w:pPr>
              <w:spacing w:line="240" w:lineRule="auto"/>
            </w:pPr>
            <w:r/>
            <w:r>
              <w:rPr>
                <w:sz w:val="18"/>
              </w:rPr>
              <w:t>Demand</w:t>
            </w:r>
          </w:p>
        </w:tc>
        <w:tc>
          <w:tcPr>
            <w:tcW w:type="dxa" w:w="1994"/>
          </w:tcPr>
          <w:p>
            <w:pPr>
              <w:spacing w:line="240" w:lineRule="auto"/>
            </w:pPr>
            <w:r/>
            <w:r>
              <w:rPr>
                <w:sz w:val="18"/>
                <w:highlight w:val="yellow"/>
              </w:rPr>
              <w:t>SPPI +1.5% yoy (volume -31.7%)</w:t>
            </w:r>
          </w:p>
        </w:tc>
        <w:tc>
          <w:tcPr>
            <w:tcW w:type="dxa" w:w="1994"/>
          </w:tcPr>
          <w:p>
            <w:pPr>
              <w:spacing w:line="240" w:lineRule="auto"/>
            </w:pPr>
            <w:r/>
            <w:r>
              <w:rPr>
                <w:sz w:val="18"/>
                <w:highlight w:val="yellow"/>
              </w:rPr>
              <w:t>Q2 2020</w:t>
            </w:r>
          </w:p>
        </w:tc>
        <w:tc>
          <w:tcPr>
            <w:tcW w:type="dxa" w:w="1994"/>
          </w:tcPr>
          <w:p>
            <w:pPr>
              <w:spacing w:line="240" w:lineRule="auto"/>
            </w:pPr>
            <w:r/>
            <w:r>
              <w:rPr>
                <w:sz w:val="18"/>
              </w:rPr>
              <w:t>DOSM SPPI / VIS</w:t>
            </w:r>
          </w:p>
        </w:tc>
      </w:tr>
      <w:tr>
        <w:tc>
          <w:tcPr>
            <w:tcW w:type="dxa" w:w="1994"/>
          </w:tcPr>
          <w:p>
            <w:pPr>
              <w:spacing w:line="240" w:lineRule="auto"/>
            </w:pPr>
            <w:r/>
            <w:r>
              <w:rPr>
                <w:sz w:val="18"/>
              </w:rPr>
              <w:t>Crude palm oil</w:t>
            </w:r>
          </w:p>
        </w:tc>
        <w:tc>
          <w:tcPr>
            <w:tcW w:type="dxa" w:w="1994"/>
          </w:tcPr>
          <w:p>
            <w:pPr>
              <w:spacing w:line="240" w:lineRule="auto"/>
            </w:pPr>
            <w:r/>
            <w:r>
              <w:rPr>
                <w:sz w:val="18"/>
              </w:rPr>
              <w:t>Supply (to test)</w:t>
            </w:r>
          </w:p>
        </w:tc>
        <w:tc>
          <w:tcPr>
            <w:tcW w:type="dxa" w:w="1994"/>
          </w:tcPr>
          <w:p>
            <w:pPr>
              <w:spacing w:line="240" w:lineRule="auto"/>
            </w:pPr>
            <w:r/>
            <w:r>
              <w:rPr>
                <w:sz w:val="18"/>
                <w:highlight w:val="red"/>
              </w:rPr>
              <w:t>GAP: MPOB monthly prices</w:t>
            </w:r>
          </w:p>
        </w:tc>
        <w:tc>
          <w:tcPr>
            <w:tcW w:type="dxa" w:w="1994"/>
          </w:tcPr>
          <w:p>
            <w:pPr>
              <w:spacing w:line="240" w:lineRule="auto"/>
            </w:pPr>
            <w:r/>
            <w:r>
              <w:rPr>
                <w:sz w:val="18"/>
              </w:rPr>
              <w:t>Q4 2019 to Q2 2020</w:t>
            </w:r>
          </w:p>
        </w:tc>
        <w:tc>
          <w:tcPr>
            <w:tcW w:type="dxa" w:w="1994"/>
          </w:tcPr>
          <w:p>
            <w:pPr>
              <w:spacing w:line="240" w:lineRule="auto"/>
            </w:pPr>
            <w:r/>
            <w:r>
              <w:rPr>
                <w:sz w:val="18"/>
              </w:rPr>
              <w:t>MPOB</w:t>
            </w:r>
          </w:p>
        </w:tc>
      </w:tr>
      <w:tr>
        <w:tc>
          <w:tcPr>
            <w:tcW w:type="dxa" w:w="1994"/>
          </w:tcPr>
          <w:p>
            <w:pPr>
              <w:spacing w:line="240" w:lineRule="auto"/>
            </w:pPr>
            <w:r/>
            <w:r>
              <w:rPr>
                <w:sz w:val="18"/>
              </w:rPr>
              <w:t>Air passenger transport</w:t>
            </w:r>
          </w:p>
        </w:tc>
        <w:tc>
          <w:tcPr>
            <w:tcW w:type="dxa" w:w="1994"/>
          </w:tcPr>
          <w:p>
            <w:pPr>
              <w:spacing w:line="240" w:lineRule="auto"/>
            </w:pPr>
            <w:r/>
            <w:r>
              <w:rPr>
                <w:sz w:val="18"/>
              </w:rPr>
              <w:t>Supply (to test)</w:t>
            </w:r>
          </w:p>
        </w:tc>
        <w:tc>
          <w:tcPr>
            <w:tcW w:type="dxa" w:w="1994"/>
          </w:tcPr>
          <w:p>
            <w:pPr>
              <w:spacing w:line="240" w:lineRule="auto"/>
            </w:pPr>
            <w:r/>
            <w:r>
              <w:rPr>
                <w:sz w:val="18"/>
                <w:highlight w:val="yellow"/>
              </w:rPr>
              <w:t>SPPI +1.0% qoq</w:t>
            </w:r>
          </w:p>
        </w:tc>
        <w:tc>
          <w:tcPr>
            <w:tcW w:type="dxa" w:w="1994"/>
          </w:tcPr>
          <w:p>
            <w:pPr>
              <w:spacing w:line="240" w:lineRule="auto"/>
            </w:pPr>
            <w:r/>
            <w:r>
              <w:rPr>
                <w:sz w:val="18"/>
                <w:highlight w:val="yellow"/>
              </w:rPr>
              <w:t>Q2 2020</w:t>
            </w:r>
          </w:p>
        </w:tc>
        <w:tc>
          <w:tcPr>
            <w:tcW w:type="dxa" w:w="1994"/>
          </w:tcPr>
          <w:p>
            <w:pPr>
              <w:spacing w:line="240" w:lineRule="auto"/>
            </w:pPr>
            <w:r/>
            <w:r>
              <w:rPr>
                <w:sz w:val="18"/>
              </w:rPr>
              <w:t>DOSM SPPI</w:t>
            </w:r>
          </w:p>
        </w:tc>
      </w:tr>
      <w:tr>
        <w:tc>
          <w:tcPr>
            <w:tcW w:type="dxa" w:w="1994"/>
          </w:tcPr>
          <w:p>
            <w:pPr>
              <w:spacing w:line="240" w:lineRule="auto"/>
            </w:pPr>
            <w:r/>
            <w:r>
              <w:rPr>
                <w:sz w:val="18"/>
              </w:rPr>
              <w:t>Transport (CPI group)</w:t>
            </w:r>
          </w:p>
        </w:tc>
        <w:tc>
          <w:tcPr>
            <w:tcW w:type="dxa" w:w="1994"/>
          </w:tcPr>
          <w:p>
            <w:pPr>
              <w:spacing w:line="240" w:lineRule="auto"/>
            </w:pPr>
            <w:r/>
            <w:r>
              <w:rPr>
                <w:sz w:val="18"/>
              </w:rPr>
              <w:t>Mixed</w:t>
            </w:r>
          </w:p>
        </w:tc>
        <w:tc>
          <w:tcPr>
            <w:tcW w:type="dxa" w:w="1994"/>
          </w:tcPr>
          <w:p>
            <w:pPr>
              <w:spacing w:line="240" w:lineRule="auto"/>
            </w:pPr>
            <w:r/>
            <w:r>
              <w:rPr>
                <w:sz w:val="18"/>
                <w:highlight w:val="yellow"/>
              </w:rPr>
              <w:t>-20.8% yoy</w:t>
            </w:r>
          </w:p>
        </w:tc>
        <w:tc>
          <w:tcPr>
            <w:tcW w:type="dxa" w:w="1994"/>
          </w:tcPr>
          <w:p>
            <w:pPr>
              <w:spacing w:line="240" w:lineRule="auto"/>
            </w:pPr>
            <w:r/>
            <w:r>
              <w:rPr>
                <w:sz w:val="18"/>
                <w:highlight w:val="yellow"/>
              </w:rPr>
              <w:t>May 2020</w:t>
            </w:r>
          </w:p>
        </w:tc>
        <w:tc>
          <w:tcPr>
            <w:tcW w:type="dxa" w:w="1994"/>
          </w:tcPr>
          <w:p>
            <w:pPr>
              <w:spacing w:line="240" w:lineRule="auto"/>
            </w:pPr>
            <w:r/>
            <w:r>
              <w:rPr>
                <w:sz w:val="18"/>
              </w:rPr>
              <w:t>DOSM CPI</w:t>
            </w:r>
          </w:p>
        </w:tc>
      </w:tr>
    </w:tbl>
    <w:p>
      <w:pPr>
        <w:spacing w:line="240" w:lineRule="auto"/>
      </w:pPr>
      <w:r>
        <w:rPr>
          <w:sz w:val="8"/>
        </w:rPr>
      </w:r>
    </w:p>
    <w:p>
      <w:r>
        <w:rPr>
          <w:b/>
        </w:rPr>
        <w:t xml:space="preserve">5. Why they matter. </w:t>
      </w:r>
      <w:r>
        <w:rPr>
          <w:highlight w:val="lightGray"/>
        </w:rPr>
        <w:t>[Write 1-2 sentences per market, each with one figure: for social well-being (health, food, jobs, access) and for the economy (exports, employment, share of GDP). Do not claim a number you have not sourced.]</w:t>
      </w:r>
    </w:p>
    <w:p>
      <w:pPr>
        <w:spacing w:line="240" w:lineRule="auto"/>
      </w:pPr>
      <w:r>
        <w:rPr>
          <w:b/>
          <w:sz w:val="20"/>
        </w:rPr>
        <w:t xml:space="preserve">References. </w:t>
      </w:r>
      <w:r>
        <w:rPr>
          <w:sz w:val="20"/>
        </w:rPr>
        <w:t>List every source in one style: WHO COVID-19 dashboard; Our World in Data / Oxford COVID-19 Government Response Tracker; DOSM Malaysia Economic Performance 2020 and 2021; Ministry of Economy, The Malaysian Economy in Figures 2023; Ministry of Finance stimulus releases; Bank Negara Malaysia, Economic, Monetary and Financial Developments in 2021.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