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PALOMINO HERNANDEZ AARON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SALOMON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JENKINS GARCIA ARTHUR RICHARD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OLVERA HORACIO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DIAZ ERIC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Francisco Eduardo Vargas Olvera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