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LECTURA, EXPRESIÓN ORAL Y ESCRITA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19.4%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13.9%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8.3%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LÓGICA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11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Mayeli Ochoa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Claudia Leonor Rosas Aguilar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LECTURA, EXPRESIÓN ORAL Y ESCRITA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Jorge Luis Morales Vallejo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TECNOLOGÍAS DE LA INFORMACIÓN Y LA COMUNICACIÓN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Mayra Iliana Herrera Serrano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ÁLGEBRA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Victorino Juventino González Altamirano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QUÍMICA 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Magda Bexabe García Sánchez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8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3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20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Laura Elena Mendoza Velazquez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