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1DM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44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ÁLGEBRA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7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15.9%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TECNOLOGÍAS DE LA INFORMACIÓN Y LA COMUNICACIÓN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13.6%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LÓGICA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9.1%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LECTURA, EXPRESIÓN ORAL Y ESCRITA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6.8%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QUÍMICA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4.5%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0.0%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ÁLGEBRA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7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Victorino Juventino González Altamirano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TECNOLOGÍAS DE LA INFORMACIÓN Y LA COMUNICACIÓN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Mayra Iliana Herrera Serrano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LÓGICA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4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Mayeli Ochoa Martínez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LECTURA, EXPRESIÓN ORAL Y ESCRITA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Anél Moreno Aroyo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QUÍMICA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Magda Bexabe García Sánchez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Claudia Leonor Rosas Aguilar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9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26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Magda Bexabe García Sánchez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