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1DM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DELGADO DAMON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GAMBOA GONZALEZ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LARRACILLA GOMEZ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LUGO ZAYRA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BAUTISTA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BETZABE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OYOLA IVON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TLAXCALA RAMOS CARLOS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TELE HUERTA BETSABETH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