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33.3%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26.2%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2.4%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Victorino Juventino González Altamirano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Anél Moreno Aroyo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