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LETICIA RODRÍGUEZ ROMÁN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AGUILAR TEXCAHUA CRISTHIAN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ESPINOSA CARRERA ALEXANDER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TEXCAHUA MARIO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IXMATLAHUA HERNANDEZ CRISTIAN FERNANDO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MANTIENE LOS GENERADORES DE CA Y CC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MONGE MIGUEL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MANTIENE LOS MOTORES DE CA Y CC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LOYO ROMERO DIEGO ARMANDO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MANTIENE LOS MOTORES DE CA Y CC</w:t>
              <w:br/>
              <w:t>GEOMETRÍA ANALÍTICA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LORENZO ROSETE ROBERTO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MEDINA LOPEZ SALVADOR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MANTIENE LOS GENERADORES DE CA Y CC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MOLOHUA MIXCOHUA YAHIR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SOLIS JHOSUA LEVY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 JUAN AGUILAR ANGEL FIDEL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TZITZIHUA DE LA CRUZ ADALY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LETICIA RODRÍGUEZ ROMÁN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