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5ALCV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DEGANTE DOMINGUEZ SHARITH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ANALIZA Y FRACCIONA SANGRE CON FINES TRANSFUSIONALES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BERNAL DIEGO OLLIN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ANALIZA Y FRACCIONA SANGRE CON FINES TRANSFUSIONALES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CABRERA YADIRA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ANALIZA Y FRACCIONA SANGRE CON FINES TRANSFUSIONALES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ALONSO NOLASCO MELISSA VIANNEY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ANALIZA Y FRACCIONA SANGRE CON FINES TRANSFUSIONALES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ARIAS BARRAGAN ESDRAS ALAN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ANALIZA Y FRACCIONA SANGRE CON FINES TRANSFUSIONALES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GARCIA LINARES ANDRES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ANALIZA Y FRACCIONA SANGRE CON FINES TRANSFUSIONALES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MANZANET ANDRADE JADE EMILY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ANALIZA Y FRACCIONA SANGRE CON FINES TRANSFUSIONALES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SALGADO ROBERTO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ANALIZA Y FRACCIONA SANGRE CON FINES TRANSFUSIONALES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Marioscar Domínguez Burgos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