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HUESCA GARCIA ALDAIR OMAR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LAS MEDIDAS DE HIGIENE Y SEGURIDAD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