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Alfa de Krippendorff y F1 por tarea y par de codificadores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2"/>
        <w:gridCol w:w="1177"/>
        <w:gridCol w:w="1258"/>
        <w:gridCol w:w="1234"/>
        <w:gridCol w:w="1316"/>
        <w:gridCol w:w="1021"/>
        <w:gridCol w:w="1103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Tarea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Humano–Luna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F1 Humano–Luna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Humano–Haiku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F1 Humano–Haiku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Luna–Haiku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F1 Luna–Haiku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0,913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0,915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0,961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0,834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 (media por concepto)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0,832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Concepto y postura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0,821</w:t>
            </w:r>
          </w:p>
        </w:tc>
      </w:tr>
      <w:tr>
        <w:trPr>
          <w:cantSplit/>
          <w:trHeight w:val="360" w:hRule="auto"/>
        </w:trPr>
        <w:tc>
          <w:tcPr>
            <w:gridSpan w:val="7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Sin ponderar. Bloques evaluados: 359 de 360 (se excluye el bloque irresoluble). F1 equivale al acuerdo específico positivo.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2026-10-10T13:43:53Z</dcterms:modified>
  <cp:category/>
</cp:coreProperties>
</file>