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2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Concordancia entre la referencia humana y Luna-6 por concepto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911"/>
        <w:gridCol w:w="400"/>
        <w:gridCol w:w="1861"/>
        <w:gridCol w:w="1120"/>
        <w:gridCol w:w="1240"/>
        <w:gridCol w:w="700"/>
        <w:gridCol w:w="1661"/>
        <w:gridCol w:w="1433"/>
      </w:tblGrid>
      <w:tr>
        <w:trPr>
          <w:cantSplit/>
          <w:trHeight w:val="587" w:hRule="auto"/>
          <w:tblHeader/>
        </w:trPr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α humano–Luna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IC 95 %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Nivel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F1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α Luna–Haiku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Se incluye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Previsión como mercado, negocio e incentivos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0,60–0,79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0,667–0,80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0,754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0,801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Sí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Necesidad material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0,55–0,76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0,667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Sí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Acuerdos y moderación democrática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0,62–0,84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0,667–0,80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Sí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Capitalización individual como regla de autofinanciamiento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0,58–0,83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0,667–0,80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Sí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Reciprocidad contributiva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0,56–0,81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0,667–0,80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Sí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Igualdad y universalismo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0,38–0,68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0,667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Sí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Ineficiencia y riesgo estatal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0,54–0,83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0,667–0,80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Sí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Propiedad individual de los fondos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0,71–0,92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≥ 0,80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Sí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Solidaridad como deber colectivo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0,38–0,74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0,667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Sí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Conciencia de costos como restricción de gasto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0,47–0,79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0,667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Sí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Ilegitimidad del origen dictatorial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0,74–0,97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≥ 0,80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Sí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Libertad de elección previsional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0,61–0,92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0,667–0,80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Sí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Identidad y pertenencia grupal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0,26–0,66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0,667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Control y responsabilidad individual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0,17–0,66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0,667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Solidaridad intergeneracional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0,37–0,79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0,667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Sí</w:t>
            </w:r>
          </w:p>
        </w:tc>
      </w:tr>
      <w:tr>
        <w:trPr>
          <w:cantSplit/>
          <w:trHeight w:val="572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Actitud del beneficiario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 evaluable</w:t>
            </w:r>
          </w:p>
        </w:tc>
      </w:tr>
      <w:tr>
        <w:trPr>
          <w:cantSplit/>
          <w:trHeight w:val="360" w:hRule="auto"/>
        </w:trPr>
        <w:tc>
          <w:tcPr>
            <w:gridSpan w:val="8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Nota. n: bloques con el concepto en la referencia. IC 95 %: remuestreo de bloques (2.000). Se excluye un concepto si todo su intervalo queda bajo 0,667. Nivel: convenciones de Krippendorff, orientativas.</w:t>
            </w:r>
          </w:p>
        </w:tc>
      </w:tr>
    </w:tbl>
    <w:sectPr>
      <w:pgMar w:header="708" w:bottom="648" w:top="648" w:right="1008" w:left="1008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2026-10-10T13:43:54Z</dcterms:modified>
  <cp:category/>
</cp:coreProperties>
</file>