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la referencia humana y los modelos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2"/>
        <w:gridCol w:w="400"/>
        <w:gridCol w:w="580"/>
        <w:gridCol w:w="580"/>
        <w:gridCol w:w="580"/>
        <w:gridCol w:w="580"/>
        <w:gridCol w:w="1907"/>
        <w:gridCol w:w="2067"/>
        <w:gridCol w:w="954"/>
        <w:gridCol w:w="740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κ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H–L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H–Hk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L–Hk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tres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Mercado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[0,60–0,79]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 [0,67–0,84]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Necesidad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 [0,55–0,77]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0,55 [0,43–0,66]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Acuerdos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 [0,62–0,83]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[0,62–0,83]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Capitalización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 [0,58–0,83]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[0,56–0,80]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Reciprocidad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[0,55–0,81]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[0,60–0,84]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 [0,38–0,67]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[0,54–0,81]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Ineficiencia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[0,54–0,82]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[0,59–0,85]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Propiedad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 [0,70–0,92]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 [0,68–0,89]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 [0,39–0,74]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[0,47–0,79]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0,52 [0,36–0,68]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Ilegitimidad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 [0,75–0,97]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 [0,79–0,98]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 [0,61–0,92]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 [0,61–0,91]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Identidad*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[0,28–0,66]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0,49 [0,26–0,68]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 [0,17–0,68]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[0,19–0,73]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[0,35–0,80]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[0,34–0,80]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360" w:hRule="auto"/>
        </w:trPr>
        <w:tc>
          <w:tcPr>
            <w:gridSpan w:val="10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 n: bloques con el concepto en la referencia (359 evaluados). P, S, F1 y κ (Cohen): par humano–Luna. H: humano; L: Luna-6; Hk: Haiku 5.5; tres: los tres codificadores. IC 95 %: remuestreo de bloques (2.000). * Excluido: todo su intervalo con Luna queda bajo 0,667. Actitud no aparece porque la referencia no lo asigna. Nombres abreviados.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2026-10-10T14:50:33Z</dcterms:modified>
  <cp:category/>
</cp:coreProperties>
</file>