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S4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Concordancia entre la referencia humana y Haiku 5.5 por concepto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11"/>
        <w:gridCol w:w="400"/>
        <w:gridCol w:w="1955"/>
        <w:gridCol w:w="1120"/>
        <w:gridCol w:w="700"/>
        <w:gridCol w:w="1106"/>
        <w:gridCol w:w="1414"/>
        <w:gridCol w:w="1327"/>
      </w:tblGrid>
      <w:tr>
        <w:trPr>
          <w:cantSplit/>
          <w:trHeight w:val="587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α humano–Haiku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IC 95 %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F1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Precisión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Sensibilidad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Se incluiría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Previsión como mercado, negocio e incentivos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0,757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0,66–0,84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0,806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0,734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0,892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Necesidad material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0,43–0,66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Acuerdos y moderación democrática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0,62–0,84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Capitalización individual como regla de autofinanciamiento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0,57–0,80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Reciprocidad contributiva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0,60–0,84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Igualdad y universalismo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0,56–0,82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Ineficiencia y riesgo estatal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0,58–0,85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Propiedad individual de los fondos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0,68–0,89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Solidaridad como deber colectivo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0,46–0,79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Conciencia de costos como restricción de gasto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0,35–0,67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Ilegitimidad del origen dictatorial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0,78–0,98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Libertad de elección previsional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0,61–0,91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Identidad y pertenencia grupal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0,25–0,68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Control y responsabilidad 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0,20–0,72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72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Solidaridad intergeneracional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0,605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0,36–0,79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0,621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0,529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0,750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360" w:hRule="auto"/>
        </w:trPr>
        <w:tc>
          <w:tcPr>
            <w:gridSpan w:val="8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Nota. IC 95 %: remuestreo de bloques (2.000). Misma regla de inclusión que con Luna-6.</w:t>
            </w:r>
          </w:p>
        </w:tc>
      </w:tr>
    </w:tbl>
    <w:sectPr>
      <w:pgMar w:header="708" w:bottom="648" w:top="648" w:right="1008" w:left="1008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2026-10-10T13:44:00Z</dcterms:modified>
  <cp:category/>
</cp:coreProperties>
</file>