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S5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Concordancia entre Luna-6 y Haiku 5.5 en el censo de 3.609 bloques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3"/>
        <w:gridCol w:w="1661"/>
        <w:gridCol w:w="1794"/>
        <w:gridCol w:w="1674"/>
        <w:gridCol w:w="1767"/>
      </w:tblGrid>
      <w:tr>
        <w:trPr>
          <w:cantSplit/>
          <w:trHeight w:val="587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Tarea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α Luna–Haiku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F1 Luna–Haiku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Positivos Luna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Positivos Haiku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Detección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0,908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1.774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1.937</w:t>
            </w:r>
          </w:p>
        </w:tc>
      </w:tr>
      <w:tr>
        <w:trPr>
          <w:cantSplit/>
          <w:trHeight w:val="572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0,796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0,806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2.717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3.237</w:t>
            </w:r>
          </w:p>
        </w:tc>
      </w:tr>
      <w:tr>
        <w:trPr>
          <w:cantSplit/>
          <w:trHeight w:val="360" w:hRule="auto"/>
        </w:trPr>
        <w:tc>
          <w:tcPr>
            <w:gridSpan w:val="5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Nota. Positivos: en detección, bloques con declaraciones; en concepto, asignaciones bloque × concepto. El detalle por concepto está en s5_censo_por_concepto.csv.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2026-10-10T13:44:01Z</dcterms:modified>
  <cp:category/>
</cp:coreProperties>
</file>