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left"/>
        <w:rPr>
          <w:rFonts w:ascii="Arial" w:cs="Arial" w:eastAsia="Arial" w:hAnsi="Arial"/>
          <w:b w:val="1"/>
          <w:bCs w:val="1"/>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2036577</wp:posOffset>
            </wp:positionH>
            <wp:positionV relativeFrom="paragraph">
              <wp:posOffset>90805</wp:posOffset>
            </wp:positionV>
            <wp:extent cx="1570879" cy="871727"/>
            <wp:effectExtent b="0" l="0" r="0" t="0"/>
            <wp:wrapNone/>
            <wp:docPr descr="Facultad de Ciencias Sociales •" id="5" name="image3.jpg"/>
            <a:graphic>
              <a:graphicData uri="http://schemas.openxmlformats.org/drawingml/2006/picture">
                <pic:pic>
                  <pic:nvPicPr>
                    <pic:cNvPr descr="Facultad de Ciencias Sociales •" id="0" name="image3.jpg"/>
                    <pic:cNvPicPr preferRelativeResize="0"/>
                  </pic:nvPicPr>
                  <pic:blipFill>
                    <a:blip r:embed="rId7"/>
                    <a:srcRect b="0" l="0" r="0" t="0"/>
                    <a:stretch>
                      <a:fillRect/>
                    </a:stretch>
                  </pic:blipFill>
                  <pic:spPr>
                    <a:xfrm>
                      <a:off x="0" y="0"/>
                      <a:ext cx="1570879" cy="871727"/>
                    </a:xfrm>
                    <a:prstGeom prst="rect"/>
                    <a:ln/>
                  </pic:spPr>
                </pic:pic>
              </a:graphicData>
            </a:graphic>
          </wp:anchor>
        </w:drawing>
      </w:r>
    </w:p>
    <w:p w:rsidR="00000000" w:rsidDel="00000000" w:rsidP="00000000" w:rsidRDefault="00000000" w:rsidRPr="00000000" w14:paraId="00000002">
      <w:pPr>
        <w:widowControl w:val="0"/>
        <w:spacing w:before="0" w:line="240" w:lineRule="auto"/>
        <w:ind w:left="340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0"/>
        <w:spacing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4"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Universidad de Chile</w:t>
      </w:r>
    </w:p>
    <w:p w:rsidR="00000000" w:rsidDel="00000000" w:rsidP="00000000" w:rsidRDefault="00000000" w:rsidRPr="00000000" w14:paraId="00000009">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Facultad de Ciencias Sociales</w:t>
      </w:r>
    </w:p>
    <w:p w:rsidR="00000000" w:rsidDel="00000000" w:rsidP="00000000" w:rsidRDefault="00000000" w:rsidRPr="00000000" w14:paraId="0000000A">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Departamento de Sociología</w:t>
      </w:r>
    </w:p>
    <w:p w:rsidR="00000000" w:rsidDel="00000000" w:rsidP="00000000" w:rsidRDefault="00000000" w:rsidRPr="00000000" w14:paraId="0000000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Carrera de Sociología</w:t>
      </w:r>
    </w:p>
    <w:p w:rsidR="00000000" w:rsidDel="00000000" w:rsidP="00000000" w:rsidRDefault="00000000" w:rsidRPr="00000000" w14:paraId="0000000C">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widowControl w:val="0"/>
        <w:spacing w:before="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7">
      <w:pPr>
        <w:widowControl w:val="0"/>
        <w:spacing w:before="231" w:line="240" w:lineRule="auto"/>
        <w:jc w:val="center"/>
        <w:rPr>
          <w:rFonts w:ascii="Arial" w:cs="Arial" w:eastAsia="Arial" w:hAnsi="Arial"/>
        </w:rPr>
      </w:pPr>
      <w:r w:rsidDel="00000000" w:rsidR="00000000" w:rsidRPr="00000000">
        <w:rPr>
          <w:rFonts w:ascii="Arial" w:cs="Arial" w:eastAsia="Arial" w:hAnsi="Arial"/>
          <w:rtl w:val="0"/>
        </w:rPr>
        <w:t xml:space="preserve">Memoria para optar al título profesional de Sociólogo/a</w:t>
      </w:r>
    </w:p>
    <w:p w:rsidR="00000000" w:rsidDel="00000000" w:rsidP="00000000" w:rsidRDefault="00000000" w:rsidRPr="00000000" w14:paraId="00000018">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Robustez ideacional de la capitalización individual: coaliciones discursivas de justicia social en el debate previsional chileno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
                <a:graphic>
                  <a:graphicData uri="http://schemas.microsoft.com/office/word/2010/wordprocessingShape">
                    <wps:wsp>
                      <wps:cNvCnPr/>
                      <wps:spPr>
                        <a:xfrm>
                          <a:off x="2217990" y="3776190"/>
                          <a:ext cx="6256020" cy="76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56020" cy="19050"/>
                        </a:xfrm>
                        <a:prstGeom prst="rect"/>
                        <a:ln/>
                      </pic:spPr>
                    </pic:pic>
                  </a:graphicData>
                </a:graphic>
              </wp:anchor>
            </w:drawing>
          </mc:Fallback>
        </mc:AlternateContent>
      </w:r>
    </w:p>
    <w:p w:rsidR="00000000" w:rsidDel="00000000" w:rsidP="00000000" w:rsidRDefault="00000000" w:rsidRPr="00000000" w14:paraId="0000001B">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C">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D">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E">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AUTOR/A: Ismael Aguayo</w:t>
      </w:r>
    </w:p>
    <w:p w:rsidR="00000000" w:rsidDel="00000000" w:rsidP="00000000" w:rsidRDefault="00000000" w:rsidRPr="00000000" w14:paraId="0000001F">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 GUÍA: Juan Carlos Castillo</w:t>
      </w:r>
    </w:p>
    <w:p w:rsidR="00000000" w:rsidDel="00000000" w:rsidP="00000000" w:rsidRDefault="00000000" w:rsidRPr="00000000" w14:paraId="00000020">
      <w:pPr>
        <w:widowControl w:val="0"/>
        <w:spacing w:before="1"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21 de septiembre de 2026</w:t>
      </w:r>
    </w:p>
    <w:p w:rsidR="00000000" w:rsidDel="00000000" w:rsidP="00000000" w:rsidRDefault="00000000" w:rsidRPr="00000000" w14:paraId="00000022">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widowControl w:val="0"/>
        <w:spacing w:before="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Memoria desarrollada en el marco del proyecto de Fondecyt Nº 1250518 y el Centro Nacional de Inteligencia Artificial CENIA FB210017, Financiamiento Basal ANID</w:t>
      </w:r>
    </w:p>
    <w:p w:rsidR="00000000" w:rsidDel="00000000" w:rsidP="00000000" w:rsidRDefault="00000000" w:rsidRPr="00000000" w14:paraId="00000028">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69133774"/>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rn79y9ow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q8nhp3q1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heheehmre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 dimensión moral y normativa en el debate previsional</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62o2edny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Justicia de mercado vs. Justicia política: Los mercados como economías morales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qjuw86t1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La condicionalidad de la seguridad social en la vejez</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o7nfx26kv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Persistencia ideacional y estructuración discursiva</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i7or1q4b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Persistencia ideacional y el rol de las ideas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uetns08a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Las coaliciones discursivas y la hegemonía</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y5w9tfeoao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debate previsional chileno: polos discursivos y actores mediadores</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srgclhb6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Metodología</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f36f2q4m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Datos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rn984wqx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Variables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ndyb2tvd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Estrategia de análisis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0r3akeko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Estrategia de codificación y validación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u6ot81p6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Análisis descriptivo y modelamiento de patrones discursivos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mqoom88k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6rn79y9owgi" w:id="0"/>
      <w:bookmarkEnd w:id="0"/>
      <w:r w:rsidDel="00000000" w:rsidR="00000000" w:rsidRPr="00000000">
        <w:rPr>
          <w:rtl w:val="0"/>
        </w:rPr>
        <w:t xml:space="preserve">Abstract</w:t>
      </w:r>
    </w:p>
    <w:p w:rsidR="00000000" w:rsidDel="00000000" w:rsidP="00000000" w:rsidRDefault="00000000" w:rsidRPr="00000000" w14:paraId="00000061">
      <w:pPr>
        <w:rPr/>
      </w:pPr>
      <w:r w:rsidDel="00000000" w:rsidR="00000000" w:rsidRPr="00000000">
        <w:rPr>
          <w:rtl w:val="0"/>
        </w:rPr>
        <w:t xml:space="preserve">El sistema chileno de pensiones de capitalización individual ha persistido pese a crisis de legitimidad, alta conflictividad social y sucesivos intentos de reforma estructural. Esta investigación analiza las economías morales en disputa en el debate legislativo previsional chileno y examina en qué medida el repertorio asociado a la capitalización individual mantiene su centralidad y alcanza a actores reformistas. Se comparan tres procesos: la creación de la Pensión Garantizada Universal (PGU), Ley N.º 21.419; la ampliación de su universo de focalización, Ley N.º 21.538; y la reforma previsional, Ley N.º 21.735. Esta última constituye el caso principal para estudiar la persistencia y difusión del repertorio durante las discusiones en Sala de 2024 y 2025. Se espera encontrar dos polos discursivos vinculados con la justicia de mercado y la justicia política, junto con posiciones de intermediación de actores de centroizquierda. El primero articularía la propiedad y la capitalización individual con la reciprocidad contributiva, las restricciones de gasto y las justificaciones de la organización privada y mercantil de la previsión; el segundo, la igualdad o el universalismo con la solidaridad intergeneracional. Se espera que la necesidad material actúe como puente entre los repertorios de ambos polos. Las hipótesis comparan la centralidad de estos conceptos entre proyectos y examinan la persistencia del repertorio de capitalización individual y su alcance entre actores inicialmente reformistas. Metodológicamente, el estudio aplica análisis de redes discursivas (DNA) a nueve discusiones en Sala de la Cámara de Diputadas y Diputados y del Senado, que reúnen 1.096 intervenciones elegibles, segmentadas en 3.609 fragmentos. Se combina codificación asistida por grandes modelos de lenguaje y validación manual con análisis de frecuencias, cobertura de actores, redes y modelos logísticos con intercepto por actor. La lectura dirigida de argumentos permite interpretar conjuntamente estos resultados como evidencia sobre la estructuración del debate. Con ello, la investigación busca aportar evidencia sobre el rol de las ideas y la justicia social en la estructuración del debate previsional chileno.</w:t>
      </w:r>
    </w:p>
    <w:p w:rsidR="00000000" w:rsidDel="00000000" w:rsidP="00000000" w:rsidRDefault="00000000" w:rsidRPr="00000000" w14:paraId="00000062">
      <w:pPr>
        <w:rPr/>
      </w:pPr>
      <w:r w:rsidDel="00000000" w:rsidR="00000000" w:rsidRPr="00000000">
        <w:rPr>
          <w:b w:val="1"/>
          <w:bCs w:val="1"/>
          <w:rtl w:val="0"/>
        </w:rPr>
        <w:t xml:space="preserve">Palabras clave:</w:t>
      </w:r>
      <w:r w:rsidDel="00000000" w:rsidR="00000000" w:rsidRPr="00000000">
        <w:rPr>
          <w:rtl w:val="0"/>
        </w:rPr>
        <w:t xml:space="preserve"> economías morales; capitalización individual; coaliciones discursivas; justicia social; análisis de redes discursivas.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n2q8nhp3q1d2" w:id="1"/>
      <w:bookmarkEnd w:id="1"/>
      <w:r w:rsidDel="00000000" w:rsidR="00000000" w:rsidRPr="00000000">
        <w:rPr>
          <w:rtl w:val="0"/>
        </w:rPr>
        <w:t xml:space="preserve">Introducción</w:t>
      </w:r>
    </w:p>
    <w:p w:rsidR="00000000" w:rsidDel="00000000" w:rsidP="00000000" w:rsidRDefault="00000000" w:rsidRPr="00000000" w14:paraId="00000065">
      <w:pPr>
        <w:rPr/>
      </w:pPr>
      <w:r w:rsidDel="00000000" w:rsidR="00000000" w:rsidRPr="00000000">
        <w:rPr>
          <w:rtl w:val="0"/>
        </w:rPr>
        <w:t xml:space="preserve">Los sistemas de pensiones constituyen una de las instituciones de protección social más determinantes en el ciclo de vida, al organizar la distribución de recursos en la vejez y al proteger a las personas frente a dificultades económicas </w:t>
      </w:r>
      <w:r w:rsidDel="00000000" w:rsidR="00000000" w:rsidRPr="00000000">
        <w:rPr>
          <w:rtl w:val="0"/>
        </w:rPr>
        <w:t xml:space="preserve">(Ebbinghaus &amp; Wiß, 2024)</w:t>
      </w:r>
      <w:r w:rsidDel="00000000" w:rsidR="00000000" w:rsidRPr="00000000">
        <w:rPr>
          <w:rtl w:val="0"/>
        </w:rPr>
        <w:t xml:space="preserve">.</w:t>
      </w:r>
      <w:r w:rsidDel="00000000" w:rsidR="00000000" w:rsidRPr="00000000">
        <w:rPr>
          <w:rtl w:val="0"/>
        </w:rPr>
        <w:t xml:space="preserve"> Desde la sociología de la justicia, las políticas sociales cristalizan concepciones normativas sobre qué se considera una distribución legítima del bienestar, y esas concepciones se vuelven especialmente visibles cuando una reforma cuestiona el equilibrio entre Estado, mercado y familia </w:t>
      </w:r>
      <w:r w:rsidDel="00000000" w:rsidR="00000000" w:rsidRPr="00000000">
        <w:rPr>
          <w:rtl w:val="0"/>
        </w:rPr>
        <w:t xml:space="preserve">(Esping-Andersen, 1990; Liebig &amp; Sauer, 2016; Sachweh, 2016)</w:t>
      </w:r>
      <w:r w:rsidDel="00000000" w:rsidR="00000000" w:rsidRPr="00000000">
        <w:rPr>
          <w:rtl w:val="0"/>
        </w:rPr>
        <w:t xml:space="preserve">. En el caso de las pensiones, esta disputa puede organizarse en torno a la tensión entre la </w:t>
      </w:r>
      <w:r w:rsidDel="00000000" w:rsidR="00000000" w:rsidRPr="00000000">
        <w:rPr>
          <w:i w:val="1"/>
          <w:iCs w:val="1"/>
          <w:rtl w:val="0"/>
        </w:rPr>
        <w:t xml:space="preserve">justicia de mercado</w:t>
      </w:r>
      <w:r w:rsidDel="00000000" w:rsidR="00000000" w:rsidRPr="00000000">
        <w:rPr>
          <w:rtl w:val="0"/>
        </w:rPr>
        <w:t xml:space="preserve">, que legitima la asignación de beneficios según el esfuerzo, la contribución y la responsabilidad individual, y la </w:t>
      </w:r>
      <w:r w:rsidDel="00000000" w:rsidR="00000000" w:rsidRPr="00000000">
        <w:rPr>
          <w:i w:val="1"/>
          <w:iCs w:val="1"/>
          <w:rtl w:val="0"/>
        </w:rPr>
        <w:t xml:space="preserve">justicia política</w:t>
      </w:r>
      <w:r w:rsidDel="00000000" w:rsidR="00000000" w:rsidRPr="00000000">
        <w:rPr>
          <w:rtl w:val="0"/>
        </w:rPr>
        <w:t xml:space="preserve">, que enfatiza la igualdad, la necesidad y la intervención colectiva frente a los riesgos sociales </w:t>
      </w:r>
      <w:r w:rsidDel="00000000" w:rsidR="00000000" w:rsidRPr="00000000">
        <w:rPr>
          <w:rtl w:val="0"/>
        </w:rPr>
        <w:t xml:space="preserve">(Lane, 1986)</w:t>
      </w:r>
      <w:r w:rsidDel="00000000" w:rsidR="00000000" w:rsidRPr="00000000">
        <w:rPr>
          <w:rtl w:val="0"/>
        </w:rPr>
        <w:t xml:space="preserve">. Esta investigación analiza la estructuración discursiva de los debates legislativos previsionales chilenos de 2022–2025, entendidos como arenas en las que distintos actores movilizan concepciones de justicia social y criterios de merecimiento para defender, reformar o disputar la capitalización individual.</w:t>
      </w:r>
    </w:p>
    <w:p w:rsidR="00000000" w:rsidDel="00000000" w:rsidP="00000000" w:rsidRDefault="00000000" w:rsidRPr="00000000" w14:paraId="00000066">
      <w:pPr>
        <w:rPr/>
      </w:pPr>
      <w:r w:rsidDel="00000000" w:rsidR="00000000" w:rsidRPr="00000000">
        <w:rPr>
          <w:rtl w:val="0"/>
        </w:rPr>
        <w:t xml:space="preserve">Chile resulta un caso emblemático para examinar esta disputa normativa. A partir de la reforma de 1981, su sistema previsional se organizó en torno a cuentas individuales administradas por privados. Este esquema desplazó los principios de colectivismo y solidaridad, convirtiéndose en un ejemplo paradigmático de privatización y comodificación del bienestar </w:t>
      </w:r>
      <w:r w:rsidDel="00000000" w:rsidR="00000000" w:rsidRPr="00000000">
        <w:rPr>
          <w:rtl w:val="0"/>
        </w:rPr>
        <w:t xml:space="preserve">(Alemparte, 2025; Borzutzky, 2005; Mesa-Lago &amp; Bertranou, 2016)</w:t>
      </w:r>
      <w:r w:rsidDel="00000000" w:rsidR="00000000" w:rsidRPr="00000000">
        <w:rPr>
          <w:rtl w:val="0"/>
        </w:rPr>
        <w:t xml:space="preserve">. Históricamente, este diseño ha sido cuestionado por sus bajas pensiones, desigualdades de género y de clase, persistiendo institucionalmente pese a la alta conflictividad social y a sucesivos intentos de reforma </w:t>
      </w:r>
      <w:r w:rsidDel="00000000" w:rsidR="00000000" w:rsidRPr="00000000">
        <w:rPr>
          <w:rtl w:val="0"/>
        </w:rPr>
        <w:t xml:space="preserve">(Borzutzky, 2019; Larrañaga, 2024; Rozas &amp; Maillet, 2019)</w:t>
      </w:r>
      <w:r w:rsidDel="00000000" w:rsidR="00000000" w:rsidRPr="00000000">
        <w:rPr>
          <w:rtl w:val="0"/>
        </w:rPr>
        <w:t xml:space="preserve">. </w:t>
      </w:r>
      <w:r w:rsidDel="00000000" w:rsidR="00000000" w:rsidRPr="00000000">
        <w:rPr>
          <w:rtl w:val="0"/>
        </w:rPr>
        <w:t xml:space="preserve">En los últimos años, el estallido social de 2019, los retiros de fondos previsionales durante la pandemia y la discusión constitucional reactivaron el conflicto sobre la propiedad individual, la solidaridad, el mérito y el rol del Estado, desplazando el debate previsional hacia una disputa explícita por los fundamentos morales del sistema </w:t>
      </w:r>
      <w:r w:rsidDel="00000000" w:rsidR="00000000" w:rsidRPr="00000000">
        <w:rPr>
          <w:rtl w:val="0"/>
        </w:rPr>
        <w:t xml:space="preserve">(Barozet, 2025; Kay &amp; Borzutzky, 2022; Rozas-Bugueño &amp; Maillet, 2024)</w:t>
      </w:r>
      <w:r w:rsidDel="00000000" w:rsidR="00000000" w:rsidRPr="00000000">
        <w:rPr>
          <w:rtl w:val="0"/>
        </w:rPr>
        <w:t xml:space="preserve">. En 2022 se creó la Pensión Garantizada Universal (PGU), un beneficio no contributivo financiado por el Estado, cuyo universo de focalización se amplió en 2023 (</w:t>
      </w:r>
      <w:hyperlink r:id="rId9">
        <w:r w:rsidDel="00000000" w:rsidR="00000000" w:rsidRPr="00000000">
          <w:rPr>
            <w:color w:val="1155cc"/>
            <w:u w:val="single"/>
            <w:rtl w:val="0"/>
          </w:rPr>
          <w:t xml:space="preserve">Ley N.º 21.419</w:t>
        </w:r>
      </w:hyperlink>
      <w:r w:rsidDel="00000000" w:rsidR="00000000" w:rsidRPr="00000000">
        <w:rPr>
          <w:rtl w:val="0"/>
        </w:rPr>
        <w:t xml:space="preserve">; </w:t>
      </w:r>
      <w:hyperlink r:id="rId10">
        <w:r w:rsidDel="00000000" w:rsidR="00000000" w:rsidRPr="00000000">
          <w:rPr>
            <w:color w:val="1155cc"/>
            <w:u w:val="single"/>
            <w:rtl w:val="0"/>
          </w:rPr>
          <w:t xml:space="preserve">Ley N.º 21.538</w:t>
        </w:r>
      </w:hyperlink>
      <w:r w:rsidDel="00000000" w:rsidR="00000000" w:rsidRPr="00000000">
        <w:rPr>
          <w:rtl w:val="0"/>
        </w:rPr>
        <w:t xml:space="preserve">). L</w:t>
      </w:r>
      <w:r w:rsidDel="00000000" w:rsidR="00000000" w:rsidRPr="00000000">
        <w:rPr>
          <w:rtl w:val="0"/>
        </w:rPr>
        <w:t xml:space="preserve">a reforma promovida por el gobierno de Gabriel Boric en 2022 impulsó una transformación estructural mediante la creación de un sistema mixto y de nuevos componentes de solidaridad, pero la Ley N° 21.735 aprobada en 2025 mantuvo la centralidad de la capitalización individual y de la administración privada de los fondos </w:t>
      </w:r>
      <w:r w:rsidDel="00000000" w:rsidR="00000000" w:rsidRPr="00000000">
        <w:rPr>
          <w:rtl w:val="0"/>
        </w:rPr>
        <w:t xml:space="preserve">(Vela, 2025)</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Hasta ahora, las investigaciones sobre pensiones en Chile se han enfocado en el diseño institucional y la trayectoria política del sistema </w:t>
      </w:r>
      <w:r w:rsidDel="00000000" w:rsidR="00000000" w:rsidRPr="00000000">
        <w:rPr>
          <w:rtl w:val="0"/>
        </w:rPr>
        <w:t xml:space="preserve">(Borzutzky, 2005, 2019; Mesa-Lago &amp; Bertranou, 2016)</w:t>
      </w:r>
      <w:r w:rsidDel="00000000" w:rsidR="00000000" w:rsidRPr="00000000">
        <w:rPr>
          <w:rtl w:val="0"/>
        </w:rPr>
        <w:t xml:space="preserve">, sus resultados financieros y tasas de reemplazo </w:t>
      </w:r>
      <w:r w:rsidDel="00000000" w:rsidR="00000000" w:rsidRPr="00000000">
        <w:rPr>
          <w:rtl w:val="0"/>
        </w:rPr>
        <w:t xml:space="preserve">(Benavides &amp; Valdés, 2018; Larrañaga, 2024)</w:t>
      </w:r>
      <w:r w:rsidDel="00000000" w:rsidR="00000000" w:rsidRPr="00000000">
        <w:rPr>
          <w:rtl w:val="0"/>
        </w:rPr>
        <w:t xml:space="preserve">, las brechas socioeconómicas y de género </w:t>
      </w:r>
      <w:r w:rsidDel="00000000" w:rsidR="00000000" w:rsidRPr="00000000">
        <w:rPr>
          <w:rtl w:val="0"/>
        </w:rPr>
        <w:t xml:space="preserve">(Parada-Contzen, 2023)</w:t>
      </w:r>
      <w:r w:rsidDel="00000000" w:rsidR="00000000" w:rsidRPr="00000000">
        <w:rPr>
          <w:rtl w:val="0"/>
        </w:rPr>
        <w:t xml:space="preserve">, las movilizaciones sociales contra las AFP </w:t>
      </w:r>
      <w:r w:rsidDel="00000000" w:rsidR="00000000" w:rsidRPr="00000000">
        <w:rPr>
          <w:rtl w:val="0"/>
        </w:rPr>
        <w:t xml:space="preserve">(López-González &amp; Vélez-Maya, 2025; Rozas &amp; Maillet, 2019)</w:t>
      </w:r>
      <w:r w:rsidDel="00000000" w:rsidR="00000000" w:rsidRPr="00000000">
        <w:rPr>
          <w:rtl w:val="0"/>
        </w:rPr>
        <w:t xml:space="preserve">, las preferencias ciudadanas sobre diseños previsionales y administración de fondos </w:t>
      </w:r>
      <w:r w:rsidDel="00000000" w:rsidR="00000000" w:rsidRPr="00000000">
        <w:rPr>
          <w:rtl w:val="0"/>
        </w:rPr>
        <w:t xml:space="preserve">(Domínguez, 2017; Parada-Contzen &amp; Sanhueza, 2025)</w:t>
      </w:r>
      <w:r w:rsidDel="00000000" w:rsidR="00000000" w:rsidRPr="00000000">
        <w:rPr>
          <w:rtl w:val="0"/>
        </w:rPr>
        <w:t xml:space="preserve">, las actitudes frente a la justicia de mercado y el mérito previsional </w:t>
      </w:r>
      <w:r w:rsidDel="00000000" w:rsidR="00000000" w:rsidRPr="00000000">
        <w:rPr>
          <w:rtl w:val="0"/>
        </w:rPr>
        <w:t xml:space="preserve">(Castillo et al., 2019, 2025, 2026)</w:t>
      </w:r>
      <w:r w:rsidDel="00000000" w:rsidR="00000000" w:rsidRPr="00000000">
        <w:rPr>
          <w:rtl w:val="0"/>
        </w:rPr>
        <w:t xml:space="preserve">, y los discursos mediáticos o expertos en torno a la reforma </w:t>
      </w:r>
      <w:r w:rsidDel="00000000" w:rsidR="00000000" w:rsidRPr="00000000">
        <w:rPr>
          <w:rtl w:val="0"/>
        </w:rPr>
        <w:t xml:space="preserve">(Campos-Rojas &amp; González-Arias, 2022; González Arias &amp; Campos Rojas, 2020)</w:t>
      </w:r>
      <w:r w:rsidDel="00000000" w:rsidR="00000000" w:rsidRPr="00000000">
        <w:rPr>
          <w:rtl w:val="0"/>
        </w:rPr>
        <w:t xml:space="preserve">. Esta literatura ha mostrado que la crítica a las bajas pensiones convive con una adhesión persistente a criterios meritocráticos y contributivos, especialmente en torno a la propiedad de los fondos y al vínculo entre la cotización individual y el beneficio futuro </w:t>
      </w:r>
      <w:r w:rsidDel="00000000" w:rsidR="00000000" w:rsidRPr="00000000">
        <w:rPr>
          <w:rtl w:val="0"/>
        </w:rPr>
        <w:t xml:space="preserve">(Castillo et al., 2019; Kay &amp; Borzutzky, 2022)</w:t>
      </w:r>
      <w:r w:rsidDel="00000000" w:rsidR="00000000" w:rsidRPr="00000000">
        <w:rPr>
          <w:rtl w:val="0"/>
        </w:rPr>
        <w:t xml:space="preserve">. Sin embargo, se sabe menos sobre cómo estos principios de justicia se articulan en el debate legislativo, cómo se forman coaliciones discursivas en torno a ellos y qué repertorios mantienen su centralidad o se extienden a actores reformistas. El presente estudio aborda esa brecha analizando el debate parlamentario de las últimas reformas previsionales chilenas como un espacio privilegiado para observar la disputa por la hegemonía discursiva.</w:t>
      </w:r>
    </w:p>
    <w:p w:rsidR="00000000" w:rsidDel="00000000" w:rsidP="00000000" w:rsidRDefault="00000000" w:rsidRPr="00000000" w14:paraId="00000068">
      <w:pPr>
        <w:rPr/>
      </w:pPr>
      <w:r w:rsidDel="00000000" w:rsidR="00000000" w:rsidRPr="00000000">
        <w:rPr>
          <w:rtl w:val="0"/>
        </w:rPr>
        <w:t xml:space="preserve">El argumento del estudio es que la economía moral de la capitalización individual puede persistir en el debate gracias a la centralidad de las concepciones de justicia que la sustentan y al reconocimiento de estas por parte de actores que impulsan reformas. La perspectiva de las economías morales permite examinar las combinaciones de principios distributivos que fundamentan el apoyo a los mercados y a la protección colectiva </w:t>
      </w:r>
      <w:r w:rsidDel="00000000" w:rsidR="00000000" w:rsidRPr="00000000">
        <w:rPr>
          <w:rtl w:val="0"/>
        </w:rPr>
        <w:t xml:space="preserve">(Fourcade &amp; Healy, 2007; Koos &amp; Sachweh, 2019)</w:t>
      </w:r>
      <w:r w:rsidDel="00000000" w:rsidR="00000000" w:rsidRPr="00000000">
        <w:rPr>
          <w:rtl w:val="0"/>
        </w:rPr>
        <w:t xml:space="preserve">. En el caso previsional, interesa observar cómo las ideas vinculadas a la propiedad individual y el autofinanciamiento se articulan con la reciprocidad contributiva, las restricciones de gasto y las justificaciones de la organización privada y mercantil de la previsión, así como su relación con la igualdad, la solidaridad intergeneracional y la necesidad. Su persistencia se examina a través de la </w:t>
      </w:r>
      <w:r w:rsidDel="00000000" w:rsidR="00000000" w:rsidRPr="00000000">
        <w:rPr>
          <w:i w:val="1"/>
          <w:iCs w:val="1"/>
          <w:rtl w:val="0"/>
        </w:rPr>
        <w:t xml:space="preserve">estructuración discursiva</w:t>
      </w:r>
      <w:r w:rsidDel="00000000" w:rsidR="00000000" w:rsidRPr="00000000">
        <w:rPr>
          <w:rtl w:val="0"/>
        </w:rPr>
        <w:t xml:space="preserve">: la capacidad de un repertorio para establecer las categorías y premisas de las que depende la credibilidad de los actores al formular sus propuestas </w:t>
      </w:r>
      <w:r w:rsidDel="00000000" w:rsidR="00000000" w:rsidRPr="00000000">
        <w:rPr>
          <w:rtl w:val="0"/>
        </w:rPr>
        <w:t xml:space="preserve">(Hajer, 1997)</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La pregunta de investigación es: ¿cómo se articulan las economías morales en disputa en los debates legislativos previsionales chilenos de 2022–2025 y en qué medida el repertorio asociado a la capitalización individual mantiene su centralidad y alcanza a actores reformistas? La investigación comienza evaluando la existencia de dos polos discursivos vinculados a la justicia de mercado y a la justicia política (H1a), así como el rol de intermediación de actores de centroizquierda y del criterio de necesidad material (H1b). Luego, compara la centralidad y el alcance de los conceptos entre los tres proyectos (H2), y examina su persistencia durante la reforma de la Ley N.º 21.735 (H3) y la ampliación del apoyo al repertorio de capitalización individual entre actores inicialmente reformistas (H4).</w:t>
      </w:r>
    </w:p>
    <w:p w:rsidR="00000000" w:rsidDel="00000000" w:rsidP="00000000" w:rsidRDefault="00000000" w:rsidRPr="00000000" w14:paraId="0000006A">
      <w:pPr>
        <w:rPr/>
      </w:pPr>
      <w:r w:rsidDel="00000000" w:rsidR="00000000" w:rsidRPr="00000000">
        <w:rPr>
          <w:rtl w:val="0"/>
        </w:rPr>
        <w:t xml:space="preserve">El estudio aplica análisis de redes discursivas (Leifeld, 2017, 2020) a los tres procesos legislativos, con codificación asistida por grandes modelos de lenguaje (LLM), validación manual y lectura de argumentos (Hayes, 2025). Primero, se identifican coaliciones y conceptos centrales en el debate legislativo; luego, se comparan su presencia y apoyo entre proyectos de ley mediante modelos logísticos; finalmente, se examina la persistencia y difusión del repertorio de capitalización individual durante la reforma. Con ello, el estudio realiza tres contribuciones: 1) aporta evidencia sobre las concepciones de justicia que organizan el conflicto previsional chileno; 2) vincula el estudio de las economías morales con el análisis relacional de coaliciones y repertorios normativos; y 3) propone una metodología cualitativa-computacional de codificación asistida por inteligencia artificial e interpretación sociológica para analizar la deliberación legislativa.</w:t>
      </w:r>
    </w:p>
    <w:p w:rsidR="00000000" w:rsidDel="00000000" w:rsidP="00000000" w:rsidRDefault="00000000" w:rsidRPr="00000000" w14:paraId="0000006B">
      <w:pPr>
        <w:rPr/>
      </w:pPr>
      <w:r w:rsidDel="00000000" w:rsidR="00000000" w:rsidRPr="00000000">
        <w:rPr>
          <w:rtl w:val="0"/>
        </w:rPr>
        <w:t xml:space="preserve">El presente manuscrito se organiza de la siguiente manera. Las secciones 1 a 3 desarrollan los antecedentes conceptuales y empíricos y derivan las expectativas del estudio. La sección 4 detalla los datos, las variables y la estrategia de análisis. La sección 5 presenta los resultados del estudio. Por último, las secciones 5 y 6 abordan la discusión con la literatura especializada y las principales limitaciones y propuestas de próximos estudios, respectivamente.</w:t>
      </w:r>
    </w:p>
    <w:p w:rsidR="00000000" w:rsidDel="00000000" w:rsidP="00000000" w:rsidRDefault="00000000" w:rsidRPr="00000000" w14:paraId="0000006C">
      <w:pPr>
        <w:pStyle w:val="Heading2"/>
        <w:spacing w:before="200" w:line="360" w:lineRule="auto"/>
        <w:rPr>
          <w:rFonts w:ascii="Times New Roman" w:cs="Times New Roman" w:eastAsia="Times New Roman" w:hAnsi="Times New Roman"/>
        </w:rPr>
      </w:pPr>
      <w:bookmarkStart w:colFirst="0" w:colLast="0" w:name="_eheheehmreif" w:id="2"/>
      <w:bookmarkEnd w:id="2"/>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La dimensión moral y normativa en el debate previsional</w:t>
      </w:r>
    </w:p>
    <w:p w:rsidR="00000000" w:rsidDel="00000000" w:rsidP="00000000" w:rsidRDefault="00000000" w:rsidRPr="00000000" w14:paraId="0000006D">
      <w:pPr>
        <w:pStyle w:val="Heading3"/>
        <w:keepNext w:val="0"/>
        <w:keepLines w:val="0"/>
        <w:rPr/>
      </w:pPr>
      <w:bookmarkStart w:colFirst="0" w:colLast="0" w:name="_me62o2ednydh" w:id="3"/>
      <w:bookmarkEnd w:id="3"/>
      <w:r w:rsidDel="00000000" w:rsidR="00000000" w:rsidRPr="00000000">
        <w:rPr>
          <w:sz w:val="26"/>
          <w:szCs w:val="26"/>
          <w:rtl w:val="0"/>
        </w:rPr>
        <w:t xml:space="preserve">1</w:t>
      </w:r>
      <w:r w:rsidDel="00000000" w:rsidR="00000000" w:rsidRPr="00000000">
        <w:rPr>
          <w:rtl w:val="0"/>
        </w:rPr>
        <w:t xml:space="preserve">.1. Justicia de mercado vs. Justicia política: Los mercados como economías morales</w:t>
      </w:r>
    </w:p>
    <w:p w:rsidR="00000000" w:rsidDel="00000000" w:rsidP="00000000" w:rsidRDefault="00000000" w:rsidRPr="00000000" w14:paraId="0000006E">
      <w:pPr>
        <w:rPr/>
      </w:pPr>
      <w:r w:rsidDel="00000000" w:rsidR="00000000" w:rsidRPr="00000000">
        <w:rPr>
          <w:rtl w:val="0"/>
        </w:rPr>
        <w:t xml:space="preserve">Los arreglos del Estado de bienestar operan como la cristalización institucional de un orden moral </w:t>
      </w:r>
      <w:r w:rsidDel="00000000" w:rsidR="00000000" w:rsidRPr="00000000">
        <w:rPr>
          <w:rtl w:val="0"/>
        </w:rPr>
        <w:t xml:space="preserve">(Sachweh, 2016)</w:t>
      </w:r>
      <w:r w:rsidDel="00000000" w:rsidR="00000000" w:rsidRPr="00000000">
        <w:rPr>
          <w:rtl w:val="0"/>
        </w:rPr>
        <w:t xml:space="preserve">. Sus políticas sociales poseen una orientación normativa inherente que resuena con los valores de la ciudadanía </w:t>
      </w:r>
      <w:r w:rsidDel="00000000" w:rsidR="00000000" w:rsidRPr="00000000">
        <w:rPr>
          <w:rtl w:val="0"/>
        </w:rPr>
        <w:t xml:space="preserve">(Schmidt, 2008)</w:t>
      </w:r>
      <w:r w:rsidDel="00000000" w:rsidR="00000000" w:rsidRPr="00000000">
        <w:rPr>
          <w:rtl w:val="0"/>
        </w:rPr>
        <w:t xml:space="preserve">. </w:t>
      </w:r>
      <w:r w:rsidDel="00000000" w:rsidR="00000000" w:rsidRPr="00000000">
        <w:rPr>
          <w:rtl w:val="0"/>
        </w:rPr>
        <w:t xml:space="preserve">Los mercados también constituyen proyectos morales que producen y movilizan valoraciones sobre las personas y sus prácticas </w:t>
      </w:r>
      <w:r w:rsidDel="00000000" w:rsidR="00000000" w:rsidRPr="00000000">
        <w:rPr>
          <w:rtl w:val="0"/>
        </w:rPr>
        <w:t xml:space="preserve">(Fourcade &amp; Healy, 2007)</w:t>
      </w:r>
      <w:r w:rsidDel="00000000" w:rsidR="00000000" w:rsidRPr="00000000">
        <w:rPr>
          <w:rtl w:val="0"/>
        </w:rPr>
        <w:t xml:space="preserve">. La perspectiva de las </w:t>
      </w:r>
      <w:r w:rsidDel="00000000" w:rsidR="00000000" w:rsidRPr="00000000">
        <w:rPr>
          <w:i w:val="1"/>
          <w:iCs w:val="1"/>
          <w:rtl w:val="0"/>
        </w:rPr>
        <w:t xml:space="preserve">economías morales</w:t>
      </w:r>
      <w:r w:rsidDel="00000000" w:rsidR="00000000" w:rsidRPr="00000000">
        <w:rPr>
          <w:rtl w:val="0"/>
        </w:rPr>
        <w:t xml:space="preserve"> permite comprender su anclaje institucional y normativo en valores compartidos, expresado en distintas combinaciones de competencia, redistribución y reciprocidad </w:t>
      </w:r>
      <w:r w:rsidDel="00000000" w:rsidR="00000000" w:rsidRPr="00000000">
        <w:rPr>
          <w:rtl w:val="0"/>
        </w:rPr>
        <w:t xml:space="preserve">(Koos &amp; Sachweh, 2019)</w:t>
      </w:r>
      <w:r w:rsidDel="00000000" w:rsidR="00000000" w:rsidRPr="00000000">
        <w:rPr>
          <w:rtl w:val="0"/>
        </w:rPr>
        <w:t xml:space="preserve">. El respaldo al mercado puede coexistir así con demandas de protección colectiva; la articulación y el peso relativo de estos principios son objeto de </w:t>
      </w:r>
      <w:r w:rsidDel="00000000" w:rsidR="00000000" w:rsidRPr="00000000">
        <w:rPr>
          <w:rtl w:val="0"/>
        </w:rPr>
        <w:t xml:space="preserve">constantes disputas discursivas en las esferas públicas. El debate político se convierte así en una arena en la que los actores movilizan estratégicamente distintas nociones del valor moral para legitimar o disputar el diseño institucional vigente </w:t>
      </w:r>
      <w:r w:rsidDel="00000000" w:rsidR="00000000" w:rsidRPr="00000000">
        <w:rPr>
          <w:rtl w:val="0"/>
        </w:rPr>
        <w:t xml:space="preserve">(Béland, 2005; Liebig &amp; Sauer, 2016)</w:t>
      </w:r>
      <w:r w:rsidDel="00000000" w:rsidR="00000000" w:rsidRPr="00000000">
        <w:rPr>
          <w:rtl w:val="0"/>
        </w:rPr>
        <w:t xml:space="preserve">.</w:t>
      </w:r>
      <w:r w:rsidDel="00000000" w:rsidR="00000000" w:rsidRPr="00000000">
        <w:rPr>
          <w:rtl w:val="0"/>
        </w:rPr>
        <w:t xml:space="preserve"> Esta literatura fundamenta el foco de la investigación en las ideas normativas: las concepciones de lo justo y lo merecido ofrecen razones para defender o cuestionar la distribución de recursos y responsabilidades que organiza el sistema previsional.</w:t>
      </w:r>
    </w:p>
    <w:p w:rsidR="00000000" w:rsidDel="00000000" w:rsidP="00000000" w:rsidRDefault="00000000" w:rsidRPr="00000000" w14:paraId="0000006F">
      <w:pPr>
        <w:rPr/>
      </w:pPr>
      <w:r w:rsidDel="00000000" w:rsidR="00000000" w:rsidRPr="00000000">
        <w:rPr>
          <w:rtl w:val="0"/>
        </w:rPr>
        <w:t xml:space="preserve">Esta contienda discursiva puede entenderse a partir de la tensión entre dos paradigmas contrapuestos: la justicia de mercado y la justicia política </w:t>
      </w:r>
      <w:r w:rsidDel="00000000" w:rsidR="00000000" w:rsidRPr="00000000">
        <w:rPr>
          <w:rtl w:val="0"/>
        </w:rPr>
        <w:t xml:space="preserve">(Lane, 1986)</w:t>
      </w:r>
      <w:r w:rsidDel="00000000" w:rsidR="00000000" w:rsidRPr="00000000">
        <w:rPr>
          <w:rtl w:val="0"/>
        </w:rPr>
        <w:t xml:space="preserve">. La justicia de mercado opera bajo una lógica procedimental pura, concibiendo la distribución ideal como el resultado natural de transacciones competitivas. Su fundamento normativo es el principio de los méritos ganados, donde el sistema recompensa la productividad y el esfuerzo individual. </w:t>
      </w:r>
      <w:r w:rsidDel="00000000" w:rsidR="00000000" w:rsidRPr="00000000">
        <w:rPr>
          <w:rtl w:val="0"/>
        </w:rPr>
        <w:t xml:space="preserve">Lindh </w:t>
      </w:r>
      <w:r w:rsidDel="00000000" w:rsidR="00000000" w:rsidRPr="00000000">
        <w:rPr>
          <w:rtl w:val="0"/>
        </w:rPr>
        <w:t xml:space="preserve">(2015)</w:t>
      </w:r>
      <w:r w:rsidDel="00000000" w:rsidR="00000000" w:rsidRPr="00000000">
        <w:rPr>
          <w:rtl w:val="0"/>
        </w:rPr>
        <w:t xml:space="preserve"> complementa esta perspectiva al precisar el criterio distributivo de la justicia de mercado: la asignación de bienes y servicios según precios y capacidad de pago. Mientras la capacidad de pago determina el acceso a esos bienes, el mérito puede ofrecer una justificación moral de las diferencias resultantes. </w:t>
      </w:r>
      <w:r w:rsidDel="00000000" w:rsidR="00000000" w:rsidRPr="00000000">
        <w:rPr>
          <w:rtl w:val="0"/>
        </w:rPr>
        <w:t xml:space="preserve">En el caso previsional, esta lógica convierte la capitalización individual en un mecanismo normativo de valorización de los sujetos, donde el saldo acumulado puede presentarse como indicador legítimo de esfuerzo, responsabilidad y mérito </w:t>
      </w:r>
      <w:r w:rsidDel="00000000" w:rsidR="00000000" w:rsidRPr="00000000">
        <w:rPr>
          <w:rtl w:val="0"/>
        </w:rPr>
        <w:t xml:space="preserve">(Fourcade &amp; Healy, 2007)</w:t>
      </w:r>
      <w:r w:rsidDel="00000000" w:rsidR="00000000" w:rsidRPr="00000000">
        <w:rPr>
          <w:rtl w:val="0"/>
        </w:rPr>
        <w:t xml:space="preserve">. En contraposición, la justicia política obliga a considerar a la sociedad en su conjunto. Este paradigma se rige por los criterios de igualdad y necesidad, exigiendo la intervención estatal mediante mecanismos redistributivos para corregir las fallas del mercado y proteger a quienes carecen de recursos </w:t>
      </w:r>
      <w:r w:rsidDel="00000000" w:rsidR="00000000" w:rsidRPr="00000000">
        <w:rPr>
          <w:rtl w:val="0"/>
        </w:rPr>
        <w:t xml:space="preserve">(Lane, 1986)</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En esta investigación, la justicia de mercado y la justicia política se utilizarán como categorías interpretativas de nivel superior. La red se construirá a partir de nodos conceptuales compuestos por criterios de merecimiento y por categorías justificativas específicas del debate previsional chileno, como sostener que una cotización debe ingresar a una cuenta individual porque pertenece al trabajador o que debe financiar un seguro social porque los riesgos de la vejez se distribuyen colectivamente. Los patrones de acuerdo y desacuerdo de los actores frente a estos nodos permitirán identificar coaliciones; sus combinaciones recurrentes se organizarán e interpretarán desde la tensión entre justicia de mercado y justicia política.</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evidencia empírica en política social respalda la utilidad de analizar las pensiones como instituciones moralmente cargadas. Históricamente, la jubilación ha prometido reciprocidad futura a quienes participan del trabajo formal </w:t>
      </w:r>
      <w:r w:rsidDel="00000000" w:rsidR="00000000" w:rsidRPr="00000000">
        <w:rPr>
          <w:rtl w:val="0"/>
        </w:rPr>
        <w:t xml:space="preserve">(Kohli, 1987), mientras</w:t>
      </w:r>
      <w:r w:rsidDel="00000000" w:rsidR="00000000" w:rsidRPr="00000000">
        <w:rPr>
          <w:rtl w:val="0"/>
        </w:rPr>
        <w:t xml:space="preserve"> las evaluaciones ciudadanas del bienestar combinan principios de reciprocidad, igualdad y responsabilidad individual </w:t>
      </w:r>
      <w:r w:rsidDel="00000000" w:rsidR="00000000" w:rsidRPr="00000000">
        <w:rPr>
          <w:rtl w:val="0"/>
        </w:rPr>
        <w:t xml:space="preserve">(Taylor-Gooby et al., 2019)</w:t>
      </w:r>
      <w:r w:rsidDel="00000000" w:rsidR="00000000" w:rsidRPr="00000000">
        <w:rPr>
          <w:rtl w:val="0"/>
        </w:rPr>
        <w:t xml:space="preserve">. En los debates previsionales, incluso un lenguaje aparentemente técnico sobre sostenibilidad o eficiencia transporta juicios sobre merecimiento, solidaridad y justicia colectiva, y problemas demográficos semejantes pueden justificar cursos de acción distributivamente distintos </w:t>
      </w:r>
      <w:r w:rsidDel="00000000" w:rsidR="00000000" w:rsidRPr="00000000">
        <w:rPr>
          <w:rtl w:val="0"/>
        </w:rPr>
        <w:t xml:space="preserve">(Anderson, 2018; Ring et al., 2020; Väänänen &amp; Liukko, 2022)</w:t>
      </w:r>
      <w:r w:rsidDel="00000000" w:rsidR="00000000" w:rsidRPr="00000000">
        <w:rPr>
          <w:rtl w:val="0"/>
        </w:rPr>
        <w:t xml:space="preserve">. Estos antecedentes muestran que una misma idea, como la solidaridad o la sostenibilidad, puede justificar diseños distributivos distintos. Por ello, su sentido normativo se interpretará según la postura que se movilice, sin asignarla de antemano a la justicia de mercado o a la justicia política.</w:t>
      </w:r>
      <w:r w:rsidDel="00000000" w:rsidR="00000000" w:rsidRPr="00000000">
        <w:rPr>
          <w:rtl w:val="0"/>
        </w:rPr>
      </w:r>
    </w:p>
    <w:p w:rsidR="00000000" w:rsidDel="00000000" w:rsidP="00000000" w:rsidRDefault="00000000" w:rsidRPr="00000000" w14:paraId="00000072">
      <w:pPr>
        <w:pStyle w:val="Heading3"/>
        <w:spacing w:after="240" w:before="200" w:line="360" w:lineRule="auto"/>
        <w:rPr>
          <w:rFonts w:ascii="Times New Roman" w:cs="Times New Roman" w:eastAsia="Times New Roman" w:hAnsi="Times New Roman"/>
        </w:rPr>
      </w:pPr>
      <w:bookmarkStart w:colFirst="0" w:colLast="0" w:name="_4uqjuw86t1td" w:id="4"/>
      <w:bookmarkEnd w:id="4"/>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.2. La condicionalidad de la seguridad social en la vejez</w:t>
      </w:r>
    </w:p>
    <w:p w:rsidR="00000000" w:rsidDel="00000000" w:rsidP="00000000" w:rsidRDefault="00000000" w:rsidRPr="00000000" w14:paraId="00000073">
      <w:pPr>
        <w:rPr/>
      </w:pPr>
      <w:r w:rsidDel="00000000" w:rsidR="00000000" w:rsidRPr="00000000">
        <w:rPr>
          <w:rtl w:val="0"/>
        </w:rPr>
        <w:t xml:space="preserve">En el análisis de las políticas sociales, el </w:t>
      </w:r>
      <w:r w:rsidDel="00000000" w:rsidR="00000000" w:rsidRPr="00000000">
        <w:rPr>
          <w:rtl w:val="0"/>
        </w:rPr>
        <w:t xml:space="preserve">merecimiento</w:t>
      </w:r>
      <w:r w:rsidDel="00000000" w:rsidR="00000000" w:rsidRPr="00000000">
        <w:rPr>
          <w:rtl w:val="0"/>
        </w:rPr>
        <w:t xml:space="preserve"> refiere a los juicios morales mediante los cuales se evalúa qué personas o grupos deberían recibir beneficios o protección, en qué medida y bajo qué condiciones. El marco CARIN organiza estos juicios en cinco criterios que le dan el nombre a las siglas </w:t>
      </w:r>
      <w:r w:rsidDel="00000000" w:rsidR="00000000" w:rsidRPr="00000000">
        <w:rPr>
          <w:rtl w:val="0"/>
        </w:rPr>
        <w:t xml:space="preserve">(Knotz et al., 2022; van Oorschot, 2000)</w:t>
      </w:r>
      <w:r w:rsidDel="00000000" w:rsidR="00000000" w:rsidRPr="00000000">
        <w:rPr>
          <w:rtl w:val="0"/>
        </w:rPr>
        <w:t xml:space="preserve">: </w:t>
      </w:r>
      <w:r w:rsidDel="00000000" w:rsidR="00000000" w:rsidRPr="00000000">
        <w:rPr>
          <w:i w:val="1"/>
          <w:iCs w:val="1"/>
          <w:rtl w:val="0"/>
        </w:rPr>
        <w:t xml:space="preserve">control</w:t>
      </w:r>
      <w:r w:rsidDel="00000000" w:rsidR="00000000" w:rsidRPr="00000000">
        <w:rPr>
          <w:rtl w:val="0"/>
        </w:rPr>
        <w:t xml:space="preserve"> (si la situación de dificultad es causada por la acción o inacción de la persona), </w:t>
      </w:r>
      <w:r w:rsidDel="00000000" w:rsidR="00000000" w:rsidRPr="00000000">
        <w:rPr>
          <w:i w:val="1"/>
          <w:iCs w:val="1"/>
          <w:rtl w:val="0"/>
        </w:rPr>
        <w:t xml:space="preserve">actitud</w:t>
      </w:r>
      <w:r w:rsidDel="00000000" w:rsidR="00000000" w:rsidRPr="00000000">
        <w:rPr>
          <w:rtl w:val="0"/>
        </w:rPr>
        <w:t xml:space="preserve"> (la docilidad o el agradecimiento ante el apoyo como gestos simbólicos), </w:t>
      </w:r>
      <w:r w:rsidDel="00000000" w:rsidR="00000000" w:rsidRPr="00000000">
        <w:rPr>
          <w:i w:val="1"/>
          <w:iCs w:val="1"/>
          <w:rtl w:val="0"/>
        </w:rPr>
        <w:t xml:space="preserve">reciprocidad</w:t>
      </w:r>
      <w:r w:rsidDel="00000000" w:rsidR="00000000" w:rsidRPr="00000000">
        <w:rPr>
          <w:rtl w:val="0"/>
        </w:rPr>
        <w:t xml:space="preserve"> (la contribución realizada previamente a los demás), </w:t>
      </w:r>
      <w:r w:rsidDel="00000000" w:rsidR="00000000" w:rsidRPr="00000000">
        <w:rPr>
          <w:i w:val="1"/>
          <w:iCs w:val="1"/>
          <w:rtl w:val="0"/>
        </w:rPr>
        <w:t xml:space="preserve">identidad</w:t>
      </w:r>
      <w:r w:rsidDel="00000000" w:rsidR="00000000" w:rsidRPr="00000000">
        <w:rPr>
          <w:rtl w:val="0"/>
        </w:rPr>
        <w:t xml:space="preserve"> (el grado de pertenencia a grupos sociales considerados cercanos) y </w:t>
      </w:r>
      <w:r w:rsidDel="00000000" w:rsidR="00000000" w:rsidRPr="00000000">
        <w:rPr>
          <w:i w:val="1"/>
          <w:iCs w:val="1"/>
          <w:rtl w:val="0"/>
        </w:rPr>
        <w:t xml:space="preserve">necesidad</w:t>
      </w:r>
      <w:r w:rsidDel="00000000" w:rsidR="00000000" w:rsidRPr="00000000">
        <w:rPr>
          <w:rtl w:val="0"/>
        </w:rPr>
        <w:t xml:space="preserve"> (el grado de dificultad material). Estas categorías permiten examinar cómo los parlamentarios justifican un diseño previsional concreto en función del merecimiento.</w:t>
      </w:r>
    </w:p>
    <w:p w:rsidR="00000000" w:rsidDel="00000000" w:rsidP="00000000" w:rsidRDefault="00000000" w:rsidRPr="00000000" w14:paraId="00000074">
      <w:pPr>
        <w:rPr/>
      </w:pPr>
      <w:r w:rsidDel="00000000" w:rsidR="00000000" w:rsidRPr="00000000">
        <w:rPr>
          <w:rtl w:val="0"/>
        </w:rPr>
        <w:t xml:space="preserve">La literatura actitudinal ha abordado ampliamente la relación entre los criterios de merecimiento y las políticas de pensiones en el contexto europeo. Tradicionalmente, los adultos mayores son categorizados como un grupo altamente merecedor, ya que no controlan su situación de necesidad (el envejecimiento biológico) y se asume que ya han contribuido a la sociedad a lo largo de su vida </w:t>
      </w:r>
      <w:r w:rsidDel="00000000" w:rsidR="00000000" w:rsidRPr="00000000">
        <w:rPr>
          <w:rtl w:val="0"/>
        </w:rPr>
        <w:t xml:space="preserve">(Meuleman et al., 2020; van Oorschot, 2006)</w:t>
      </w:r>
      <w:r w:rsidDel="00000000" w:rsidR="00000000" w:rsidRPr="00000000">
        <w:rPr>
          <w:rtl w:val="0"/>
        </w:rPr>
        <w:t xml:space="preserve">. Dado esto, se ha identificado un amplio consenso en torno a que el sustento de las necesidades de la vejez es responsabilidad del gobierno </w:t>
      </w:r>
      <w:r w:rsidDel="00000000" w:rsidR="00000000" w:rsidRPr="00000000">
        <w:rPr>
          <w:rtl w:val="0"/>
        </w:rPr>
        <w:t xml:space="preserve">(Deeming, 2018; Ebbinghaus &amp; Naumann, 2020; van Oorschot et al., 2022)</w:t>
      </w:r>
      <w:r w:rsidDel="00000000" w:rsidR="00000000" w:rsidRPr="00000000">
        <w:rPr>
          <w:rtl w:val="0"/>
        </w:rPr>
        <w:t xml:space="preserve">. Sin embargo, en regímenes conservadores, la asignación de recursos suele vincularse a la reciprocidad, atando el monto de los beneficios a las contribuciones previas </w:t>
      </w:r>
      <w:r w:rsidDel="00000000" w:rsidR="00000000" w:rsidRPr="00000000">
        <w:rPr>
          <w:rtl w:val="0"/>
        </w:rPr>
        <w:t xml:space="preserve">(Van Hootegem et al., 2024)</w:t>
      </w:r>
      <w:r w:rsidDel="00000000" w:rsidR="00000000" w:rsidRPr="00000000">
        <w:rPr>
          <w:rtl w:val="0"/>
        </w:rPr>
        <w:t xml:space="preserve">. El eje ideológico opera como estructurador de estos criterios: mientras la derecha política exige mayor condicionalidad y otorga primacía al mérito </w:t>
      </w:r>
      <w:r w:rsidDel="00000000" w:rsidR="00000000" w:rsidRPr="00000000">
        <w:rPr>
          <w:rtl w:val="0"/>
        </w:rPr>
        <w:t xml:space="preserve">(Reeskens &amp; van Oorschot, 2013)</w:t>
      </w:r>
      <w:r w:rsidDel="00000000" w:rsidR="00000000" w:rsidRPr="00000000">
        <w:rPr>
          <w:rtl w:val="0"/>
        </w:rPr>
        <w:t xml:space="preserve">, la izquierda tiende a abogar por un financiamiento solidario, priorizando la cobertura de la necesidad material </w:t>
      </w:r>
      <w:r w:rsidDel="00000000" w:rsidR="00000000" w:rsidRPr="00000000">
        <w:rPr>
          <w:rtl w:val="0"/>
        </w:rPr>
        <w:t xml:space="preserve">(Wiß et al., 2025)</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La evidencia empírica muestra que estos criterios también operan como repertorios discursivos para construir beneficiarios legítimos e ilegítimos. La aceptación de prestaciones sociales combina principios de necesidad con exigencias de responsabilidad personal y esfuerzo </w:t>
      </w:r>
      <w:r w:rsidDel="00000000" w:rsidR="00000000" w:rsidRPr="00000000">
        <w:rPr>
          <w:rtl w:val="0"/>
        </w:rPr>
        <w:t xml:space="preserve">(Sachweh et al., 2006).</w:t>
      </w:r>
      <w:r w:rsidDel="00000000" w:rsidR="00000000" w:rsidRPr="00000000">
        <w:rPr>
          <w:rtl w:val="0"/>
        </w:rPr>
        <w:t xml:space="preserve"> En el campo previsional, estas lógicas pueden traducirse en narrativas sobre el "jubilado merecedor" o el "trabajador esforzado" </w:t>
      </w:r>
      <w:r w:rsidDel="00000000" w:rsidR="00000000" w:rsidRPr="00000000">
        <w:rPr>
          <w:rtl w:val="0"/>
        </w:rPr>
        <w:t xml:space="preserve">(Blum, 2019; Hagelund &amp; Grødem, 2019)</w:t>
      </w:r>
      <w:r w:rsidDel="00000000" w:rsidR="00000000" w:rsidRPr="00000000">
        <w:rPr>
          <w:rtl w:val="0"/>
        </w:rPr>
        <w:t xml:space="preserve">. Asimismo, las políticas de austeridad pueden repolitizarse mediante relatos morales que distinguen entre sujetos "merecedores" y "no merecedores", lo que muestra que la condicionalidad opera también como una disputa discursiva sobre la legitimidad del apoyo estatal </w:t>
      </w:r>
      <w:r w:rsidDel="00000000" w:rsidR="00000000" w:rsidRPr="00000000">
        <w:rPr>
          <w:rtl w:val="0"/>
        </w:rPr>
        <w:t xml:space="preserve">(Gaffney, 2025; Kuhlmann &amp; Blum, 2022; Wiggan, 2012)</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En Chile, un país caracterizado por una alta privatización del bienestar </w:t>
      </w:r>
      <w:r w:rsidDel="00000000" w:rsidR="00000000" w:rsidRPr="00000000">
        <w:rPr>
          <w:rtl w:val="0"/>
        </w:rPr>
        <w:t xml:space="preserve">(Ferre, 2023)</w:t>
      </w:r>
      <w:r w:rsidDel="00000000" w:rsidR="00000000" w:rsidRPr="00000000">
        <w:rPr>
          <w:rtl w:val="0"/>
        </w:rPr>
        <w:t xml:space="preserve">, la evidencia empírica muestra la profunda penetración de lógicas condicionales en la sociedad. Si bien existe una demanda ciudadana de una mayor intervención estatal para aumentar las pensiones, persiste simultáneamente una fuerte justificación del mecanismo del mérito, que legitima que quienes aportaron más al sistema reciban una mejor jubilación </w:t>
      </w:r>
      <w:r w:rsidDel="00000000" w:rsidR="00000000" w:rsidRPr="00000000">
        <w:rPr>
          <w:rtl w:val="0"/>
        </w:rPr>
        <w:t xml:space="preserve">(Castillo et al., 2019)</w:t>
      </w:r>
      <w:r w:rsidDel="00000000" w:rsidR="00000000" w:rsidRPr="00000000">
        <w:rPr>
          <w:rtl w:val="0"/>
        </w:rPr>
        <w:t xml:space="preserve">. Este hallazgo es especialmente relevante porque muestra que la crítica a las pensiones bajas puede coexistir con criterios distributivos altamente individualizados vinculados al merecimiento. Aunque la justificación de esta desigualdad previsional experimentó fluctuaciones tras el estallido social de 2019, la adhesión a la lógica meritocrática ha retomado una trayectoria ascendente en los años recientes </w:t>
      </w:r>
      <w:r w:rsidDel="00000000" w:rsidR="00000000" w:rsidRPr="00000000">
        <w:rPr>
          <w:rtl w:val="0"/>
        </w:rPr>
        <w:t xml:space="preserve">(Castillo et al., 2025, 2026)</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La aplicación del marco CARIN a datos textuales ha sido históricamente limitada (Laenen et al., 2019), aunque estudios recientes lo han utilizado con métodos cualitativos o computacionales </w:t>
      </w:r>
      <w:r w:rsidDel="00000000" w:rsidR="00000000" w:rsidRPr="00000000">
        <w:rPr>
          <w:rtl w:val="0"/>
        </w:rPr>
        <w:t xml:space="preserve">(Hilmar, 2025; Siviş, 2022; Summers et al., 2025; Theiss, 2023)</w:t>
      </w:r>
      <w:r w:rsidDel="00000000" w:rsidR="00000000" w:rsidRPr="00000000">
        <w:rPr>
          <w:rtl w:val="0"/>
        </w:rPr>
        <w:t xml:space="preserve">. Laenen et al. </w:t>
      </w:r>
      <w:r w:rsidDel="00000000" w:rsidR="00000000" w:rsidRPr="00000000">
        <w:rPr>
          <w:rtl w:val="0"/>
        </w:rPr>
        <w:t xml:space="preserve">(2019) </w:t>
      </w:r>
      <w:r w:rsidDel="00000000" w:rsidR="00000000" w:rsidRPr="00000000">
        <w:rPr>
          <w:rtl w:val="0"/>
        </w:rPr>
        <w:t xml:space="preserve">proponen identificar declaraciones que articulen una afirmación de justicia, una prestación social y una justificación de su otorgamiento. Su análisis reconoce, además de CARIN, criterios contextuales referidos a la organización del bienestar: igualdad o universalismo, conciencia de costos e inversión social. Este estudio incorpora los dos primeros. La igualdad o el universalismo justifican el acceso, el trato o la protección mediante una regla igualitaria; la conciencia de costos introduce consideraciones sobre la disponibilidad de recursos y los costos de las prestaciones. Estas categorías, junto con CARIN y las justificaciones específicas del caso chileno, constituyen los nodos conceptuales de la red. Las aristas registran el acuerdo o desacuerdo de los actores con las proposiciones que expresa cada código.</w:t>
      </w:r>
      <w:r w:rsidDel="00000000" w:rsidR="00000000" w:rsidRPr="00000000">
        <w:rPr>
          <w:rtl w:val="0"/>
        </w:rPr>
      </w:r>
    </w:p>
    <w:p w:rsidR="00000000" w:rsidDel="00000000" w:rsidP="00000000" w:rsidRDefault="00000000" w:rsidRPr="00000000" w14:paraId="00000078">
      <w:pPr>
        <w:pStyle w:val="Heading2"/>
        <w:keepNext w:val="0"/>
        <w:keepLines w:val="0"/>
        <w:spacing w:before="200" w:lineRule="auto"/>
        <w:rPr/>
      </w:pPr>
      <w:bookmarkStart w:colFirst="0" w:colLast="0" w:name="_8o7nfx26kve9" w:id="5"/>
      <w:bookmarkEnd w:id="5"/>
      <w:r w:rsidDel="00000000" w:rsidR="00000000" w:rsidRPr="00000000">
        <w:rPr>
          <w:rtl w:val="0"/>
        </w:rPr>
        <w:t xml:space="preserve">2. Persistencia ideacional y estructuración discursiva</w:t>
      </w:r>
    </w:p>
    <w:p w:rsidR="00000000" w:rsidDel="00000000" w:rsidP="00000000" w:rsidRDefault="00000000" w:rsidRPr="00000000" w14:paraId="00000079">
      <w:pPr>
        <w:pStyle w:val="Heading3"/>
        <w:spacing w:after="240" w:before="200" w:lineRule="auto"/>
        <w:rPr/>
      </w:pPr>
      <w:bookmarkStart w:colFirst="0" w:colLast="0" w:name="_49i7or1q4bom" w:id="6"/>
      <w:bookmarkEnd w:id="6"/>
      <w:r w:rsidDel="00000000" w:rsidR="00000000" w:rsidRPr="00000000">
        <w:rPr>
          <w:rtl w:val="0"/>
        </w:rPr>
        <w:t xml:space="preserve">2.1. Persistencia ideacional y el rol de las ideas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Las ideas contribuyen a la continuidad y al cambio de las políticas al definir intereses, orientar decisiones y legitimar alternativas </w:t>
      </w:r>
      <w:r w:rsidDel="00000000" w:rsidR="00000000" w:rsidRPr="00000000">
        <w:rPr>
          <w:rtl w:val="0"/>
        </w:rPr>
        <w:t xml:space="preserve">(Béland &amp; Mandelkern, 2024; Schmidt, 2016).</w:t>
      </w:r>
      <w:r w:rsidDel="00000000" w:rsidR="00000000" w:rsidRPr="00000000">
        <w:rPr>
          <w:rtl w:val="0"/>
        </w:rPr>
        <w:t xml:space="preserve"> En Chile, Madariaga </w:t>
      </w:r>
      <w:r w:rsidDel="00000000" w:rsidR="00000000" w:rsidRPr="00000000">
        <w:rPr>
          <w:rtl w:val="0"/>
        </w:rPr>
        <w:t xml:space="preserve">(2020) </w:t>
      </w:r>
      <w:r w:rsidDel="00000000" w:rsidR="00000000" w:rsidRPr="00000000">
        <w:rPr>
          <w:rtl w:val="0"/>
        </w:rPr>
        <w:t xml:space="preserve">explica la persistencia del modelo neoliberal mediante la interacción entre intereses empresariales, instituciones políticas e ideas económicas dominantes. En el ámbito previsional, la continuidad de la capitalización individual ha coexistido con reformas que amplían la protección social y conservan componentes centrales del arreglo privatizado (Castiglioni, 2018), a la vez que las percepciones ciudadanas pueden contener simultáneamente ideas afines a la justicia de mercado, cómo el mérito, y una valorización de un mayor rol proyector del Estado </w:t>
      </w:r>
      <w:r w:rsidDel="00000000" w:rsidR="00000000" w:rsidRPr="00000000">
        <w:rPr>
          <w:rtl w:val="0"/>
        </w:rPr>
        <w:t xml:space="preserve">(Castillo et al., 2019).</w:t>
      </w:r>
      <w:r w:rsidDel="00000000" w:rsidR="00000000" w:rsidRPr="00000000">
        <w:rPr>
          <w:rtl w:val="0"/>
        </w:rPr>
        <w:t xml:space="preserve"> Esta investigación aborda la dimensión ideacional de la capitalización individual a través de las justificaciones con las que los actores defienden o disputan el modelo en el debate legislativo.</w:t>
      </w:r>
    </w:p>
    <w:p w:rsidR="00000000" w:rsidDel="00000000" w:rsidP="00000000" w:rsidRDefault="00000000" w:rsidRPr="00000000" w14:paraId="0000007B">
      <w:pPr>
        <w:rPr/>
      </w:pPr>
      <w:r w:rsidDel="00000000" w:rsidR="00000000" w:rsidRPr="00000000">
        <w:rPr>
          <w:rtl w:val="0"/>
        </w:rPr>
        <w:t xml:space="preserve">Migone et al. </w:t>
      </w:r>
      <w:r w:rsidDel="00000000" w:rsidR="00000000" w:rsidRPr="00000000">
        <w:rPr>
          <w:rtl w:val="0"/>
        </w:rPr>
        <w:t xml:space="preserve">(2024)</w:t>
      </w:r>
      <w:r w:rsidDel="00000000" w:rsidR="00000000" w:rsidRPr="00000000">
        <w:rPr>
          <w:rtl w:val="0"/>
        </w:rPr>
        <w:t xml:space="preserve"> denominan </w:t>
      </w:r>
      <w:r w:rsidDel="00000000" w:rsidR="00000000" w:rsidRPr="00000000">
        <w:rPr>
          <w:i w:val="1"/>
          <w:iCs w:val="1"/>
          <w:rtl w:val="0"/>
        </w:rPr>
        <w:t xml:space="preserve">robustez ideacional</w:t>
      </w:r>
      <w:r w:rsidDel="00000000" w:rsidR="00000000" w:rsidRPr="00000000">
        <w:rPr>
          <w:rtl w:val="0"/>
        </w:rPr>
        <w:t xml:space="preserve"> a la capacidad de las ideas que sustentan una política para conservar su orientación general mediante ajustes ante cambios en los actores y en el entorno. El concepto permite interrogar cómo un repertorio incorpora nuevas demandas mientras mantiene sus principios básicos. La persistencia institucional de la capitalización individual constituye el contexto del estudio. La investigación examina la continuidad y el alcance de las justificaciones que la sustentan, a través de su frecuencia, centralidad y circulación entre los actores. Estos resultados permiten discutir la conservación de una orientación normativa, uno de los componentes de la robustez ideacional. El análisis se circunscribe a las declaraciones legislativas y a sus relaciones, sin estimar su efecto causal sobre el resultado institucional.</w:t>
      </w:r>
    </w:p>
    <w:p w:rsidR="00000000" w:rsidDel="00000000" w:rsidP="00000000" w:rsidRDefault="00000000" w:rsidRPr="00000000" w14:paraId="0000007C">
      <w:pPr>
        <w:pStyle w:val="Heading3"/>
        <w:keepNext w:val="0"/>
        <w:keepLines w:val="0"/>
        <w:spacing w:before="200" w:lineRule="auto"/>
        <w:rPr/>
      </w:pPr>
      <w:bookmarkStart w:colFirst="0" w:colLast="0" w:name="_wmuetns08aya" w:id="7"/>
      <w:bookmarkEnd w:id="7"/>
      <w:r w:rsidDel="00000000" w:rsidR="00000000" w:rsidRPr="00000000">
        <w:rPr>
          <w:rtl w:val="0"/>
        </w:rPr>
        <w:t xml:space="preserve">2.2 Las coaliciones discursivas y la hegemonía</w:t>
      </w:r>
    </w:p>
    <w:p w:rsidR="00000000" w:rsidDel="00000000" w:rsidP="00000000" w:rsidRDefault="00000000" w:rsidRPr="00000000" w14:paraId="0000007D">
      <w:pPr>
        <w:spacing w:after="240" w:lineRule="auto"/>
        <w:rPr/>
      </w:pPr>
      <w:r w:rsidDel="00000000" w:rsidR="00000000" w:rsidRPr="00000000">
        <w:rPr>
          <w:rtl w:val="0"/>
        </w:rPr>
        <w:t xml:space="preserve">Para comprender la dinámica de las instituciones, es fundamental analizar los procesos ideacionales que las sostienen. Desde el institucionalismo discursivo, la estabilidad o la transformación de una política descansa en la interacción constante entre ideas cognitivas y normativas </w:t>
      </w:r>
      <w:r w:rsidDel="00000000" w:rsidR="00000000" w:rsidRPr="00000000">
        <w:rPr>
          <w:rtl w:val="0"/>
        </w:rPr>
        <w:t xml:space="preserve">(Schmidt, 2008)</w:t>
      </w:r>
      <w:r w:rsidDel="00000000" w:rsidR="00000000" w:rsidRPr="00000000">
        <w:rPr>
          <w:rtl w:val="0"/>
        </w:rPr>
        <w:t xml:space="preserve">. Mientras las primeras ofrecen mapas de ruta técnicos sobre "qué hacer" para resolver problemas específicos, las ideas normativas operan en el plano valórico, definiendo lo que es bueno y legitimando las soluciones técnicas ante la sociedad.</w:t>
      </w:r>
    </w:p>
    <w:p w:rsidR="00000000" w:rsidDel="00000000" w:rsidP="00000000" w:rsidRDefault="00000000" w:rsidRPr="00000000" w14:paraId="0000007E">
      <w:pPr>
        <w:rPr/>
      </w:pPr>
      <w:r w:rsidDel="00000000" w:rsidR="00000000" w:rsidRPr="00000000">
        <w:rPr>
          <w:rtl w:val="0"/>
        </w:rPr>
        <w:t xml:space="preserve">Este proceso de legitimación es impulsado por emprendedores de políticas, actores que operan estratégicamente para romper o defender la inercia del </w:t>
      </w:r>
      <w:r w:rsidDel="00000000" w:rsidR="00000000" w:rsidRPr="00000000">
        <w:rPr>
          <w:i w:val="1"/>
          <w:iCs w:val="1"/>
          <w:rtl w:val="0"/>
        </w:rPr>
        <w:t xml:space="preserve">statu quo</w:t>
      </w:r>
      <w:r w:rsidDel="00000000" w:rsidR="00000000" w:rsidRPr="00000000">
        <w:rPr>
          <w:rtl w:val="0"/>
        </w:rPr>
        <w:t xml:space="preserve">. Estos sujetos ejecutan una labor deliberada y dialógica de </w:t>
      </w:r>
      <w:r w:rsidDel="00000000" w:rsidR="00000000" w:rsidRPr="00000000">
        <w:rPr>
          <w:i w:val="1"/>
          <w:iCs w:val="1"/>
          <w:rtl w:val="0"/>
        </w:rPr>
        <w:t xml:space="preserve">framing</w:t>
      </w:r>
      <w:r w:rsidDel="00000000" w:rsidR="00000000" w:rsidRPr="00000000">
        <w:rPr>
          <w:rtl w:val="0"/>
        </w:rPr>
        <w:t xml:space="preserve">, conectando soluciones técnicas con repertorios ideológicos y símbolos culturales preexistentes </w:t>
      </w:r>
      <w:r w:rsidDel="00000000" w:rsidR="00000000" w:rsidRPr="00000000">
        <w:rPr>
          <w:rtl w:val="0"/>
        </w:rPr>
        <w:t xml:space="preserve">(Béland, 2005)</w:t>
      </w:r>
      <w:r w:rsidDel="00000000" w:rsidR="00000000" w:rsidRPr="00000000">
        <w:rPr>
          <w:rtl w:val="0"/>
        </w:rPr>
        <w:t xml:space="preserve">. Algunas ideas adquieren una mayor capacidad articuladora al funcionar como imanes de coalición, debido a su polisemia y alta valencia moral </w:t>
      </w:r>
      <w:r w:rsidDel="00000000" w:rsidR="00000000" w:rsidRPr="00000000">
        <w:rPr>
          <w:rtl w:val="0"/>
        </w:rPr>
        <w:t xml:space="preserve">(Béland &amp; Cox, 2016)</w:t>
      </w:r>
      <w:r w:rsidDel="00000000" w:rsidR="00000000" w:rsidRPr="00000000">
        <w:rPr>
          <w:rtl w:val="0"/>
        </w:rPr>
        <w:t xml:space="preserve">. Cuando estas aseveraciones son adoptadas de forma relativamente estable por diversos actores, se conforman </w:t>
      </w:r>
      <w:r w:rsidDel="00000000" w:rsidR="00000000" w:rsidRPr="00000000">
        <w:rPr>
          <w:i w:val="1"/>
          <w:iCs w:val="1"/>
          <w:rtl w:val="0"/>
        </w:rPr>
        <w:t xml:space="preserve">coaliciones discursivas</w:t>
      </w:r>
      <w:r w:rsidDel="00000000" w:rsidR="00000000" w:rsidRPr="00000000">
        <w:rPr>
          <w:rtl w:val="0"/>
        </w:rPr>
        <w:t xml:space="preserve"> unidas por líneas argumentales comunes </w:t>
      </w:r>
      <w:r w:rsidDel="00000000" w:rsidR="00000000" w:rsidRPr="00000000">
        <w:rPr>
          <w:rtl w:val="0"/>
        </w:rPr>
        <w:t xml:space="preserve">(Hajer, 1997)</w:t>
      </w:r>
      <w:r w:rsidDel="00000000" w:rsidR="00000000" w:rsidRPr="00000000">
        <w:rPr>
          <w:rtl w:val="0"/>
        </w:rPr>
        <w:t xml:space="preserve">. En esta investigación, las coaliciones discursivas se identificarán a partir de patrones de acuerdo y desacuerdo ante afirmaciones justificativas específicas.</w:t>
      </w:r>
    </w:p>
    <w:p w:rsidR="00000000" w:rsidDel="00000000" w:rsidP="00000000" w:rsidRDefault="00000000" w:rsidRPr="00000000" w14:paraId="0000007F">
      <w:pPr>
        <w:rPr/>
      </w:pPr>
      <w:r w:rsidDel="00000000" w:rsidR="00000000" w:rsidRPr="00000000">
        <w:rPr>
          <w:rtl w:val="0"/>
        </w:rPr>
        <w:t xml:space="preserve">La evidencia empírica muestra que la estructuración discursiva puede observarse en el ámbito de la política social. En el área de las pensiones, los cambios de hegemonía han sido rastreados mediante redes de actores y creencias, mostrando cómo viejos consensos pueden ser desplazados por procesos de polarización, migración de actores clave y formación de nuevas coaliciones </w:t>
      </w:r>
      <w:r w:rsidDel="00000000" w:rsidR="00000000" w:rsidRPr="00000000">
        <w:rPr>
          <w:rtl w:val="0"/>
        </w:rPr>
        <w:t xml:space="preserve">(Leifeld, 2013)</w:t>
      </w:r>
      <w:r w:rsidDel="00000000" w:rsidR="00000000" w:rsidRPr="00000000">
        <w:rPr>
          <w:rtl w:val="0"/>
        </w:rPr>
        <w:t xml:space="preserve">. El análisis de redes discursivas también permite observar si una coalición mantiene un repertorio más coherente e integrado, si sus conceptos atraviesan las fronteras entre grupos y si los actores rivales comienzan a utilizarlos </w:t>
      </w:r>
      <w:r w:rsidDel="00000000" w:rsidR="00000000" w:rsidRPr="00000000">
        <w:rPr>
          <w:rtl w:val="0"/>
        </w:rPr>
        <w:t xml:space="preserve">(Leifeld &amp; Haunss, 2012)</w:t>
      </w:r>
      <w:r w:rsidDel="00000000" w:rsidR="00000000" w:rsidRPr="00000000">
        <w:rPr>
          <w:rtl w:val="0"/>
        </w:rPr>
        <w:t xml:space="preserve">. Estos procesos también involucran la disputa por conceptos polisémicos, como la sostenibilidad financiera y la solidaridad, que pueden actuar como imanes de coalición al adquirir sentidos rivales a través de narrativas de declive, control o justicia social </w:t>
      </w:r>
      <w:r w:rsidDel="00000000" w:rsidR="00000000" w:rsidRPr="00000000">
        <w:rPr>
          <w:rtl w:val="0"/>
        </w:rPr>
        <w:t xml:space="preserve">(Béland &amp; Cox, 2016; Lee &amp; Kim, 2026)</w:t>
      </w:r>
      <w:r w:rsidDel="00000000" w:rsidR="00000000" w:rsidRPr="00000000">
        <w:rPr>
          <w:rtl w:val="0"/>
        </w:rPr>
        <w:t xml:space="preserve">. En Brasil, Costa y Wiggan </w:t>
      </w:r>
      <w:r w:rsidDel="00000000" w:rsidR="00000000" w:rsidRPr="00000000">
        <w:rPr>
          <w:rtl w:val="0"/>
        </w:rPr>
        <w:t xml:space="preserve">(2024)</w:t>
      </w:r>
      <w:r w:rsidDel="00000000" w:rsidR="00000000" w:rsidRPr="00000000">
        <w:rPr>
          <w:rtl w:val="0"/>
        </w:rPr>
        <w:t xml:space="preserve"> muestran cómo apelaciones a la equidad entre clases y generaciones justificaron restricciones a la protección social y la expansión de mecanismos mercantiles. Estos antecedentes permiten analizar el discurso como una arena en la que se forman coaliciones y se disputa el sentido distributivo de principios compartidos.</w:t>
      </w:r>
    </w:p>
    <w:p w:rsidR="00000000" w:rsidDel="00000000" w:rsidP="00000000" w:rsidRDefault="00000000" w:rsidRPr="00000000" w14:paraId="00000080">
      <w:pPr>
        <w:rPr/>
      </w:pPr>
      <w:r w:rsidDel="00000000" w:rsidR="00000000" w:rsidRPr="00000000">
        <w:rPr>
          <w:rtl w:val="0"/>
        </w:rPr>
        <w:t xml:space="preserve">Según Hajer </w:t>
      </w:r>
      <w:r w:rsidDel="00000000" w:rsidR="00000000" w:rsidRPr="00000000">
        <w:rPr>
          <w:rtl w:val="0"/>
        </w:rPr>
        <w:t xml:space="preserve">(1997)</w:t>
      </w:r>
      <w:r w:rsidDel="00000000" w:rsidR="00000000" w:rsidRPr="00000000">
        <w:rPr>
          <w:rtl w:val="0"/>
        </w:rPr>
        <w:t xml:space="preserve">, un discurso alcanza hegemonía discursiva cuando logra dos hitos: la </w:t>
      </w:r>
      <w:r w:rsidDel="00000000" w:rsidR="00000000" w:rsidRPr="00000000">
        <w:rPr>
          <w:i w:val="1"/>
          <w:iCs w:val="1"/>
          <w:rtl w:val="0"/>
        </w:rPr>
        <w:t xml:space="preserve">estructuración</w:t>
      </w:r>
      <w:r w:rsidDel="00000000" w:rsidR="00000000" w:rsidRPr="00000000">
        <w:rPr>
          <w:rtl w:val="0"/>
        </w:rPr>
        <w:t xml:space="preserve">, que ocurre cuando sus categorías y premisas se convierten en un marco que los actores deben reconocer para intervenir de manera creíble en el debate; y la </w:t>
      </w:r>
      <w:r w:rsidDel="00000000" w:rsidR="00000000" w:rsidRPr="00000000">
        <w:rPr>
          <w:i w:val="1"/>
          <w:iCs w:val="1"/>
          <w:rtl w:val="0"/>
        </w:rPr>
        <w:t xml:space="preserve">institucionalización</w:t>
      </w:r>
      <w:r w:rsidDel="00000000" w:rsidR="00000000" w:rsidRPr="00000000">
        <w:rPr>
          <w:rtl w:val="0"/>
        </w:rPr>
        <w:t xml:space="preserve">, cuando esas ideas se materializan en leyes, reglamentos o prácticas organizacionales. Las aplicaciones empíricas de este enfoque reconstruyen la circulación de líneas argumentales entre actores y examinan si estas condicionan la formulación de alternativas rivales </w:t>
      </w:r>
      <w:r w:rsidDel="00000000" w:rsidR="00000000" w:rsidRPr="00000000">
        <w:rPr>
          <w:rtl w:val="0"/>
        </w:rPr>
        <w:t xml:space="preserve">(Funke et al., 2023)</w:t>
      </w:r>
      <w:r w:rsidDel="00000000" w:rsidR="00000000" w:rsidRPr="00000000">
        <w:rPr>
          <w:rtl w:val="0"/>
        </w:rPr>
        <w:t xml:space="preserve">. Esta investigación analiza cómo se estructura el debate legislativo a través de tres variables: la predominancia de conceptos clave, su centralidad relacional y su difusión entre coaliciones. Para dar sentido a estos patrones, se analizarán cualitativamente pasajes específicos en los que los parlamentarios aceptan, disputan o instrumentalizan premisas ajenas.</w:t>
      </w:r>
    </w:p>
    <w:p w:rsidR="00000000" w:rsidDel="00000000" w:rsidP="00000000" w:rsidRDefault="00000000" w:rsidRPr="00000000" w14:paraId="00000081">
      <w:pPr>
        <w:rPr/>
      </w:pPr>
      <w:r w:rsidDel="00000000" w:rsidR="00000000" w:rsidRPr="00000000">
        <w:rPr>
          <w:rtl w:val="0"/>
        </w:rPr>
        <w:t xml:space="preserve">La persistencia del repertorio asociado a la capitalización individual se observará en la continuidad de su apoyo, su cobertura de actores y su centralidad entre fases. La difusión se refiere a la adopción de ese apoyo por parte de actores inicialmente reformistas. El predominio discursivo se determinará a través de la convergencia de estas evidencias y del análisis de argumentos donde el repertorio limita propuestas rivales.</w:t>
      </w:r>
    </w:p>
    <w:p w:rsidR="00000000" w:rsidDel="00000000" w:rsidP="00000000" w:rsidRDefault="00000000" w:rsidRPr="00000000" w14:paraId="00000082">
      <w:pPr>
        <w:rPr/>
      </w:pPr>
      <w:r w:rsidDel="00000000" w:rsidR="00000000" w:rsidRPr="00000000">
        <w:rPr>
          <w:rtl w:val="0"/>
        </w:rPr>
        <w:t xml:space="preserve">En conjunto, los marcos cumplen funciones analíticas diferenciadas. Los criterios CARIN y las categorías justificativas del caso constituyen los nodos conceptuales de la red; las posturas frente a ellos permiten identificar coaliciones discursivas con líneas argumentales compartidas. La justicia de mercado y la justicia política orientan la interpretación de sus repertorios como economías morales en disputa. La comparación entre proyectos de ley y etapas legislativas permite examinar su persistencia y alcance, mientras que la estructuración permite analizar parte de la hegemonía discursiva al vincular los patrones de red con el papel de los argumentos en la delimitación de ideas en el debate. La institucionalización del discurso en el resultado legislativo no forma parte de la prueba empírica.</w:t>
      </w:r>
    </w:p>
    <w:p w:rsidR="00000000" w:rsidDel="00000000" w:rsidP="00000000" w:rsidRDefault="00000000" w:rsidRPr="00000000" w14:paraId="00000083">
      <w:pPr>
        <w:pStyle w:val="Heading2"/>
        <w:rPr/>
      </w:pPr>
      <w:bookmarkStart w:colFirst="0" w:colLast="0" w:name="_dy5w9tfeoao0" w:id="8"/>
      <w:bookmarkEnd w:id="8"/>
      <w:r w:rsidDel="00000000" w:rsidR="00000000" w:rsidRPr="00000000">
        <w:rPr>
          <w:rtl w:val="0"/>
        </w:rPr>
        <w:t xml:space="preserve">3. El debate previsional chileno: polos discursivos y actores mediadores</w:t>
      </w:r>
    </w:p>
    <w:p w:rsidR="00000000" w:rsidDel="00000000" w:rsidP="00000000" w:rsidRDefault="00000000" w:rsidRPr="00000000" w14:paraId="00000084">
      <w:pPr>
        <w:rPr/>
      </w:pPr>
      <w:r w:rsidDel="00000000" w:rsidR="00000000" w:rsidRPr="00000000">
        <w:rPr>
          <w:rtl w:val="0"/>
        </w:rPr>
        <w:t xml:space="preserve">La tensión entre la justicia de mercado y la justicia política encuentra en la trayectoria del sistema previsional chileno una manifestación empírica crítica. Desde la imposición del modelo en dictadura, sus </w:t>
      </w:r>
      <w:r w:rsidDel="00000000" w:rsidR="00000000" w:rsidRPr="00000000">
        <w:rPr>
          <w:rtl w:val="0"/>
        </w:rPr>
        <w:t xml:space="preserve">reformas (2008 y 2025) y los intentos fallidos de transformación estructural (2015 y 2018), </w:t>
      </w:r>
      <w:r w:rsidDel="00000000" w:rsidR="00000000" w:rsidRPr="00000000">
        <w:rPr>
          <w:rtl w:val="0"/>
        </w:rPr>
        <w:t xml:space="preserve">la disputa previsional ha enfrentado justificaciones rivales sobre el alcance de la propiedad individual, la responsabilidad colectiva y la intervención estatal</w:t>
      </w:r>
      <w:r w:rsidDel="00000000" w:rsidR="00000000" w:rsidRPr="00000000">
        <w:rPr>
          <w:rtl w:val="0"/>
        </w:rPr>
        <w:t xml:space="preserve"> </w:t>
      </w:r>
      <w:r w:rsidDel="00000000" w:rsidR="00000000" w:rsidRPr="00000000">
        <w:rPr>
          <w:rtl w:val="0"/>
        </w:rPr>
        <w:t xml:space="preserve">(Borzutzky, 2019; Larrañaga, 2024; Mesa-Lago &amp; Bertranou, 2016)</w:t>
      </w:r>
      <w:r w:rsidDel="00000000" w:rsidR="00000000" w:rsidRPr="00000000">
        <w:rPr>
          <w:rtl w:val="0"/>
        </w:rPr>
        <w:t xml:space="preserve">. </w:t>
      </w:r>
      <w:r w:rsidDel="00000000" w:rsidR="00000000" w:rsidRPr="00000000">
        <w:rPr>
          <w:rtl w:val="0"/>
        </w:rPr>
        <w:t xml:space="preserve">Esta trayectoria permite derivar expectativas sobre dos líneas argumentales recurrentes y sobre la posible intermediación de la centroizquierda.</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Durante las primeras décadas de la posdictadura, los gobiernos de la Concertación combinaron la protección social frente al riesgo con la preservación de la privatización, la focalización y los fondos individuales </w:t>
      </w:r>
      <w:r w:rsidDel="00000000" w:rsidR="00000000" w:rsidRPr="00000000">
        <w:rPr>
          <w:rtl w:val="0"/>
        </w:rPr>
        <w:t xml:space="preserve">(Castiglioni, 2018; Román Brugnoli &amp; Osorio Gonnet, 2015)</w:t>
      </w:r>
      <w:r w:rsidDel="00000000" w:rsidR="00000000" w:rsidRPr="00000000">
        <w:rPr>
          <w:rtl w:val="0"/>
        </w:rPr>
        <w:t xml:space="preserve">. El Pilar Solidario creado en 2008 canalizó parte de la presión reformista hacia ajustes paramétricos justificando la asistencia focalizada ante la necesidad material extrema, sin alterar el núcleo de la capitalización privada </w:t>
      </w:r>
      <w:r w:rsidDel="00000000" w:rsidR="00000000" w:rsidRPr="00000000">
        <w:rPr>
          <w:rtl w:val="0"/>
        </w:rPr>
        <w:t xml:space="preserve">(Garber, 2021; Martin &amp; Alfaro, 2017)</w:t>
      </w:r>
      <w:r w:rsidDel="00000000" w:rsidR="00000000" w:rsidRPr="00000000">
        <w:rPr>
          <w:rtl w:val="0"/>
        </w:rPr>
        <w:t xml:space="preserve">. Desde 2016, el movimiento NO+AFP impugnó ese arreglo apelando a la necesidad material, la solidaridad intergeneracional y el origen autoritario del modelo, e introdujo una alternativa técnica de reparto en la disputa pública </w:t>
      </w:r>
      <w:r w:rsidDel="00000000" w:rsidR="00000000" w:rsidRPr="00000000">
        <w:rPr>
          <w:rtl w:val="0"/>
        </w:rPr>
        <w:t xml:space="preserve">(López-González &amp; Vélez-Maya, 2025; Matus, 2020; Rozas &amp; Maillet, 2019).</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defensa del modelo articuló la propiedad de los fondos, el mérito contributivo, la rentabilidad y la sostenibilidad financiera, presentando las alternativas solidarias como técnicamente inviables o como una expropiación de los cotizantes </w:t>
      </w:r>
      <w:r w:rsidDel="00000000" w:rsidR="00000000" w:rsidRPr="00000000">
        <w:rPr>
          <w:rtl w:val="0"/>
        </w:rPr>
        <w:t xml:space="preserve">(Campos-Rojas &amp; González-Arias, 2022; Rozas &amp; Maillet, 2019)</w:t>
      </w:r>
      <w:r w:rsidDel="00000000" w:rsidR="00000000" w:rsidRPr="00000000">
        <w:rPr>
          <w:rtl w:val="0"/>
        </w:rPr>
        <w:t xml:space="preserve">. Tras el estallido social de 2019, el bloque promercado aceptó parcialmente la solidaridad y un sistema mixto, mientras los retiros de fondos durante la pandemia reforzaron el sentido de propiedad individual sobre el ahorro </w:t>
      </w:r>
      <w:r w:rsidDel="00000000" w:rsidR="00000000" w:rsidRPr="00000000">
        <w:rPr>
          <w:rtl w:val="0"/>
        </w:rPr>
        <w:t xml:space="preserve">(Barozet, 2025; Kay &amp; Borzutzky, 2022; Rozas-Bugueño &amp; Maillet, 2024)</w:t>
      </w:r>
      <w:r w:rsidDel="00000000" w:rsidR="00000000" w:rsidRPr="00000000">
        <w:rPr>
          <w:rtl w:val="0"/>
        </w:rPr>
        <w:t xml:space="preserve">. La Ley N.º 21.735 incorporó componentes solidarios sin desplazar la capitalización individual como base del sistema </w:t>
      </w:r>
      <w:r w:rsidDel="00000000" w:rsidR="00000000" w:rsidRPr="00000000">
        <w:rPr>
          <w:rtl w:val="0"/>
        </w:rPr>
        <w:t xml:space="preserve">(Vela,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 términos históricos, el panorama discursivo sugiere dos polos principales. Un polo de preservación vincula la propiedad individual, la reciprocidad contributiva entre cotización y beneficio, la capitalización y la administración privada. Un polo de transformación articula la igualdad o el universalismo, la solidaridad intergeneracional y una mayor responsabilidad colectiva en la protección previsional. La necesidad material puede ser invocada por ambos polos para justificar respuestas distributivas distintas. La trayectoria de la centroizquierda permite esperar que algunos de sus actores conecten ambos polos al combinar solidaridad con contribución, focalización y restricciones de viabilidad.</w:t>
      </w:r>
    </w:p>
    <w:p w:rsidR="00000000" w:rsidDel="00000000" w:rsidP="00000000" w:rsidRDefault="00000000" w:rsidRPr="00000000" w14:paraId="00000088">
      <w:pPr>
        <w:rPr/>
      </w:pPr>
      <w:r w:rsidDel="00000000" w:rsidR="00000000" w:rsidRPr="00000000">
        <w:rPr>
          <w:rtl w:val="0"/>
        </w:rPr>
        <w:t xml:space="preserve">El libro de códigos, descrito brevemente a continuación y disponible en el material complementario, operacionaliza criterios de merecimiento, criterios contextuales y justificaciones específicas del caso. Junto con CARIN, se incorporan la </w:t>
      </w:r>
      <w:r w:rsidDel="00000000" w:rsidR="00000000" w:rsidRPr="00000000">
        <w:rPr>
          <w:i w:val="1"/>
          <w:iCs w:val="1"/>
          <w:rtl w:val="0"/>
        </w:rPr>
        <w:t xml:space="preserve">igualdad o el universalismo</w:t>
      </w:r>
      <w:r w:rsidDel="00000000" w:rsidR="00000000" w:rsidRPr="00000000">
        <w:rPr>
          <w:rtl w:val="0"/>
        </w:rPr>
        <w:t xml:space="preserve"> y la </w:t>
      </w:r>
      <w:r w:rsidDel="00000000" w:rsidR="00000000" w:rsidRPr="00000000">
        <w:rPr>
          <w:i w:val="1"/>
          <w:iCs w:val="1"/>
          <w:rtl w:val="0"/>
        </w:rPr>
        <w:t xml:space="preserve">conciencia de costos</w:t>
      </w:r>
      <w:r w:rsidDel="00000000" w:rsidR="00000000" w:rsidRPr="00000000">
        <w:rPr>
          <w:rtl w:val="0"/>
        </w:rPr>
        <w:t xml:space="preserve"> identificados por Laenen et al. </w:t>
      </w:r>
      <w:r w:rsidDel="00000000" w:rsidR="00000000" w:rsidRPr="00000000">
        <w:rPr>
          <w:rtl w:val="0"/>
        </w:rPr>
        <w:t xml:space="preserve">(2019)</w:t>
      </w:r>
      <w:r w:rsidDel="00000000" w:rsidR="00000000" w:rsidRPr="00000000">
        <w:rPr>
          <w:rtl w:val="0"/>
        </w:rPr>
        <w:t xml:space="preserve">. La primera recoge las razones que fundamentan una protección igualitaria o universal; la segunda se restringe en este estudio a los argumentos que afirman o refutan restricciones de gasto y financiamiento de una reforma. La </w:t>
      </w:r>
      <w:r w:rsidDel="00000000" w:rsidR="00000000" w:rsidRPr="00000000">
        <w:rPr>
          <w:i w:val="1"/>
          <w:iCs w:val="1"/>
          <w:rtl w:val="0"/>
        </w:rPr>
        <w:t xml:space="preserve">solidaridad intergeneracional</w:t>
      </w:r>
      <w:r w:rsidDel="00000000" w:rsidR="00000000" w:rsidRPr="00000000">
        <w:rPr>
          <w:rtl w:val="0"/>
        </w:rPr>
        <w:t xml:space="preserve"> se refiere específicamente a la defensa de la transferencia de recursos o a la distribución de riesgos entre generaciones. La </w:t>
      </w:r>
      <w:r w:rsidDel="00000000" w:rsidR="00000000" w:rsidRPr="00000000">
        <w:rPr>
          <w:i w:val="1"/>
          <w:iCs w:val="1"/>
          <w:rtl w:val="0"/>
        </w:rPr>
        <w:t xml:space="preserve">propiedad individual de los fondos</w:t>
      </w:r>
      <w:r w:rsidDel="00000000" w:rsidR="00000000" w:rsidRPr="00000000">
        <w:rPr>
          <w:rtl w:val="0"/>
        </w:rPr>
        <w:t xml:space="preserve"> y la </w:t>
      </w:r>
      <w:r w:rsidDel="00000000" w:rsidR="00000000" w:rsidRPr="00000000">
        <w:rPr>
          <w:i w:val="1"/>
          <w:iCs w:val="1"/>
          <w:rtl w:val="0"/>
        </w:rPr>
        <w:t xml:space="preserve">capitalización individual</w:t>
      </w:r>
      <w:r w:rsidDel="00000000" w:rsidR="00000000" w:rsidRPr="00000000">
        <w:rPr>
          <w:rtl w:val="0"/>
        </w:rPr>
        <w:t xml:space="preserve"> son criterios específicos del caso chileno derivados de los fundamentos del arreglo previsional chileno </w:t>
      </w:r>
      <w:r w:rsidDel="00000000" w:rsidR="00000000" w:rsidRPr="00000000">
        <w:rPr>
          <w:rtl w:val="0"/>
        </w:rPr>
        <w:t xml:space="preserve">(Alemparte, 2025)</w:t>
      </w:r>
      <w:r w:rsidDel="00000000" w:rsidR="00000000" w:rsidRPr="00000000">
        <w:rPr>
          <w:rtl w:val="0"/>
        </w:rPr>
        <w:t xml:space="preserve">. La dimensión institucional se recoge mediante </w:t>
      </w:r>
      <w:r w:rsidDel="00000000" w:rsidR="00000000" w:rsidRPr="00000000">
        <w:rPr>
          <w:i w:val="1"/>
          <w:iCs w:val="1"/>
          <w:rtl w:val="0"/>
        </w:rPr>
        <w:t xml:space="preserve">previsión como mercado</w:t>
      </w:r>
      <w:r w:rsidDel="00000000" w:rsidR="00000000" w:rsidRPr="00000000">
        <w:rPr>
          <w:rtl w:val="0"/>
        </w:rPr>
        <w:t xml:space="preserve">, que incluye justificaciones y críticas de la competencia, la administración privada, los incentivos y las comisiones, e </w:t>
      </w:r>
      <w:r w:rsidDel="00000000" w:rsidR="00000000" w:rsidRPr="00000000">
        <w:rPr>
          <w:i w:val="1"/>
          <w:iCs w:val="1"/>
          <w:rtl w:val="0"/>
        </w:rPr>
        <w:t xml:space="preserve">ineficiencia y riesgo estatal</w:t>
      </w:r>
      <w:r w:rsidDel="00000000" w:rsidR="00000000" w:rsidRPr="00000000">
        <w:rPr>
          <w:rtl w:val="0"/>
        </w:rPr>
        <w:t xml:space="preserve">, que registra razones para excluir o limitar la administración estatal y sus refutaciones. Estas distinciones permiten analizar las combinaciones de justificaciones que sustentan cada posición.</w:t>
      </w:r>
    </w:p>
    <w:p w:rsidR="00000000" w:rsidDel="00000000" w:rsidP="00000000" w:rsidRDefault="00000000" w:rsidRPr="00000000" w14:paraId="00000089">
      <w:pPr>
        <w:rPr/>
      </w:pPr>
      <w:r w:rsidDel="00000000" w:rsidR="00000000" w:rsidRPr="00000000">
        <w:rPr>
          <w:rtl w:val="0"/>
        </w:rPr>
        <w:t xml:space="preserve">La comparación entre proyectos permite examinar cómo cambia la relevancia de estos principios según el objeto de la deliberación. La creación de la PGU y la ampliación de su focalización concentran la discusión en el acceso a una prestación no contributiva; la reforma de la Ley N.º 21.735 incorpora, además, disputas sobre el destino de las cotizaciones y la organización de la previsión. Sobre esta base se formulan las siguientes hipótesis:</w:t>
      </w:r>
    </w:p>
    <w:p w:rsidR="00000000" w:rsidDel="00000000" w:rsidP="00000000" w:rsidRDefault="00000000" w:rsidRPr="00000000" w14:paraId="0000008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H1a. Coaliciones:</w:t>
      </w:r>
      <w:r w:rsidDel="00000000" w:rsidR="00000000" w:rsidRPr="00000000">
        <w:rPr>
          <w:rtl w:val="0"/>
        </w:rPr>
        <w:t xml:space="preserve"> En el debate de la Ley N.º 21.735 se identificarán dos polos discursivos principales, vinculados con la justicia de mercado y la justicia política. El polo de preservación empleará argumentos a favor de la propiedad y capitalización individual, la reciprocidad contributiva, la conciencia de costos y justificaciones de la organización privada y mercantil de la previsión. El polo de transformación se distinguirá por su apoyo a la igualdad o el universalismo y a la solidaridad intergeneracional.</w:t>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H1b. Intermediación:</w:t>
      </w:r>
      <w:r w:rsidDel="00000000" w:rsidR="00000000" w:rsidRPr="00000000">
        <w:rPr>
          <w:rtl w:val="0"/>
        </w:rPr>
        <w:t xml:space="preserve"> Los actores de centroizquierda ocuparán posiciones de mayor intermediación entre los polos al combinar justificaciones de ambos repertorios. El criterio de necesidad material actuará como puente entre los repertorios conceptuales de ambas coaliciones.</w:t>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H2. Comparación entre proyectos:</w:t>
      </w:r>
      <w:r w:rsidDel="00000000" w:rsidR="00000000" w:rsidRPr="00000000">
        <w:rPr>
          <w:rtl w:val="0"/>
        </w:rPr>
        <w:t xml:space="preserve"> Los conceptos relacionados con la justicia de mercado y la capitalización individual tendrán mayor presencia y centralidad relativa en el debate de la Ley N.º 21.735 que en cada uno de los debates de PGU. En estos últimos, la necesidad material y la igualdad o el universalismo alcanzarán un apoyo más transversal entre grupos políticos.</w:t>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 Persistencia:</w:t>
      </w:r>
      <w:r w:rsidDel="00000000" w:rsidR="00000000" w:rsidRPr="00000000">
        <w:rPr>
          <w:rtl w:val="0"/>
        </w:rPr>
        <w:t xml:space="preserve"> Durante las fases observadas de la Ley N.º 21.735, el repertorio asociado a la capitalización individual mantendrá su cobertura de apoyo entre actores y su centralidad relativa en la red de conceptos. Se examinarán por separado propiedad individual, capitalización individual, reciprocidad contributiva, conciencia de costos, ineficiencia y riesgo estatal, y previsión como mercado, así como las relaciones que los articulan.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bgeeprnzrnc" w:id="9"/>
      <w:bookmarkEnd w:id="9"/>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5srgclhb67e" w:id="10"/>
      <w:bookmarkEnd w:id="10"/>
      <w:r w:rsidDel="00000000" w:rsidR="00000000" w:rsidRPr="00000000">
        <w:rPr>
          <w:rtl w:val="0"/>
        </w:rPr>
        <w:t xml:space="preserve">4. Metodología</w:t>
      </w:r>
    </w:p>
    <w:p w:rsidR="00000000" w:rsidDel="00000000" w:rsidP="00000000" w:rsidRDefault="00000000" w:rsidRPr="00000000" w14:paraId="00000095">
      <w:pPr>
        <w:pStyle w:val="Heading3"/>
        <w:rPr/>
      </w:pPr>
      <w:bookmarkStart w:colFirst="0" w:colLast="0" w:name="_l3f36f2q4mye" w:id="11"/>
      <w:bookmarkEnd w:id="11"/>
      <w:r w:rsidDel="00000000" w:rsidR="00000000" w:rsidRPr="00000000">
        <w:rPr>
          <w:rtl w:val="0"/>
        </w:rPr>
        <w:t xml:space="preserve">4.1 Datos</w:t>
      </w:r>
    </w:p>
    <w:p w:rsidR="00000000" w:rsidDel="00000000" w:rsidP="00000000" w:rsidRDefault="00000000" w:rsidRPr="00000000" w14:paraId="00000096">
      <w:pPr>
        <w:rPr/>
      </w:pPr>
      <w:r w:rsidDel="00000000" w:rsidR="00000000" w:rsidRPr="00000000">
        <w:rPr>
          <w:rtl w:val="0"/>
        </w:rPr>
        <w:t xml:space="preserve">El corpus reúne las discusiones en Sala de tres procesos legislativos: la creación de la Pensión Garantizada Universal, Ley N.º 21.419 (boletín 14588-13); la ampliación de su universo de focalización, Ley N.º 21.538 (boletín 15625-13); y la reforma previsional, Ley N.º 21.735 (boletín 15480-13). El diseño es asimétrico; la reforma previsional constituye el caso principal para analizar coaliciones, persistencia y difusión del repertorio, mientras que la creación de la PGU y la ampliación de su focalización constituyen dos casos separados para comparar proyectos.</w:t>
      </w:r>
    </w:p>
    <w:p w:rsidR="00000000" w:rsidDel="00000000" w:rsidP="00000000" w:rsidRDefault="00000000" w:rsidRPr="00000000" w14:paraId="00000097">
      <w:pPr>
        <w:rPr/>
      </w:pPr>
      <w:r w:rsidDel="00000000" w:rsidR="00000000" w:rsidRPr="00000000">
        <w:rPr>
          <w:b w:val="1"/>
          <w:bCs w:val="1"/>
          <w:rtl w:val="0"/>
        </w:rPr>
        <w:t xml:space="preserve">Tabla 1.</w:t>
      </w:r>
      <w:r w:rsidDel="00000000" w:rsidR="00000000" w:rsidRPr="00000000">
        <w:rPr>
          <w:rtl w:val="0"/>
        </w:rPr>
        <w:t xml:space="preserve"> </w:t>
      </w:r>
      <w:r w:rsidDel="00000000" w:rsidR="00000000" w:rsidRPr="00000000">
        <w:rPr>
          <w:i w:val="1"/>
          <w:iCs w:val="1"/>
          <w:rtl w:val="0"/>
        </w:rPr>
        <w:t xml:space="preserve">Discusiones en Sala, intervenciones y fragmentos del corpus textual</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1"/>
        <w:tblW w:w="1026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290"/>
        <w:gridCol w:w="1545"/>
        <w:gridCol w:w="1320"/>
        <w:gridCol w:w="1440"/>
        <w:gridCol w:w="1875"/>
        <w:gridCol w:w="1725"/>
        <w:tblGridChange w:id="0">
          <w:tblGrid>
            <w:gridCol w:w="1065"/>
            <w:gridCol w:w="1290"/>
            <w:gridCol w:w="1545"/>
            <w:gridCol w:w="1320"/>
            <w:gridCol w:w="1440"/>
            <w:gridCol w:w="1875"/>
            <w:gridCol w:w="1725"/>
          </w:tblGrid>
        </w:tblGridChange>
      </w:tblGrid>
      <w:tr>
        <w:trPr>
          <w:cantSplit w:val="0"/>
          <w:trHeight w:val="1879.8242187499998" w:hRule="atLeast"/>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Ley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Boletín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b w:val="1"/>
                <w:bCs w:val="1"/>
              </w:rPr>
            </w:pPr>
            <w:r w:rsidDel="00000000" w:rsidR="00000000" w:rsidRPr="00000000">
              <w:rPr>
                <w:b w:val="1"/>
                <w:bCs w:val="1"/>
                <w:rtl w:val="0"/>
              </w:rPr>
              <w:t xml:space="preserve">Cámara de Diputadas y Diputados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b w:val="1"/>
                <w:bCs w:val="1"/>
              </w:rPr>
            </w:pPr>
            <w:r w:rsidDel="00000000" w:rsidR="00000000" w:rsidRPr="00000000">
              <w:rPr>
                <w:b w:val="1"/>
                <w:bCs w:val="1"/>
                <w:rtl w:val="0"/>
              </w:rPr>
              <w:t xml:space="preserve">Senado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jc w:val="right"/>
              <w:rPr>
                <w:b w:val="1"/>
                <w:bCs w:val="1"/>
              </w:rPr>
            </w:pPr>
            <w:r w:rsidDel="00000000" w:rsidR="00000000" w:rsidRPr="00000000">
              <w:rPr>
                <w:b w:val="1"/>
                <w:bCs w:val="1"/>
                <w:rtl w:val="0"/>
              </w:rPr>
              <w:t xml:space="preserve">Total de discusiones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jc w:val="right"/>
              <w:rPr>
                <w:b w:val="1"/>
                <w:bCs w:val="1"/>
              </w:rPr>
            </w:pPr>
            <w:r w:rsidDel="00000000" w:rsidR="00000000" w:rsidRPr="00000000">
              <w:rPr>
                <w:b w:val="1"/>
                <w:bCs w:val="1"/>
                <w:rtl w:val="0"/>
              </w:rPr>
              <w:t xml:space="preserve">Intervenciones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b w:val="1"/>
                <w:bCs w:val="1"/>
              </w:rPr>
            </w:pPr>
            <w:r w:rsidDel="00000000" w:rsidR="00000000" w:rsidRPr="00000000">
              <w:rPr>
                <w:b w:val="1"/>
                <w:bCs w:val="1"/>
                <w:rtl w:val="0"/>
              </w:rPr>
              <w:t xml:space="preserve">Fragmentos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21.419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14588-13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pPr>
            <w:r w:rsidDel="00000000" w:rsidR="00000000" w:rsidRPr="00000000">
              <w:rPr>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pPr>
            <w:r w:rsidDel="00000000" w:rsidR="00000000" w:rsidRPr="00000000">
              <w:rPr>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jc w:val="right"/>
              <w:rPr/>
            </w:pPr>
            <w:r w:rsidDel="00000000" w:rsidR="00000000" w:rsidRPr="00000000">
              <w:rPr>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pPr>
            <w:r w:rsidDel="00000000" w:rsidR="00000000" w:rsidRPr="00000000">
              <w:rPr>
                <w:rtl w:val="0"/>
              </w:rPr>
              <w:t xml:space="preserve">262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pPr>
            <w:r w:rsidDel="00000000" w:rsidR="00000000" w:rsidRPr="00000000">
              <w:rPr>
                <w:rtl w:val="0"/>
              </w:rPr>
              <w:t xml:space="preserve">844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21.538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15625-13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right"/>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326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21.735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15480-13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pPr>
            <w:r w:rsidDel="00000000" w:rsidR="00000000" w:rsidRPr="00000000">
              <w:rPr>
                <w:rtl w:val="0"/>
              </w:rPr>
              <w:t xml:space="preserve">723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2.439</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jc w:val="right"/>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b w:val="1"/>
                <w:bCs w:val="1"/>
                <w:rtl w:val="0"/>
              </w:rPr>
              <w:t xml:space="preserve">1.096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b w:val="1"/>
                <w:bCs w:val="1"/>
              </w:rPr>
            </w:pPr>
            <w:r w:rsidDel="00000000" w:rsidR="00000000" w:rsidRPr="00000000">
              <w:rPr>
                <w:b w:val="1"/>
                <w:bCs w:val="1"/>
                <w:rtl w:val="0"/>
              </w:rPr>
              <w:t xml:space="preserve">3.609</w:t>
            </w:r>
          </w:p>
        </w:tc>
      </w:tr>
    </w:tbl>
    <w:p w:rsidR="00000000" w:rsidDel="00000000" w:rsidP="00000000" w:rsidRDefault="00000000" w:rsidRPr="00000000" w14:paraId="000000BC">
      <w:pPr>
        <w:rPr>
          <w:i w:val="1"/>
          <w:iCs w:val="1"/>
        </w:rPr>
      </w:pPr>
      <w:r w:rsidDel="00000000" w:rsidR="00000000" w:rsidRPr="00000000">
        <w:rPr>
          <w:i w:val="1"/>
          <w:iCs w:val="1"/>
          <w:rtl w:val="0"/>
        </w:rPr>
        <w:t xml:space="preserve">Fuente: elaboración propia a partir de las Historias de la Ley de la Biblioteca del Congreso Nacional (BCN). Los conteos corresponden a las intervenciones conservadas para la codificación y a los fragmentos resultantes de su segmentación.</w:t>
      </w:r>
    </w:p>
    <w:p w:rsidR="00000000" w:rsidDel="00000000" w:rsidP="00000000" w:rsidRDefault="00000000" w:rsidRPr="00000000" w14:paraId="000000BD">
      <w:pPr>
        <w:rPr/>
      </w:pPr>
      <w:r w:rsidDel="00000000" w:rsidR="00000000" w:rsidRPr="00000000">
        <w:rPr>
          <w:rtl w:val="0"/>
        </w:rPr>
        <w:t xml:space="preserve">La extracción y normalización se realizaron con una biblioteca de Python desarrollada para recuperar información legislativa, </w:t>
      </w:r>
      <w:hyperlink r:id="rId11">
        <w:r w:rsidDel="00000000" w:rsidR="00000000" w:rsidRPr="00000000">
          <w:rPr>
            <w:color w:val="1155cc"/>
            <w:u w:val="single"/>
            <w:rtl w:val="0"/>
          </w:rPr>
          <w:t xml:space="preserve">bcn-scraper</w:t>
        </w:r>
      </w:hyperlink>
      <w:r w:rsidDel="00000000" w:rsidR="00000000" w:rsidRPr="00000000">
        <w:rPr>
          <w:rtl w:val="0"/>
        </w:rPr>
        <w:t xml:space="preserve">. El procedimiento utiliza los documentos estructurados en Akoma Ntoso (AKN)</w:t>
      </w:r>
      <w:r w:rsidDel="00000000" w:rsidR="00000000" w:rsidRPr="00000000">
        <w:rPr>
          <w:vertAlign w:val="superscript"/>
        </w:rPr>
        <w:footnoteReference w:customMarkFollows="0" w:id="0"/>
      </w:r>
      <w:r w:rsidDel="00000000" w:rsidR="00000000" w:rsidRPr="00000000">
        <w:rPr>
          <w:rtl w:val="0"/>
        </w:rPr>
        <w:t xml:space="preserve"> y, cuando ese formato no es utilizable, recupera el discurso desde el XML de la Historia de la Ley.</w:t>
      </w:r>
      <w:r w:rsidDel="00000000" w:rsidR="00000000" w:rsidRPr="00000000">
        <w:rPr>
          <w:vertAlign w:val="superscript"/>
        </w:rPr>
        <w:footnoteReference w:customMarkFollows="0" w:id="1"/>
      </w:r>
      <w:r w:rsidDel="00000000" w:rsidR="00000000" w:rsidRPr="00000000">
        <w:rPr>
          <w:rtl w:val="0"/>
        </w:rPr>
        <w:t xml:space="preserve"> La identificación de hablantes se basó en las referencias a personas de la BCN contenidas en los documentos, complementadas con correcciones manuales documentadas de nombres y actores externos. Cada intervención conserva su identificador, documento de origen, fecha, hablante y posición en la secuencia del debate.</w:t>
      </w:r>
    </w:p>
    <w:p w:rsidR="00000000" w:rsidDel="00000000" w:rsidP="00000000" w:rsidRDefault="00000000" w:rsidRPr="00000000" w14:paraId="000000BE">
      <w:pPr>
        <w:rPr/>
      </w:pPr>
      <w:r w:rsidDel="00000000" w:rsidR="00000000" w:rsidRPr="00000000">
        <w:rPr>
          <w:rtl w:val="0"/>
        </w:rPr>
        <w:t xml:space="preserve">Las intervenciones se segmentaron mediante </w:t>
      </w:r>
      <w:r w:rsidDel="00000000" w:rsidR="00000000" w:rsidRPr="00000000">
        <w:rPr>
          <w:i w:val="1"/>
          <w:iCs w:val="1"/>
          <w:rtl w:val="0"/>
        </w:rPr>
        <w:t xml:space="preserve">chunking</w:t>
      </w:r>
      <w:r w:rsidDel="00000000" w:rsidR="00000000" w:rsidRPr="00000000">
        <w:rPr>
          <w:rtl w:val="0"/>
        </w:rPr>
        <w:t xml:space="preserve"> en fragmentos de entre 5 y 194 palabras, acompañados por su contexto adyacente.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Los eventos de transcripción, como aplausos y manifestaciones, se conservan como registro contextual y quedan fuera del conjunto de fragmentos enviado a codificación. Las intervenciones procedimentales y las nóminas de votación que permanecen dentro de las secciones de discusión se revisan durante la codificación para determinar si contienen declaraciones pertinentes.</w:t>
      </w:r>
    </w:p>
    <w:p w:rsidR="00000000" w:rsidDel="00000000" w:rsidP="00000000" w:rsidRDefault="00000000" w:rsidRPr="00000000" w14:paraId="000000C0">
      <w:pPr>
        <w:pStyle w:val="Heading3"/>
        <w:rPr/>
      </w:pPr>
      <w:bookmarkStart w:colFirst="0" w:colLast="0" w:name="_iprn984wqxcj" w:id="12"/>
      <w:bookmarkEnd w:id="12"/>
      <w:r w:rsidDel="00000000" w:rsidR="00000000" w:rsidRPr="00000000">
        <w:rPr>
          <w:rtl w:val="0"/>
        </w:rPr>
        <w:t xml:space="preserve">4.2 Variables</w:t>
      </w:r>
    </w:p>
    <w:p w:rsidR="00000000" w:rsidDel="00000000" w:rsidP="00000000" w:rsidRDefault="00000000" w:rsidRPr="00000000" w14:paraId="000000C1">
      <w:pPr>
        <w:rPr/>
      </w:pPr>
      <w:r w:rsidDel="00000000" w:rsidR="00000000" w:rsidRPr="00000000">
        <w:rPr>
          <w:rtl w:val="0"/>
        </w:rPr>
        <w:t xml:space="preserve">La investigación utiliza la metodología de análisis de redes discursivas (DNA), que combina codificación cualitativa y modelamiento de redes. Siguiendo a Leifeld </w:t>
      </w:r>
      <w:r w:rsidDel="00000000" w:rsidR="00000000" w:rsidRPr="00000000">
        <w:rPr>
          <w:rtl w:val="0"/>
        </w:rPr>
        <w:t xml:space="preserve">(2017)</w:t>
      </w:r>
      <w:r w:rsidDel="00000000" w:rsidR="00000000" w:rsidRPr="00000000">
        <w:rPr>
          <w:rtl w:val="0"/>
        </w:rPr>
        <w:t xml:space="preserve">, la unidad principal de análisis es la declaración. En este estudio se identifican las afirmaciones que expresan justificaciones normativas sobre la organización, distribución, financiamiento o gobierno de la protección previsional. Una intervención puede contener varias declaraciones, y un mismo pasaje puede recibir más de un código cuando expresa razones diferenciables. Las variables de cada declaración se operacionalizan de la siguiente manera:</w:t>
      </w:r>
    </w:p>
    <w:p w:rsidR="00000000" w:rsidDel="00000000" w:rsidP="00000000" w:rsidRDefault="00000000" w:rsidRPr="00000000" w14:paraId="000000C2">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Actores: las personas que emiten la declaración en Sala, incluidos parlamentarios, integrantes del Ejecutivo y autoridades de las cámaras. Se registran su género, su afiliación partidaria y su edad al momento de la discusión.</w:t>
      </w:r>
    </w:p>
    <w:p w:rsidR="00000000" w:rsidDel="00000000" w:rsidP="00000000" w:rsidRDefault="00000000" w:rsidRPr="00000000" w14:paraId="000000C3">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Conceptos: las justificaciones normativas que conformarán los nodos conceptuales de la red. El libro de códigos, disponible en el material complementario, se construyó a partir de los criterios CARIN y de las categorías justificativas del caso chileno, y se revisó mediante rondas de calibración manual y en muestras piloto con el LLM.</w:t>
      </w:r>
    </w:p>
    <w:p w:rsidR="00000000" w:rsidDel="00000000" w:rsidP="00000000" w:rsidRDefault="00000000" w:rsidRPr="00000000" w14:paraId="000000C4">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Acuerdo: variable dicotómica que indica la orientación de cada declaración. Es positivo (1) si el actor respalda el concepto y negativo (0) si lo rechaza o le atribuye una connotación negativa.</w:t>
      </w:r>
    </w:p>
    <w:p w:rsidR="00000000" w:rsidDel="00000000" w:rsidP="00000000" w:rsidRDefault="00000000" w:rsidRPr="00000000" w14:paraId="000000C5">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Tiempo: cada declaración se asociará con la ley, la fecha y la sesión en que fue emitida. Dentro de cada sesión, las intervenciones mantienen el orden en que fueron emitidas.</w:t>
      </w:r>
    </w:p>
    <w:p w:rsidR="00000000" w:rsidDel="00000000" w:rsidP="00000000" w:rsidRDefault="00000000" w:rsidRPr="00000000" w14:paraId="000000C6">
      <w:pPr>
        <w:pStyle w:val="Heading3"/>
        <w:rPr/>
      </w:pPr>
      <w:bookmarkStart w:colFirst="0" w:colLast="0" w:name="_jcndyb2tvdxo" w:id="13"/>
      <w:bookmarkEnd w:id="13"/>
      <w:r w:rsidDel="00000000" w:rsidR="00000000" w:rsidRPr="00000000">
        <w:rPr>
          <w:rtl w:val="0"/>
        </w:rPr>
        <w:t xml:space="preserve">4.3 Estrategia de análisis</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Figura 1:</w:t>
      </w:r>
    </w:p>
    <w:p w:rsidR="00000000" w:rsidDel="00000000" w:rsidP="00000000" w:rsidRDefault="00000000" w:rsidRPr="00000000" w14:paraId="000000C8">
      <w:pPr>
        <w:rPr>
          <w:b w:val="1"/>
          <w:bCs w:val="1"/>
        </w:rPr>
      </w:pPr>
      <w:r w:rsidDel="00000000" w:rsidR="00000000" w:rsidRPr="00000000">
        <w:rPr>
          <w:i w:val="1"/>
          <w:iCs w:val="1"/>
          <w:rtl w:val="0"/>
        </w:rPr>
        <w:t xml:space="preserve">Resumen de la estrategia de análisis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2946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rtl w:val="0"/>
        </w:rPr>
        <w:t xml:space="preserve">Nota: los tics indican las fases ya completadas y la flecha indica la etapa de avance actual de la investigación.</w:t>
      </w:r>
      <w:r w:rsidDel="00000000" w:rsidR="00000000" w:rsidRPr="00000000">
        <w:rPr>
          <w:rtl w:val="0"/>
        </w:rPr>
      </w:r>
    </w:p>
    <w:p w:rsidR="00000000" w:rsidDel="00000000" w:rsidP="00000000" w:rsidRDefault="00000000" w:rsidRPr="00000000" w14:paraId="000000CB">
      <w:pPr>
        <w:pStyle w:val="Heading4"/>
        <w:rPr>
          <w:i w:val="1"/>
          <w:iCs w:val="1"/>
        </w:rPr>
      </w:pPr>
      <w:bookmarkStart w:colFirst="0" w:colLast="0" w:name="_n0r3akeko83b" w:id="14"/>
      <w:bookmarkEnd w:id="14"/>
      <w:r w:rsidDel="00000000" w:rsidR="00000000" w:rsidRPr="00000000">
        <w:rPr>
          <w:rtl w:val="0"/>
        </w:rPr>
        <w:t xml:space="preserve">4.3.1 Estrategia de codificación y validación</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Debido al volumen del corpus, un LLM (gpt-6-luna) asistirá en la aplicación del libro de códigos, manteniendo la interpretación sustantiva a cargo del investigador. En cada fragmento se identificarán primero las declaraciones que expresan posiciones sobre los conceptos normativos del libro. El modelo deberá aportar una cita literal y una justificación breve de la asignación del concepto y de su orientación, indicando el criterio aplicado. También registrará las ambigüedades y, cuando utilice contexto adyacente, los pasajes que sustentan su interpretación. Los casos con evidencia insuficiente, confianza media o baja reportada por el modelo, dependencia excesiva del contexto o falta de correspondencia con el libro de códigos serán marcados como ambiguos y remitidos a revisión manual </w:t>
      </w:r>
      <w:r w:rsidDel="00000000" w:rsidR="00000000" w:rsidRPr="00000000">
        <w:rPr>
          <w:rtl w:val="0"/>
        </w:rPr>
        <w:t xml:space="preserve">(Ashwin et al., 2025; Dunivin, 2025)</w:t>
      </w:r>
      <w:r w:rsidDel="00000000" w:rsidR="00000000" w:rsidRPr="00000000">
        <w:rPr>
          <w:rtl w:val="0"/>
        </w:rPr>
        <w:t xml:space="preserve">. El libro de códigos y el prompt utilizados están disponibles en el material suplementario (Anexo 1 y Anexo 2).</w:t>
      </w:r>
    </w:p>
    <w:p w:rsidR="00000000" w:rsidDel="00000000" w:rsidP="00000000" w:rsidRDefault="00000000" w:rsidRPr="00000000" w14:paraId="000000CD">
      <w:pPr>
        <w:rPr/>
      </w:pPr>
      <w:r w:rsidDel="00000000" w:rsidR="00000000" w:rsidRPr="00000000">
        <w:rPr>
          <w:rtl w:val="0"/>
        </w:rPr>
        <w:t xml:space="preserve">Dos antecedentes orientan especialmente este procedimiento. Randerson et al. </w:t>
      </w:r>
      <w:r w:rsidDel="00000000" w:rsidR="00000000" w:rsidRPr="00000000">
        <w:rPr>
          <w:rtl w:val="0"/>
        </w:rPr>
        <w:t xml:space="preserve">(2025)</w:t>
      </w:r>
      <w:r w:rsidDel="00000000" w:rsidR="00000000" w:rsidRPr="00000000">
        <w:rPr>
          <w:rtl w:val="0"/>
        </w:rPr>
        <w:t xml:space="preserve"> emplearon GPT-4 para apoyar la construcción inductiva de un libro de códigos para DNA: recuperaron más de dos tercios de los conceptos identificados por los investigadores, pero el modelo también produjo numerosas categorías irrelevantes que requirieron revisión humana. Angst et al. </w:t>
      </w:r>
      <w:r w:rsidDel="00000000" w:rsidR="00000000" w:rsidRPr="00000000">
        <w:rPr>
          <w:rtl w:val="0"/>
        </w:rPr>
        <w:t xml:space="preserve">(2025)</w:t>
      </w:r>
      <w:r w:rsidDel="00000000" w:rsidR="00000000" w:rsidRPr="00000000">
        <w:rPr>
          <w:rtl w:val="0"/>
        </w:rPr>
        <w:t xml:space="preserve"> automatizaron la extracción de redes actor-creencia mediante tareas separadas de reconocimiento y vinculación de entidades, clasificación supervisada y detección de postura con un LLM y la evaluaron contra datos codificados manualmente. En este estudio, esas lecciones se traducen en el uso de un libro de códigos deductivo, la evaluación independiente de cada tarea y la revisión humana de los casos ambiguos.</w:t>
      </w:r>
    </w:p>
    <w:p w:rsidR="00000000" w:rsidDel="00000000" w:rsidP="00000000" w:rsidRDefault="00000000" w:rsidRPr="00000000" w14:paraId="000000CE">
      <w:pPr>
        <w:rPr/>
      </w:pPr>
      <w:r w:rsidDel="00000000" w:rsidR="00000000" w:rsidRPr="00000000">
        <w:rPr>
          <w:rtl w:val="0"/>
        </w:rPr>
        <w:t xml:space="preserve">El procedimiento de validación se organiza en tres etapas iterativas. En primer lugar, el libro de códigos fue evaluado en múltiples rondas de codificación manual por el investigador, utilizando muestras estratificadas por sesión y por longitud. En segundo lugar, se realizaron iteraciones piloto con el LLM, revisando manualmente las anotaciones realizadas por el modelo, en particular, las marcadas como ambiguas. Para finalizar, luego de la codificación definitiva se codificará manualmente una muestra estratificada por ley, cámara, género y alineación política (Bosley, 2025), reportando precisión, F1, y kappa de Cohen para la codificación de conceptos y postura. Los casos ambiguos se adjudicarán manualmente, conservando su estado de revisión, y se examinará si se concentran por ley, tipo de actor, género o partido. Si una tarea o categoría no alcanza un desempeño suficiente, se revisará el instrumento y se repetirá la evaluación antes de escalar el procesamiento </w:t>
      </w:r>
      <w:r w:rsidDel="00000000" w:rsidR="00000000" w:rsidRPr="00000000">
        <w:rPr>
          <w:rtl w:val="0"/>
        </w:rPr>
        <w:t xml:space="preserve">(Crupi et al., 2025; Dunivin, 2025)</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Al finalizar esta etapa, se dispondrá de una base analítica de declaraciones normativas procedentes de las nueve discusiones en Sala. Cada anotación conservará su ley, boletín, documento, actor, intervención y fragmento de origen, junto con el concepto, su orientación, la evidencia textual, la justificación del modelo, el grado de confianza y las revisiones manuales.</w:t>
      </w:r>
    </w:p>
    <w:p w:rsidR="00000000" w:rsidDel="00000000" w:rsidP="00000000" w:rsidRDefault="00000000" w:rsidRPr="00000000" w14:paraId="000000D0">
      <w:pPr>
        <w:pStyle w:val="Heading4"/>
        <w:rPr/>
      </w:pPr>
      <w:bookmarkStart w:colFirst="0" w:colLast="0" w:name="_ycu6ot81p6d0" w:id="15"/>
      <w:bookmarkEnd w:id="15"/>
      <w:r w:rsidDel="00000000" w:rsidR="00000000" w:rsidRPr="00000000">
        <w:rPr>
          <w:i w:val="1"/>
          <w:iCs w:val="1"/>
          <w:rtl w:val="0"/>
        </w:rPr>
        <w:t xml:space="preserve">4.3.2 Análisis descriptivo y modelamiento de patrones discursivos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El análisis seguirá la secuencia resumida en la Tabla 2. Las fórmulas de las redes, las reglas de conteo y las especificaciones estadísticas se describen en el Anexo 3.</w:t>
      </w:r>
    </w:p>
    <w:p w:rsidR="00000000" w:rsidDel="00000000" w:rsidP="00000000" w:rsidRDefault="00000000" w:rsidRPr="00000000" w14:paraId="000000D2">
      <w:pPr>
        <w:rPr/>
      </w:pPr>
      <w:r w:rsidDel="00000000" w:rsidR="00000000" w:rsidRPr="00000000">
        <w:rPr>
          <w:b w:val="1"/>
          <w:bCs w:val="1"/>
          <w:rtl w:val="0"/>
        </w:rPr>
        <w:t xml:space="preserve">Tabla 2.</w:t>
      </w:r>
      <w:r w:rsidDel="00000000" w:rsidR="00000000" w:rsidRPr="00000000">
        <w:rPr>
          <w:rtl w:val="0"/>
        </w:rPr>
        <w:t xml:space="preserve"> </w:t>
      </w:r>
      <w:r w:rsidDel="00000000" w:rsidR="00000000" w:rsidRPr="00000000">
        <w:rPr>
          <w:i w:val="1"/>
          <w:iCs w:val="1"/>
          <w:rtl w:val="0"/>
        </w:rPr>
        <w:t xml:space="preserve">Hipótesis y estrategia de contrastación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Hipótesis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Comparación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Medidas y evidencia</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H1a. Coaliciones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Agrupamientos de actores en la Ley N.º 21.735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Detección de comunidades y conceptos distintivos de cada coalición.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H1b. Intermediación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Actores de centroizquierda frente a los demás parlamentarios; necesidad material frente a los demás conceptos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Centralidad de intermediación y argumentos que conectan ambos polos.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H2. Proyectos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Leyes N.º 21.419, 21.538 y 21.735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Presencia, centralidad y alcance de los conceptos; modelos logísticos.</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H3. Persistencia</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Fases de la Ley N.º 21.735</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Continuidad de la centralidad, del apoyo y de las relaciones entre conceptos.</w:t>
            </w:r>
          </w:p>
        </w:tc>
      </w:tr>
    </w:tbl>
    <w:p w:rsidR="00000000" w:rsidDel="00000000" w:rsidP="00000000" w:rsidRDefault="00000000" w:rsidRPr="00000000" w14:paraId="000000E3">
      <w:pPr>
        <w:rPr/>
      </w:pPr>
      <w:r w:rsidDel="00000000" w:rsidR="00000000" w:rsidRPr="00000000">
        <w:rPr>
          <w:rtl w:val="0"/>
        </w:rPr>
        <w:t xml:space="preserve">En primer lugar, se describirán las declaraciones según concepto, postura, actor, ley y fase legislativa. Las menciones repetidas de un concepto dentro de una intervención contarán una sola vez por postura. Se reportará el porcentaje de intervenciones que contienen cada concepto con determinada postura y la proporción de actores que la expresan.</w:t>
      </w:r>
    </w:p>
    <w:p w:rsidR="00000000" w:rsidDel="00000000" w:rsidP="00000000" w:rsidRDefault="00000000" w:rsidRPr="00000000" w14:paraId="000000E4">
      <w:pPr>
        <w:rPr/>
      </w:pPr>
      <w:r w:rsidDel="00000000" w:rsidR="00000000" w:rsidRPr="00000000">
        <w:rPr>
          <w:rtl w:val="0"/>
        </w:rPr>
        <w:t xml:space="preserve">En segundo lugar, se identificarán las coaliciones para evaluar H1a. Primero, se proyectarán las redes de congruencia y conflicto entre actores: las coincidencias de postura producirán vínculos de congruencia y las posiciones opuestas producirán vínculos de conflicto </w:t>
      </w:r>
      <w:r w:rsidDel="00000000" w:rsidR="00000000" w:rsidRPr="00000000">
        <w:rPr>
          <w:rtl w:val="0"/>
        </w:rPr>
        <w:t xml:space="preserve">(Leifeld, 2017)</w:t>
      </w:r>
      <w:r w:rsidDel="00000000" w:rsidR="00000000" w:rsidRPr="00000000">
        <w:rPr>
          <w:rtl w:val="0"/>
        </w:rPr>
        <w:t xml:space="preserve">. Ambas relaciones se normalizarán mediante similitud de coseno para reducir el peso de las diferencias en la frecuencia de participación, como ocurre con los integrantes del Ejecutivo. Luego, se combinarán en una red con vínculos positivos y negativos y se aplicará detección de comunidades mediante </w:t>
      </w:r>
      <w:r w:rsidDel="00000000" w:rsidR="00000000" w:rsidRPr="00000000">
        <w:rPr>
          <w:i w:val="1"/>
          <w:iCs w:val="1"/>
          <w:rtl w:val="0"/>
        </w:rPr>
        <w:t xml:space="preserve">signed spin-glass</w:t>
      </w:r>
      <w:r w:rsidDel="00000000" w:rsidR="00000000" w:rsidRPr="00000000">
        <w:rPr>
          <w:rtl w:val="0"/>
        </w:rPr>
        <w:t xml:space="preserve">, repitiendo las estimaciones para examinar su estabilidad </w:t>
      </w:r>
      <w:r w:rsidDel="00000000" w:rsidR="00000000" w:rsidRPr="00000000">
        <w:rPr>
          <w:rtl w:val="0"/>
        </w:rPr>
        <w:t xml:space="preserve">(Schaub, 2021)</w:t>
      </w:r>
      <w:r w:rsidDel="00000000" w:rsidR="00000000" w:rsidRPr="00000000">
        <w:rPr>
          <w:rtl w:val="0"/>
        </w:rPr>
        <w:t xml:space="preserve">. El procedimiento determinará el número de comunidades sin fijarlo en dos. Se contrastará H1a según los grupos identificados y los conceptos y posturas que los distinguen, interpretando sus repertorios en relación con la justicia de mercado y la justicia política.</w:t>
      </w:r>
    </w:p>
    <w:p w:rsidR="00000000" w:rsidDel="00000000" w:rsidP="00000000" w:rsidRDefault="00000000" w:rsidRPr="00000000" w14:paraId="000000E5">
      <w:pPr>
        <w:rPr/>
      </w:pPr>
      <w:r w:rsidDel="00000000" w:rsidR="00000000" w:rsidRPr="00000000">
        <w:rPr>
          <w:rtl w:val="0"/>
        </w:rPr>
        <w:t xml:space="preserve">En tercer lugar, se examinará la centralidad de los conceptos mediante dos redes. La red de presencia conectará los conceptos utilizados por los mismos actores, tanto para apoyarlos como para rechazarlos. Su centralidad se medirá por la fuerza de sus conexiones. La red de congruencia conceptual conectará los conceptos que un mismo actor respalda conjuntamente o rechaza conjuntamente </w:t>
      </w:r>
      <w:r w:rsidDel="00000000" w:rsidR="00000000" w:rsidRPr="00000000">
        <w:rPr>
          <w:rtl w:val="0"/>
        </w:rPr>
        <w:t xml:space="preserve">(Leifeld &amp; Haunss, 2012)</w:t>
      </w:r>
      <w:r w:rsidDel="00000000" w:rsidR="00000000" w:rsidRPr="00000000">
        <w:rPr>
          <w:rtl w:val="0"/>
        </w:rPr>
        <w:t xml:space="preserve">. Esta segunda red identificará cómo se relacionan las posiciones dentro de los repertorios. La distinción permite reconocer que un concepto puede ser central en la discusión incluso cuando recibe rechazo.</w:t>
      </w:r>
    </w:p>
    <w:p w:rsidR="00000000" w:rsidDel="00000000" w:rsidP="00000000" w:rsidRDefault="00000000" w:rsidRPr="00000000" w14:paraId="000000E6">
      <w:pPr>
        <w:rPr/>
      </w:pPr>
      <w:r w:rsidDel="00000000" w:rsidR="00000000" w:rsidRPr="00000000">
        <w:rPr>
          <w:rtl w:val="0"/>
        </w:rPr>
        <w:t xml:space="preserve">En cuarto lugar, se evaluará H1b mediante la centralidad de intermediación, que identifica actores y conceptos situados en rutas que conectan otros nodos de la red </w:t>
      </w:r>
      <w:r w:rsidDel="00000000" w:rsidR="00000000" w:rsidRPr="00000000">
        <w:rPr>
          <w:rtl w:val="0"/>
        </w:rPr>
        <w:t xml:space="preserve">(Freeman, 1977)</w:t>
      </w:r>
      <w:r w:rsidDel="00000000" w:rsidR="00000000" w:rsidRPr="00000000">
        <w:rPr>
          <w:rtl w:val="0"/>
        </w:rPr>
        <w:t xml:space="preserve">. Se comparará a los parlamentarios de centroizquierda</w:t>
      </w:r>
      <w:r w:rsidDel="00000000" w:rsidR="00000000" w:rsidRPr="00000000">
        <w:rPr>
          <w:vertAlign w:val="superscript"/>
        </w:rPr>
        <w:footnoteReference w:customMarkFollows="0" w:id="3"/>
      </w:r>
      <w:r w:rsidDel="00000000" w:rsidR="00000000" w:rsidRPr="00000000">
        <w:rPr>
          <w:rtl w:val="0"/>
        </w:rPr>
        <w:t xml:space="preserve"> con los demás grupos en la red de congruencia de actores, y la necesidad material con los otros conceptos en la red de congruencia conceptual. La lectura de intervenciones comprobará cómo estas posiciones conectan ambos polos y qué justificaciones comparten.</w:t>
      </w:r>
    </w:p>
    <w:p w:rsidR="00000000" w:rsidDel="00000000" w:rsidP="00000000" w:rsidRDefault="00000000" w:rsidRPr="00000000" w14:paraId="000000E7">
      <w:pPr>
        <w:rPr/>
      </w:pPr>
      <w:r w:rsidDel="00000000" w:rsidR="00000000" w:rsidRPr="00000000">
        <w:rPr>
          <w:rtl w:val="0"/>
        </w:rPr>
        <w:t xml:space="preserve">En quinto lugar, se compararán los tres proyectos para evaluar H2. Se examinará la presencia y centralidad de los seis conceptos del repertorio de capitalización individual, así como el apoyo a necesidad e igualdad o universalismo entre grupos políticos. Se estimarán modelos logísticos por concepto, con ley, grupo político y su interacción como predictores, ajustando por cámara, tipo de actor y longitud de la intervención. Un intercepto aleatorio por actor recogerá la dependencia entre sus participaciones. </w:t>
      </w:r>
      <w:r w:rsidDel="00000000" w:rsidR="00000000" w:rsidRPr="00000000">
        <w:rPr>
          <w:rtl w:val="0"/>
        </w:rPr>
        <w:t xml:space="preserve">Los resultados mostrarán probabilidades de presencia para los conceptos del repertorio de capitalización individual y de apoyo para necesidad e igualdad o universalismo. Las comparaciones se referirán a los tres procesos estudiados.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En sexto lugar, se evaluará H3 comparando las tres fases de la reforma: Cámara en enero de 2024, Senado en enero de 2025 y Cámara en enero de 2025. Se examinará si el repertorio de la justicia de mercado mantiene su centralidad, su apoyo entre actores y sus conexiones con otros componentes del repertorio. El rechazo sostenido a un concepto indicará su continuidad como objeto de disputa; el respaldo sostenido aportará evidencia de la persistencia de su aceptación. La comparación entre cámaras describirá configuraciones del debate y el seguimiento de actores comunes de la Cámara mostrará continuidades individuales.</w:t>
      </w:r>
    </w:p>
    <w:p w:rsidR="00000000" w:rsidDel="00000000" w:rsidP="00000000" w:rsidRDefault="00000000" w:rsidRPr="00000000" w14:paraId="000000E9">
      <w:pPr>
        <w:rPr/>
      </w:pPr>
      <w:r w:rsidDel="00000000" w:rsidR="00000000" w:rsidRPr="00000000">
        <w:rPr>
          <w:rtl w:val="0"/>
        </w:rPr>
        <w:t xml:space="preserve">Finalmente, se interpretará la estructuración del debate a partir de las redes y de los argumentos que sostienen sus patrones principales. Se examinarán los conceptos centrales, las conexiones entre coaliciones y los casos que contradigan las tendencias observadas. La evidencia de predominio requerirá mostrar que actores de otros repertorios reconocen esas premisas o ajustan sus propuestas a ellas. Así se distinguirá la centralidad de un concepto en la controversia de su aceptación como fundamento de las propuestas.</w:t>
      </w:r>
    </w:p>
    <w:p w:rsidR="00000000" w:rsidDel="00000000" w:rsidP="00000000" w:rsidRDefault="00000000" w:rsidRPr="00000000" w14:paraId="000000EA">
      <w:pPr>
        <w:pStyle w:val="Heading2"/>
        <w:rPr/>
      </w:pPr>
      <w:bookmarkStart w:colFirst="0" w:colLast="0" w:name="_iwb0r8hkuzk4" w:id="16"/>
      <w:bookmarkEnd w:id="16"/>
      <w:r w:rsidDel="00000000" w:rsidR="00000000" w:rsidRPr="00000000">
        <w:rPr>
          <w:rtl w:val="0"/>
        </w:rPr>
        <w:t xml:space="preserve">5. Resultados preliminares</w:t>
      </w:r>
    </w:p>
    <w:p w:rsidR="00000000" w:rsidDel="00000000" w:rsidP="00000000" w:rsidRDefault="00000000" w:rsidRPr="00000000" w14:paraId="000000EB">
      <w:pPr>
        <w:rPr/>
      </w:pPr>
      <w:r w:rsidDel="00000000" w:rsidR="00000000" w:rsidRPr="00000000">
        <w:rPr>
          <w:rtl w:val="0"/>
        </w:rPr>
        <w:t xml:space="preserve">Tras tres pilotos con muestras estratificadas y revisadas manualmente, se completó una primera codificación automática de los 3.609 bloques del corpus. Los resultados siguientes describen esa ronda de anotaciones. Todavía está pendiente la validación manual ciega y el cálculo de las métricas de fiabilidad, por lo que las diferencias observadas no constituyen una prueba de las hipótesis.</w:t>
      </w:r>
    </w:p>
    <w:p w:rsidR="00000000" w:rsidDel="00000000" w:rsidP="00000000" w:rsidRDefault="00000000" w:rsidRPr="00000000" w14:paraId="000000EC">
      <w:pPr>
        <w:pStyle w:val="Heading3"/>
        <w:rPr/>
      </w:pPr>
      <w:bookmarkStart w:colFirst="0" w:colLast="0" w:name="_b37hyux70er1" w:id="17"/>
      <w:bookmarkEnd w:id="17"/>
      <w:r w:rsidDel="00000000" w:rsidR="00000000" w:rsidRPr="00000000">
        <w:rPr>
          <w:rtl w:val="0"/>
        </w:rPr>
        <w:t xml:space="preserve">5.1. Resultados Descriptivos </w:t>
      </w:r>
    </w:p>
    <w:p w:rsidR="00000000" w:rsidDel="00000000" w:rsidP="00000000" w:rsidRDefault="00000000" w:rsidRPr="00000000" w14:paraId="000000ED">
      <w:pPr>
        <w:spacing w:before="0" w:lineRule="auto"/>
        <w:rPr>
          <w:b w:val="1"/>
          <w:bCs w:val="1"/>
        </w:rPr>
      </w:pPr>
      <w:r w:rsidDel="00000000" w:rsidR="00000000" w:rsidRPr="00000000">
        <w:rPr>
          <w:b w:val="1"/>
          <w:bCs w:val="1"/>
          <w:rtl w:val="0"/>
        </w:rPr>
        <w:t xml:space="preserve">Tabla 3</w:t>
      </w:r>
    </w:p>
    <w:p w:rsidR="00000000" w:rsidDel="00000000" w:rsidP="00000000" w:rsidRDefault="00000000" w:rsidRPr="00000000" w14:paraId="000000EE">
      <w:pPr>
        <w:spacing w:before="0" w:lineRule="auto"/>
        <w:rPr>
          <w:i w:val="1"/>
          <w:iCs w:val="1"/>
        </w:rPr>
      </w:pPr>
      <w:r w:rsidDel="00000000" w:rsidR="00000000" w:rsidRPr="00000000">
        <w:rPr>
          <w:i w:val="1"/>
          <w:iCs w:val="1"/>
          <w:rtl w:val="0"/>
        </w:rPr>
        <w:t xml:space="preserve">Intervenciones incluidas y descartadas por ley y trámite</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25"/>
        <w:gridCol w:w="1080"/>
        <w:gridCol w:w="2235"/>
        <w:gridCol w:w="2235"/>
        <w:tblGridChange w:id="0">
          <w:tblGrid>
            <w:gridCol w:w="1650"/>
            <w:gridCol w:w="1725"/>
            <w:gridCol w:w="1080"/>
            <w:gridCol w:w="2235"/>
            <w:gridCol w:w="2235"/>
          </w:tblGrid>
        </w:tblGridChange>
      </w:tblGrid>
      <w:tr>
        <w:trPr>
          <w:cantSplit w:val="0"/>
          <w:trHeight w:val="465" w:hRule="atLeast"/>
          <w:tblHeader w:val="0"/>
        </w:trPr>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EF">
            <w:pPr>
              <w:spacing w:after="60" w:before="60" w:lineRule="auto"/>
              <w:ind w:left="60" w:right="60" w:firstLine="0"/>
              <w:jc w:val="center"/>
              <w:rPr>
                <w:b w:val="1"/>
                <w:bCs w:val="1"/>
              </w:rPr>
            </w:pPr>
            <w:r w:rsidDel="00000000" w:rsidR="00000000" w:rsidRPr="00000000">
              <w:rPr>
                <w:b w:val="1"/>
                <w:bCs w:val="1"/>
                <w:rtl w:val="0"/>
              </w:rPr>
              <w:t xml:space="preserve">Ley</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0">
            <w:pPr>
              <w:spacing w:after="60" w:before="60" w:lineRule="auto"/>
              <w:ind w:left="60" w:right="60" w:firstLine="0"/>
              <w:jc w:val="center"/>
              <w:rPr>
                <w:b w:val="1"/>
                <w:bCs w:val="1"/>
              </w:rPr>
            </w:pPr>
            <w:r w:rsidDel="00000000" w:rsidR="00000000" w:rsidRPr="00000000">
              <w:rPr>
                <w:b w:val="1"/>
                <w:bCs w:val="1"/>
                <w:rtl w:val="0"/>
              </w:rPr>
              <w:t xml:space="preserve">Trámite</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1">
            <w:pPr>
              <w:spacing w:after="60" w:before="60" w:lineRule="auto"/>
              <w:ind w:left="60" w:right="60" w:firstLine="0"/>
              <w:jc w:val="center"/>
              <w:rPr>
                <w:b w:val="1"/>
                <w:bCs w:val="1"/>
              </w:rPr>
            </w:pPr>
            <w:r w:rsidDel="00000000" w:rsidR="00000000" w:rsidRPr="00000000">
              <w:rPr>
                <w:b w:val="1"/>
                <w:bCs w:val="1"/>
                <w:rtl w:val="0"/>
              </w:rPr>
              <w:t xml:space="preserve">Total</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2">
            <w:pPr>
              <w:spacing w:after="60" w:before="60" w:lineRule="auto"/>
              <w:ind w:left="60" w:right="60" w:firstLine="0"/>
              <w:jc w:val="center"/>
              <w:rPr>
                <w:b w:val="1"/>
                <w:bCs w:val="1"/>
              </w:rPr>
            </w:pPr>
            <w:r w:rsidDel="00000000" w:rsidR="00000000" w:rsidRPr="00000000">
              <w:rPr>
                <w:b w:val="1"/>
                <w:bCs w:val="1"/>
                <w:rtl w:val="0"/>
              </w:rPr>
              <w:t xml:space="preserve">Descartadas</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3">
            <w:pPr>
              <w:spacing w:after="60" w:before="60" w:lineRule="auto"/>
              <w:ind w:left="60" w:right="60" w:firstLine="0"/>
              <w:jc w:val="center"/>
              <w:rPr>
                <w:b w:val="1"/>
                <w:bCs w:val="1"/>
              </w:rPr>
            </w:pPr>
            <w:r w:rsidDel="00000000" w:rsidR="00000000" w:rsidRPr="00000000">
              <w:rPr>
                <w:b w:val="1"/>
                <w:bCs w:val="1"/>
                <w:rtl w:val="0"/>
              </w:rPr>
              <w:t xml:space="preserve">Sustantivas</w:t>
            </w:r>
          </w:p>
        </w:tc>
      </w:tr>
      <w:tr>
        <w:trPr>
          <w:cantSplit w:val="0"/>
          <w:trHeight w:val="435" w:hRule="atLeast"/>
          <w:tblHeader w:val="0"/>
        </w:trPr>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4">
            <w:pPr>
              <w:spacing w:after="60" w:before="60" w:lineRule="auto"/>
              <w:ind w:left="60" w:right="60" w:firstLine="0"/>
              <w:jc w:val="center"/>
              <w:rPr/>
            </w:pPr>
            <w:r w:rsidDel="00000000" w:rsidR="00000000" w:rsidRPr="00000000">
              <w:rPr>
                <w:rtl w:val="0"/>
              </w:rPr>
              <w:t xml:space="preserve">Ley 21.419</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5">
            <w:pPr>
              <w:spacing w:after="60" w:before="60" w:lineRule="auto"/>
              <w:ind w:left="60" w:right="60" w:firstLine="0"/>
              <w:jc w:val="center"/>
              <w:rPr/>
            </w:pPr>
            <w:r w:rsidDel="00000000" w:rsidR="00000000" w:rsidRPr="00000000">
              <w:rPr>
                <w:rtl w:val="0"/>
              </w:rPr>
              <w:t xml:space="preserve">Primero</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6">
            <w:pPr>
              <w:spacing w:after="60" w:before="60" w:lineRule="auto"/>
              <w:ind w:left="60" w:right="60" w:firstLine="0"/>
              <w:jc w:val="center"/>
              <w:rPr/>
            </w:pPr>
            <w:r w:rsidDel="00000000" w:rsidR="00000000" w:rsidRPr="00000000">
              <w:rPr>
                <w:rtl w:val="0"/>
              </w:rPr>
              <w:t xml:space="preserve">55</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7">
            <w:pPr>
              <w:spacing w:after="60" w:before="60" w:lineRule="auto"/>
              <w:ind w:left="60" w:right="60" w:firstLine="0"/>
              <w:jc w:val="center"/>
              <w:rPr/>
            </w:pPr>
            <w:r w:rsidDel="00000000" w:rsidR="00000000" w:rsidRPr="00000000">
              <w:rPr>
                <w:rtl w:val="0"/>
              </w:rPr>
              <w:t xml:space="preserve">18</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0F8">
            <w:pPr>
              <w:spacing w:after="60" w:before="60" w:lineRule="auto"/>
              <w:ind w:left="60" w:right="60" w:firstLine="0"/>
              <w:jc w:val="center"/>
              <w:rPr/>
            </w:pPr>
            <w:r w:rsidDel="00000000" w:rsidR="00000000" w:rsidRPr="00000000">
              <w:rPr>
                <w:rtl w:val="0"/>
              </w:rPr>
              <w:t xml:space="preserve">37</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F9">
            <w:pPr>
              <w:spacing w:after="60" w:before="60" w:lineRule="auto"/>
              <w:ind w:left="60" w:right="60" w:firstLine="0"/>
              <w:jc w:val="center"/>
              <w:rPr/>
            </w:pPr>
            <w:r w:rsidDel="00000000" w:rsidR="00000000" w:rsidRPr="00000000">
              <w:rPr>
                <w:rtl w:val="0"/>
              </w:rPr>
              <w:t xml:space="preserve">Ley 21.419</w:t>
            </w:r>
          </w:p>
        </w:tc>
        <w:tc>
          <w:tcPr>
            <w:shd w:fill="ffffff" w:val="clear"/>
            <w:tcMar>
              <w:top w:w="0.0" w:type="dxa"/>
              <w:left w:w="0.0" w:type="dxa"/>
              <w:bottom w:w="0.0" w:type="dxa"/>
              <w:right w:w="0.0" w:type="dxa"/>
            </w:tcMar>
            <w:vAlign w:val="top"/>
          </w:tcPr>
          <w:p w:rsidR="00000000" w:rsidDel="00000000" w:rsidP="00000000" w:rsidRDefault="00000000" w:rsidRPr="00000000" w14:paraId="000000FA">
            <w:pPr>
              <w:spacing w:after="60" w:before="60" w:lineRule="auto"/>
              <w:ind w:left="60" w:right="60" w:firstLine="0"/>
              <w:jc w:val="center"/>
              <w:rPr/>
            </w:pPr>
            <w:r w:rsidDel="00000000" w:rsidR="00000000" w:rsidRPr="00000000">
              <w:rPr>
                <w:rtl w:val="0"/>
              </w:rPr>
              <w:t xml:space="preserve">Segundo</w:t>
            </w:r>
          </w:p>
        </w:tc>
        <w:tc>
          <w:tcPr>
            <w:shd w:fill="ffffff" w:val="clear"/>
            <w:tcMar>
              <w:top w:w="0.0" w:type="dxa"/>
              <w:left w:w="0.0" w:type="dxa"/>
              <w:bottom w:w="0.0" w:type="dxa"/>
              <w:right w:w="0.0" w:type="dxa"/>
            </w:tcMar>
            <w:vAlign w:val="top"/>
          </w:tcPr>
          <w:p w:rsidR="00000000" w:rsidDel="00000000" w:rsidP="00000000" w:rsidRDefault="00000000" w:rsidRPr="00000000" w14:paraId="000000FB">
            <w:pPr>
              <w:spacing w:after="60" w:before="60" w:lineRule="auto"/>
              <w:ind w:left="60" w:right="60" w:firstLine="0"/>
              <w:jc w:val="center"/>
              <w:rPr/>
            </w:pPr>
            <w:r w:rsidDel="00000000" w:rsidR="00000000" w:rsidRPr="00000000">
              <w:rPr>
                <w:rtl w:val="0"/>
              </w:rPr>
              <w:t xml:space="preserve">165</w:t>
            </w:r>
          </w:p>
        </w:tc>
        <w:tc>
          <w:tcPr>
            <w:shd w:fill="ffffff" w:val="clear"/>
            <w:tcMar>
              <w:top w:w="0.0" w:type="dxa"/>
              <w:left w:w="0.0" w:type="dxa"/>
              <w:bottom w:w="0.0" w:type="dxa"/>
              <w:right w:w="0.0" w:type="dxa"/>
            </w:tcMar>
            <w:vAlign w:val="top"/>
          </w:tcPr>
          <w:p w:rsidR="00000000" w:rsidDel="00000000" w:rsidP="00000000" w:rsidRDefault="00000000" w:rsidRPr="00000000" w14:paraId="000000FC">
            <w:pPr>
              <w:spacing w:after="60" w:before="60" w:lineRule="auto"/>
              <w:ind w:left="60" w:right="60" w:firstLine="0"/>
              <w:jc w:val="center"/>
              <w:rPr/>
            </w:pPr>
            <w:r w:rsidDel="00000000" w:rsidR="00000000" w:rsidRPr="00000000">
              <w:rPr>
                <w:rtl w:val="0"/>
              </w:rPr>
              <w:t xml:space="preserve">110</w:t>
            </w:r>
          </w:p>
        </w:tc>
        <w:tc>
          <w:tcPr>
            <w:shd w:fill="ffffff" w:val="clear"/>
            <w:tcMar>
              <w:top w:w="0.0" w:type="dxa"/>
              <w:left w:w="0.0" w:type="dxa"/>
              <w:bottom w:w="0.0" w:type="dxa"/>
              <w:right w:w="0.0" w:type="dxa"/>
            </w:tcMar>
            <w:vAlign w:val="top"/>
          </w:tcPr>
          <w:p w:rsidR="00000000" w:rsidDel="00000000" w:rsidP="00000000" w:rsidRDefault="00000000" w:rsidRPr="00000000" w14:paraId="000000FD">
            <w:pPr>
              <w:spacing w:after="60" w:before="60" w:lineRule="auto"/>
              <w:ind w:left="60" w:right="60" w:firstLine="0"/>
              <w:jc w:val="center"/>
              <w:rPr/>
            </w:pPr>
            <w:r w:rsidDel="00000000" w:rsidR="00000000" w:rsidRPr="00000000">
              <w:rPr>
                <w:rtl w:val="0"/>
              </w:rPr>
              <w:t xml:space="preserve">55</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FE">
            <w:pPr>
              <w:spacing w:after="60" w:before="60" w:lineRule="auto"/>
              <w:ind w:left="60" w:right="60" w:firstLine="0"/>
              <w:jc w:val="center"/>
              <w:rPr/>
            </w:pPr>
            <w:r w:rsidDel="00000000" w:rsidR="00000000" w:rsidRPr="00000000">
              <w:rPr>
                <w:rtl w:val="0"/>
              </w:rPr>
              <w:t xml:space="preserve">Ley 21.419</w:t>
            </w:r>
          </w:p>
        </w:tc>
        <w:tc>
          <w:tcPr>
            <w:shd w:fill="ffffff" w:val="clear"/>
            <w:tcMar>
              <w:top w:w="0.0" w:type="dxa"/>
              <w:left w:w="0.0" w:type="dxa"/>
              <w:bottom w:w="0.0" w:type="dxa"/>
              <w:right w:w="0.0" w:type="dxa"/>
            </w:tcMar>
            <w:vAlign w:val="top"/>
          </w:tcPr>
          <w:p w:rsidR="00000000" w:rsidDel="00000000" w:rsidP="00000000" w:rsidRDefault="00000000" w:rsidRPr="00000000" w14:paraId="000000FF">
            <w:pPr>
              <w:spacing w:after="60" w:before="60" w:lineRule="auto"/>
              <w:ind w:left="60" w:right="60" w:firstLine="0"/>
              <w:jc w:val="center"/>
              <w:rPr/>
            </w:pPr>
            <w:r w:rsidDel="00000000" w:rsidR="00000000" w:rsidRPr="00000000">
              <w:rPr>
                <w:rtl w:val="0"/>
              </w:rPr>
              <w:t xml:space="preserve">Tercero</w:t>
            </w:r>
          </w:p>
        </w:tc>
        <w:tc>
          <w:tcPr>
            <w:shd w:fill="ffffff" w:val="clear"/>
            <w:tcMar>
              <w:top w:w="0.0" w:type="dxa"/>
              <w:left w:w="0.0" w:type="dxa"/>
              <w:bottom w:w="0.0" w:type="dxa"/>
              <w:right w:w="0.0" w:type="dxa"/>
            </w:tcMar>
            <w:vAlign w:val="top"/>
          </w:tcPr>
          <w:p w:rsidR="00000000" w:rsidDel="00000000" w:rsidP="00000000" w:rsidRDefault="00000000" w:rsidRPr="00000000" w14:paraId="00000100">
            <w:pPr>
              <w:spacing w:after="60" w:before="60" w:lineRule="auto"/>
              <w:ind w:left="60" w:right="60" w:firstLine="0"/>
              <w:jc w:val="center"/>
              <w:rPr/>
            </w:pPr>
            <w:r w:rsidDel="00000000" w:rsidR="00000000" w:rsidRPr="00000000">
              <w:rPr>
                <w:rtl w:val="0"/>
              </w:rPr>
              <w:t xml:space="preserve">42</w:t>
            </w:r>
          </w:p>
        </w:tc>
        <w:tc>
          <w:tcPr>
            <w:shd w:fill="ffffff" w:val="clear"/>
            <w:tcMar>
              <w:top w:w="0.0" w:type="dxa"/>
              <w:left w:w="0.0" w:type="dxa"/>
              <w:bottom w:w="0.0" w:type="dxa"/>
              <w:right w:w="0.0" w:type="dxa"/>
            </w:tcMar>
            <w:vAlign w:val="top"/>
          </w:tcPr>
          <w:p w:rsidR="00000000" w:rsidDel="00000000" w:rsidP="00000000" w:rsidRDefault="00000000" w:rsidRPr="00000000" w14:paraId="00000101">
            <w:pPr>
              <w:spacing w:after="60" w:before="60" w:lineRule="auto"/>
              <w:ind w:left="60" w:right="60" w:firstLine="0"/>
              <w:jc w:val="center"/>
              <w:rPr/>
            </w:pPr>
            <w:r w:rsidDel="00000000" w:rsidR="00000000" w:rsidRPr="00000000">
              <w:rPr>
                <w:rtl w:val="0"/>
              </w:rPr>
              <w:t xml:space="preserve">14</w:t>
            </w:r>
          </w:p>
        </w:tc>
        <w:tc>
          <w:tcPr>
            <w:shd w:fill="ffffff" w:val="clear"/>
            <w:tcMar>
              <w:top w:w="0.0" w:type="dxa"/>
              <w:left w:w="0.0" w:type="dxa"/>
              <w:bottom w:w="0.0" w:type="dxa"/>
              <w:right w:w="0.0" w:type="dxa"/>
            </w:tcMar>
            <w:vAlign w:val="top"/>
          </w:tcPr>
          <w:p w:rsidR="00000000" w:rsidDel="00000000" w:rsidP="00000000" w:rsidRDefault="00000000" w:rsidRPr="00000000" w14:paraId="00000102">
            <w:pPr>
              <w:spacing w:after="60" w:before="60" w:lineRule="auto"/>
              <w:ind w:left="60" w:right="60" w:firstLine="0"/>
              <w:jc w:val="center"/>
              <w:rPr/>
            </w:pPr>
            <w:r w:rsidDel="00000000" w:rsidR="00000000" w:rsidRPr="00000000">
              <w:rPr>
                <w:rtl w:val="0"/>
              </w:rPr>
              <w:t xml:space="preserve">28</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03">
            <w:pPr>
              <w:spacing w:after="60" w:before="60" w:lineRule="auto"/>
              <w:ind w:left="60" w:right="60" w:firstLine="0"/>
              <w:jc w:val="center"/>
              <w:rPr/>
            </w:pPr>
            <w:r w:rsidDel="00000000" w:rsidR="00000000" w:rsidRPr="00000000">
              <w:rPr>
                <w:rtl w:val="0"/>
              </w:rPr>
              <w:t xml:space="preserve">Ley 21.538</w:t>
            </w:r>
          </w:p>
        </w:tc>
        <w:tc>
          <w:tcPr>
            <w:shd w:fill="ffffff" w:val="clear"/>
            <w:tcMar>
              <w:top w:w="0.0" w:type="dxa"/>
              <w:left w:w="0.0" w:type="dxa"/>
              <w:bottom w:w="0.0" w:type="dxa"/>
              <w:right w:w="0.0" w:type="dxa"/>
            </w:tcMar>
            <w:vAlign w:val="top"/>
          </w:tcPr>
          <w:p w:rsidR="00000000" w:rsidDel="00000000" w:rsidP="00000000" w:rsidRDefault="00000000" w:rsidRPr="00000000" w14:paraId="00000104">
            <w:pPr>
              <w:spacing w:after="60" w:before="60" w:lineRule="auto"/>
              <w:ind w:left="60" w:right="60" w:firstLine="0"/>
              <w:jc w:val="center"/>
              <w:rPr/>
            </w:pPr>
            <w:r w:rsidDel="00000000" w:rsidR="00000000" w:rsidRPr="00000000">
              <w:rPr>
                <w:rtl w:val="0"/>
              </w:rPr>
              <w:t xml:space="preserve">Primero</w:t>
            </w:r>
          </w:p>
        </w:tc>
        <w:tc>
          <w:tcPr>
            <w:shd w:fill="ffffff" w:val="clear"/>
            <w:tcMar>
              <w:top w:w="0.0" w:type="dxa"/>
              <w:left w:w="0.0" w:type="dxa"/>
              <w:bottom w:w="0.0" w:type="dxa"/>
              <w:right w:w="0.0" w:type="dxa"/>
            </w:tcMar>
            <w:vAlign w:val="top"/>
          </w:tcPr>
          <w:p w:rsidR="00000000" w:rsidDel="00000000" w:rsidP="00000000" w:rsidRDefault="00000000" w:rsidRPr="00000000" w14:paraId="00000105">
            <w:pPr>
              <w:spacing w:after="60" w:before="60" w:lineRule="auto"/>
              <w:ind w:left="60" w:right="60" w:firstLine="0"/>
              <w:jc w:val="center"/>
              <w:rPr/>
            </w:pPr>
            <w:r w:rsidDel="00000000" w:rsidR="00000000" w:rsidRPr="00000000">
              <w:rPr>
                <w:rtl w:val="0"/>
              </w:rPr>
              <w:t xml:space="preserve">80</w:t>
            </w:r>
          </w:p>
        </w:tc>
        <w:tc>
          <w:tcPr>
            <w:shd w:fill="ffffff" w:val="clear"/>
            <w:tcMar>
              <w:top w:w="0.0" w:type="dxa"/>
              <w:left w:w="0.0" w:type="dxa"/>
              <w:bottom w:w="0.0" w:type="dxa"/>
              <w:right w:w="0.0" w:type="dxa"/>
            </w:tcMar>
            <w:vAlign w:val="top"/>
          </w:tcPr>
          <w:p w:rsidR="00000000" w:rsidDel="00000000" w:rsidP="00000000" w:rsidRDefault="00000000" w:rsidRPr="00000000" w14:paraId="00000106">
            <w:pPr>
              <w:spacing w:after="60" w:before="60" w:lineRule="auto"/>
              <w:ind w:left="60" w:right="60" w:firstLine="0"/>
              <w:jc w:val="center"/>
              <w:rPr/>
            </w:pPr>
            <w:r w:rsidDel="00000000" w:rsidR="00000000" w:rsidRPr="00000000">
              <w:rPr>
                <w:rtl w:val="0"/>
              </w:rPr>
              <w:t xml:space="preserve">41</w:t>
            </w:r>
          </w:p>
        </w:tc>
        <w:tc>
          <w:tcPr>
            <w:shd w:fill="ffffff" w:val="clear"/>
            <w:tcMar>
              <w:top w:w="0.0" w:type="dxa"/>
              <w:left w:w="0.0" w:type="dxa"/>
              <w:bottom w:w="0.0" w:type="dxa"/>
              <w:right w:w="0.0" w:type="dxa"/>
            </w:tcMar>
            <w:vAlign w:val="top"/>
          </w:tcPr>
          <w:p w:rsidR="00000000" w:rsidDel="00000000" w:rsidP="00000000" w:rsidRDefault="00000000" w:rsidRPr="00000000" w14:paraId="00000107">
            <w:pPr>
              <w:spacing w:after="60" w:before="60" w:lineRule="auto"/>
              <w:ind w:left="60" w:right="60" w:firstLine="0"/>
              <w:jc w:val="center"/>
              <w:rPr/>
            </w:pPr>
            <w:r w:rsidDel="00000000" w:rsidR="00000000" w:rsidRPr="00000000">
              <w:rPr>
                <w:rtl w:val="0"/>
              </w:rPr>
              <w:t xml:space="preserve">39</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08">
            <w:pPr>
              <w:spacing w:after="60" w:before="60" w:lineRule="auto"/>
              <w:ind w:left="60" w:right="60" w:firstLine="0"/>
              <w:jc w:val="center"/>
              <w:rPr/>
            </w:pPr>
            <w:r w:rsidDel="00000000" w:rsidR="00000000" w:rsidRPr="00000000">
              <w:rPr>
                <w:rtl w:val="0"/>
              </w:rPr>
              <w:t xml:space="preserve">Ley 21.538</w:t>
            </w:r>
          </w:p>
        </w:tc>
        <w:tc>
          <w:tcPr>
            <w:shd w:fill="ffffff" w:val="clear"/>
            <w:tcMar>
              <w:top w:w="0.0" w:type="dxa"/>
              <w:left w:w="0.0" w:type="dxa"/>
              <w:bottom w:w="0.0" w:type="dxa"/>
              <w:right w:w="0.0" w:type="dxa"/>
            </w:tcMar>
            <w:vAlign w:val="top"/>
          </w:tcPr>
          <w:p w:rsidR="00000000" w:rsidDel="00000000" w:rsidP="00000000" w:rsidRDefault="00000000" w:rsidRPr="00000000" w14:paraId="00000109">
            <w:pPr>
              <w:spacing w:after="60" w:before="60" w:lineRule="auto"/>
              <w:ind w:left="60" w:right="60" w:firstLine="0"/>
              <w:jc w:val="center"/>
              <w:rPr/>
            </w:pPr>
            <w:r w:rsidDel="00000000" w:rsidR="00000000" w:rsidRPr="00000000">
              <w:rPr>
                <w:rtl w:val="0"/>
              </w:rPr>
              <w:t xml:space="preserve">Segundo</w:t>
            </w:r>
          </w:p>
        </w:tc>
        <w:tc>
          <w:tcPr>
            <w:shd w:fill="ffffff" w:val="clear"/>
            <w:tcMar>
              <w:top w:w="0.0" w:type="dxa"/>
              <w:left w:w="0.0" w:type="dxa"/>
              <w:bottom w:w="0.0" w:type="dxa"/>
              <w:right w:w="0.0" w:type="dxa"/>
            </w:tcMar>
            <w:vAlign w:val="top"/>
          </w:tcPr>
          <w:p w:rsidR="00000000" w:rsidDel="00000000" w:rsidP="00000000" w:rsidRDefault="00000000" w:rsidRPr="00000000" w14:paraId="0000010A">
            <w:pPr>
              <w:spacing w:after="60" w:before="60" w:lineRule="auto"/>
              <w:ind w:left="60" w:right="60" w:firstLine="0"/>
              <w:jc w:val="center"/>
              <w:rPr/>
            </w:pPr>
            <w:r w:rsidDel="00000000" w:rsidR="00000000" w:rsidRPr="00000000">
              <w:rPr>
                <w:rtl w:val="0"/>
              </w:rPr>
              <w:t xml:space="preserve">31</w:t>
            </w:r>
          </w:p>
        </w:tc>
        <w:tc>
          <w:tcPr>
            <w:shd w:fill="ffffff" w:val="clear"/>
            <w:tcMar>
              <w:top w:w="0.0" w:type="dxa"/>
              <w:left w:w="0.0" w:type="dxa"/>
              <w:bottom w:w="0.0" w:type="dxa"/>
              <w:right w:w="0.0" w:type="dxa"/>
            </w:tcMar>
            <w:vAlign w:val="top"/>
          </w:tcPr>
          <w:p w:rsidR="00000000" w:rsidDel="00000000" w:rsidP="00000000" w:rsidRDefault="00000000" w:rsidRPr="00000000" w14:paraId="0000010B">
            <w:pPr>
              <w:spacing w:after="60" w:before="60" w:lineRule="auto"/>
              <w:ind w:left="60" w:right="60" w:firstLine="0"/>
              <w:jc w:val="center"/>
              <w:rPr/>
            </w:pPr>
            <w:r w:rsidDel="00000000" w:rsidR="00000000" w:rsidRPr="00000000">
              <w:rPr>
                <w:rtl w:val="0"/>
              </w:rPr>
              <w:t xml:space="preserve">14</w:t>
            </w:r>
          </w:p>
        </w:tc>
        <w:tc>
          <w:tcPr>
            <w:shd w:fill="ffffff" w:val="clear"/>
            <w:tcMar>
              <w:top w:w="0.0" w:type="dxa"/>
              <w:left w:w="0.0" w:type="dxa"/>
              <w:bottom w:w="0.0" w:type="dxa"/>
              <w:right w:w="0.0" w:type="dxa"/>
            </w:tcMar>
            <w:vAlign w:val="top"/>
          </w:tcPr>
          <w:p w:rsidR="00000000" w:rsidDel="00000000" w:rsidP="00000000" w:rsidRDefault="00000000" w:rsidRPr="00000000" w14:paraId="0000010C">
            <w:pPr>
              <w:spacing w:after="60" w:before="60" w:lineRule="auto"/>
              <w:ind w:left="60" w:right="60" w:firstLine="0"/>
              <w:jc w:val="center"/>
              <w:rPr/>
            </w:pPr>
            <w:r w:rsidDel="00000000" w:rsidR="00000000" w:rsidRPr="00000000">
              <w:rPr>
                <w:rtl w:val="0"/>
              </w:rPr>
              <w:t xml:space="preserve">17</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0D">
            <w:pPr>
              <w:spacing w:after="60" w:before="60" w:lineRule="auto"/>
              <w:ind w:left="60" w:right="60" w:firstLine="0"/>
              <w:jc w:val="center"/>
              <w:rPr/>
            </w:pPr>
            <w:r w:rsidDel="00000000" w:rsidR="00000000" w:rsidRPr="00000000">
              <w:rPr>
                <w:rtl w:val="0"/>
              </w:rPr>
              <w:t xml:space="preserve">Ley 21.735</w:t>
            </w:r>
          </w:p>
        </w:tc>
        <w:tc>
          <w:tcPr>
            <w:shd w:fill="ffffff" w:val="clear"/>
            <w:tcMar>
              <w:top w:w="0.0" w:type="dxa"/>
              <w:left w:w="0.0" w:type="dxa"/>
              <w:bottom w:w="0.0" w:type="dxa"/>
              <w:right w:w="0.0" w:type="dxa"/>
            </w:tcMar>
            <w:vAlign w:val="top"/>
          </w:tcPr>
          <w:p w:rsidR="00000000" w:rsidDel="00000000" w:rsidP="00000000" w:rsidRDefault="00000000" w:rsidRPr="00000000" w14:paraId="0000010E">
            <w:pPr>
              <w:spacing w:after="60" w:before="60" w:lineRule="auto"/>
              <w:ind w:left="60" w:right="60" w:firstLine="0"/>
              <w:jc w:val="center"/>
              <w:rPr/>
            </w:pPr>
            <w:r w:rsidDel="00000000" w:rsidR="00000000" w:rsidRPr="00000000">
              <w:rPr>
                <w:rtl w:val="0"/>
              </w:rPr>
              <w:t xml:space="preserve">Primero</w:t>
            </w:r>
          </w:p>
        </w:tc>
        <w:tc>
          <w:tcPr>
            <w:shd w:fill="ffffff" w:val="clear"/>
            <w:tcMar>
              <w:top w:w="0.0" w:type="dxa"/>
              <w:left w:w="0.0" w:type="dxa"/>
              <w:bottom w:w="0.0" w:type="dxa"/>
              <w:right w:w="0.0" w:type="dxa"/>
            </w:tcMar>
            <w:vAlign w:val="top"/>
          </w:tcPr>
          <w:p w:rsidR="00000000" w:rsidDel="00000000" w:rsidP="00000000" w:rsidRDefault="00000000" w:rsidRPr="00000000" w14:paraId="0000010F">
            <w:pPr>
              <w:spacing w:after="60" w:before="60" w:lineRule="auto"/>
              <w:ind w:left="60" w:right="60" w:firstLine="0"/>
              <w:jc w:val="center"/>
              <w:rPr/>
            </w:pPr>
            <w:r w:rsidDel="00000000" w:rsidR="00000000" w:rsidRPr="00000000">
              <w:rPr>
                <w:rtl w:val="0"/>
              </w:rPr>
              <w:t xml:space="preserve">320</w:t>
            </w:r>
          </w:p>
        </w:tc>
        <w:tc>
          <w:tcPr>
            <w:shd w:fill="ffffff" w:val="clear"/>
            <w:tcMar>
              <w:top w:w="0.0" w:type="dxa"/>
              <w:left w:w="0.0" w:type="dxa"/>
              <w:bottom w:w="0.0" w:type="dxa"/>
              <w:right w:w="0.0" w:type="dxa"/>
            </w:tcMar>
            <w:vAlign w:val="top"/>
          </w:tcPr>
          <w:p w:rsidR="00000000" w:rsidDel="00000000" w:rsidP="00000000" w:rsidRDefault="00000000" w:rsidRPr="00000000" w14:paraId="00000110">
            <w:pPr>
              <w:spacing w:after="60" w:before="60" w:lineRule="auto"/>
              <w:ind w:left="60" w:right="60" w:firstLine="0"/>
              <w:jc w:val="center"/>
              <w:rPr/>
            </w:pPr>
            <w:r w:rsidDel="00000000" w:rsidR="00000000" w:rsidRPr="00000000">
              <w:rPr>
                <w:rtl w:val="0"/>
              </w:rPr>
              <w:t xml:space="preserve">194</w:t>
            </w:r>
          </w:p>
        </w:tc>
        <w:tc>
          <w:tcPr>
            <w:shd w:fill="ffffff" w:val="clear"/>
            <w:tcMar>
              <w:top w:w="0.0" w:type="dxa"/>
              <w:left w:w="0.0" w:type="dxa"/>
              <w:bottom w:w="0.0" w:type="dxa"/>
              <w:right w:w="0.0" w:type="dxa"/>
            </w:tcMar>
            <w:vAlign w:val="top"/>
          </w:tcPr>
          <w:p w:rsidR="00000000" w:rsidDel="00000000" w:rsidP="00000000" w:rsidRDefault="00000000" w:rsidRPr="00000000" w14:paraId="00000111">
            <w:pPr>
              <w:spacing w:after="60" w:before="60" w:lineRule="auto"/>
              <w:ind w:left="60" w:right="60" w:firstLine="0"/>
              <w:jc w:val="center"/>
              <w:rPr/>
            </w:pPr>
            <w:r w:rsidDel="00000000" w:rsidR="00000000" w:rsidRPr="00000000">
              <w:rPr>
                <w:rtl w:val="0"/>
              </w:rPr>
              <w:t xml:space="preserve">126</w:t>
            </w:r>
          </w:p>
        </w:tc>
      </w:tr>
      <w:tr>
        <w:trPr>
          <w:cantSplit w:val="0"/>
          <w:trHeight w:val="40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12">
            <w:pPr>
              <w:spacing w:after="60" w:before="60" w:lineRule="auto"/>
              <w:ind w:left="60" w:right="60" w:firstLine="0"/>
              <w:jc w:val="center"/>
              <w:rPr/>
            </w:pPr>
            <w:r w:rsidDel="00000000" w:rsidR="00000000" w:rsidRPr="00000000">
              <w:rPr>
                <w:rtl w:val="0"/>
              </w:rPr>
              <w:t xml:space="preserve">Ley 21.735</w:t>
            </w:r>
          </w:p>
        </w:tc>
        <w:tc>
          <w:tcPr>
            <w:shd w:fill="ffffff" w:val="clear"/>
            <w:tcMar>
              <w:top w:w="0.0" w:type="dxa"/>
              <w:left w:w="0.0" w:type="dxa"/>
              <w:bottom w:w="0.0" w:type="dxa"/>
              <w:right w:w="0.0" w:type="dxa"/>
            </w:tcMar>
            <w:vAlign w:val="top"/>
          </w:tcPr>
          <w:p w:rsidR="00000000" w:rsidDel="00000000" w:rsidP="00000000" w:rsidRDefault="00000000" w:rsidRPr="00000000" w14:paraId="00000113">
            <w:pPr>
              <w:spacing w:after="60" w:before="60" w:lineRule="auto"/>
              <w:ind w:left="60" w:right="60" w:firstLine="0"/>
              <w:jc w:val="center"/>
              <w:rPr/>
            </w:pPr>
            <w:r w:rsidDel="00000000" w:rsidR="00000000" w:rsidRPr="00000000">
              <w:rPr>
                <w:rtl w:val="0"/>
              </w:rPr>
              <w:t xml:space="preserve">Segundo</w:t>
            </w:r>
          </w:p>
        </w:tc>
        <w:tc>
          <w:tcPr>
            <w:shd w:fill="ffffff" w:val="clear"/>
            <w:tcMar>
              <w:top w:w="0.0" w:type="dxa"/>
              <w:left w:w="0.0" w:type="dxa"/>
              <w:bottom w:w="0.0" w:type="dxa"/>
              <w:right w:w="0.0" w:type="dxa"/>
            </w:tcMar>
            <w:vAlign w:val="top"/>
          </w:tcPr>
          <w:p w:rsidR="00000000" w:rsidDel="00000000" w:rsidP="00000000" w:rsidRDefault="00000000" w:rsidRPr="00000000" w14:paraId="00000114">
            <w:pPr>
              <w:spacing w:after="60" w:before="60" w:lineRule="auto"/>
              <w:ind w:left="60" w:right="60" w:firstLine="0"/>
              <w:jc w:val="center"/>
              <w:rPr/>
            </w:pPr>
            <w:r w:rsidDel="00000000" w:rsidR="00000000" w:rsidRPr="00000000">
              <w:rPr>
                <w:rtl w:val="0"/>
              </w:rPr>
              <w:t xml:space="preserve">209</w:t>
            </w:r>
          </w:p>
        </w:tc>
        <w:tc>
          <w:tcPr>
            <w:shd w:fill="ffffff" w:val="clear"/>
            <w:tcMar>
              <w:top w:w="0.0" w:type="dxa"/>
              <w:left w:w="0.0" w:type="dxa"/>
              <w:bottom w:w="0.0" w:type="dxa"/>
              <w:right w:w="0.0" w:type="dxa"/>
            </w:tcMar>
            <w:vAlign w:val="top"/>
          </w:tcPr>
          <w:p w:rsidR="00000000" w:rsidDel="00000000" w:rsidP="00000000" w:rsidRDefault="00000000" w:rsidRPr="00000000" w14:paraId="00000115">
            <w:pPr>
              <w:spacing w:after="60" w:before="60" w:lineRule="auto"/>
              <w:ind w:left="60" w:right="60" w:firstLine="0"/>
              <w:jc w:val="center"/>
              <w:rPr/>
            </w:pPr>
            <w:r w:rsidDel="00000000" w:rsidR="00000000" w:rsidRPr="00000000">
              <w:rPr>
                <w:rtl w:val="0"/>
              </w:rPr>
              <w:t xml:space="preserve">142</w:t>
            </w:r>
          </w:p>
        </w:tc>
        <w:tc>
          <w:tcPr>
            <w:shd w:fill="ffffff" w:val="clear"/>
            <w:tcMar>
              <w:top w:w="0.0" w:type="dxa"/>
              <w:left w:w="0.0" w:type="dxa"/>
              <w:bottom w:w="0.0" w:type="dxa"/>
              <w:right w:w="0.0" w:type="dxa"/>
            </w:tcMar>
            <w:vAlign w:val="top"/>
          </w:tcPr>
          <w:p w:rsidR="00000000" w:rsidDel="00000000" w:rsidP="00000000" w:rsidRDefault="00000000" w:rsidRPr="00000000" w14:paraId="00000116">
            <w:pPr>
              <w:spacing w:after="60" w:before="60" w:lineRule="auto"/>
              <w:ind w:left="60" w:right="60" w:firstLine="0"/>
              <w:jc w:val="center"/>
              <w:rPr/>
            </w:pPr>
            <w:r w:rsidDel="00000000" w:rsidR="00000000" w:rsidRPr="00000000">
              <w:rPr>
                <w:rtl w:val="0"/>
              </w:rPr>
              <w:t xml:space="preserve">67</w:t>
            </w:r>
          </w:p>
        </w:tc>
      </w:tr>
      <w:tr>
        <w:trPr>
          <w:cantSplit w:val="0"/>
          <w:trHeight w:val="435" w:hRule="atLeast"/>
          <w:tblHeader w:val="0"/>
        </w:trPr>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7">
            <w:pPr>
              <w:spacing w:after="60" w:before="60" w:lineRule="auto"/>
              <w:ind w:left="60" w:right="60" w:firstLine="0"/>
              <w:jc w:val="center"/>
              <w:rPr/>
            </w:pPr>
            <w:r w:rsidDel="00000000" w:rsidR="00000000" w:rsidRPr="00000000">
              <w:rPr>
                <w:rtl w:val="0"/>
              </w:rPr>
              <w:t xml:space="preserve">Ley 21.735</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8">
            <w:pPr>
              <w:spacing w:after="60" w:before="60" w:lineRule="auto"/>
              <w:ind w:left="60" w:right="60" w:firstLine="0"/>
              <w:jc w:val="center"/>
              <w:rPr/>
            </w:pPr>
            <w:r w:rsidDel="00000000" w:rsidR="00000000" w:rsidRPr="00000000">
              <w:rPr>
                <w:rtl w:val="0"/>
              </w:rPr>
              <w:t xml:space="preserve">Tercero</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9">
            <w:pPr>
              <w:spacing w:after="60" w:before="60" w:lineRule="auto"/>
              <w:ind w:left="60" w:right="60" w:firstLine="0"/>
              <w:jc w:val="center"/>
              <w:rPr/>
            </w:pPr>
            <w:r w:rsidDel="00000000" w:rsidR="00000000" w:rsidRPr="00000000">
              <w:rPr>
                <w:rtl w:val="0"/>
              </w:rPr>
              <w:t xml:space="preserve">194</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A">
            <w:pPr>
              <w:spacing w:after="60" w:before="60" w:lineRule="auto"/>
              <w:ind w:left="60" w:right="60" w:firstLine="0"/>
              <w:jc w:val="center"/>
              <w:rPr/>
            </w:pPr>
            <w:r w:rsidDel="00000000" w:rsidR="00000000" w:rsidRPr="00000000">
              <w:rPr>
                <w:rtl w:val="0"/>
              </w:rPr>
              <w:t xml:space="preserve">55</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B">
            <w:pPr>
              <w:spacing w:after="60" w:before="60" w:lineRule="auto"/>
              <w:ind w:left="60" w:right="60" w:firstLine="0"/>
              <w:jc w:val="center"/>
              <w:rPr/>
            </w:pPr>
            <w:r w:rsidDel="00000000" w:rsidR="00000000" w:rsidRPr="00000000">
              <w:rPr>
                <w:rtl w:val="0"/>
              </w:rPr>
              <w:t xml:space="preserve">139</w:t>
            </w:r>
          </w:p>
        </w:tc>
      </w:tr>
      <w:tr>
        <w:trPr>
          <w:cantSplit w:val="0"/>
          <w:trHeight w:val="750" w:hRule="atLeast"/>
          <w:tblHeader w:val="0"/>
        </w:trPr>
        <w:tc>
          <w:tcPr>
            <w:gridSpan w:val="5"/>
            <w:tcBorders>
              <w:top w:color="000000" w:space="0" w:sz="16" w:val="single"/>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1C">
            <w:pPr>
              <w:spacing w:after="60" w:before="60" w:lineRule="auto"/>
              <w:ind w:left="60" w:right="60" w:firstLine="0"/>
              <w:jc w:val="center"/>
              <w:rPr>
                <w:i w:val="1"/>
                <w:iCs w:val="1"/>
              </w:rPr>
            </w:pPr>
            <w:r w:rsidDel="00000000" w:rsidR="00000000" w:rsidRPr="00000000">
              <w:rPr>
                <w:i w:val="1"/>
                <w:iCs w:val="1"/>
                <w:rtl w:val="0"/>
              </w:rPr>
              <w:t xml:space="preserve">Nota. Se descartan las intervenciones compuestas solo por bloques de votación o procedimiento, o ambos. Sustantivas = intervenciones con al menos un bloque sustantivo.</w:t>
            </w:r>
          </w:p>
        </w:tc>
      </w:tr>
    </w:tbl>
    <w:p w:rsidR="00000000" w:rsidDel="00000000" w:rsidP="00000000" w:rsidRDefault="00000000" w:rsidRPr="00000000" w14:paraId="00000121">
      <w:pPr>
        <w:rPr/>
      </w:pPr>
      <w:r w:rsidDel="00000000" w:rsidR="00000000" w:rsidRPr="00000000">
        <w:rPr>
          <w:rtl w:val="0"/>
        </w:rPr>
        <w:t xml:space="preserve">La Tabla 3 establece la población de referencia de los análisis. De 1.096 intervenciones, 588 se descartaron porque todos sus bloques correspondían a votaciones, intervenciones procedimentales o ambas categorías; quedaron 508 intervenciones sustantivas. Una intervención con al menos un bloque sustantivo se mantuvo en el análisis. Por ello, el denominador de los porcentajes de la Figura 2 es la columna «Sustantivas» de la tabla, agregada por ley: 120 intervenciones para la Ley 21.419, 56 para la Ley 21.538 y 332 para la Ley 21.735. Esta última concentra 65,4 % de las intervenciones sustantivas, de modo que las frecuencias absolutas entre leyes deben leerse junto con sus tamaños de corpus. Cada intervención puede contener varios conceptos.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before="0" w:lineRule="auto"/>
        <w:rPr>
          <w:b w:val="1"/>
          <w:bCs w:val="1"/>
        </w:rPr>
      </w:pPr>
      <w:r w:rsidDel="00000000" w:rsidR="00000000" w:rsidRPr="00000000">
        <w:rPr>
          <w:b w:val="1"/>
          <w:bCs w:val="1"/>
          <w:rtl w:val="0"/>
        </w:rPr>
        <w:t xml:space="preserve">Figura 2</w:t>
      </w:r>
    </w:p>
    <w:p w:rsidR="00000000" w:rsidDel="00000000" w:rsidP="00000000" w:rsidRDefault="00000000" w:rsidRPr="00000000" w14:paraId="00000127">
      <w:pPr>
        <w:spacing w:before="0" w:lineRule="auto"/>
        <w:rPr/>
      </w:pPr>
      <w:r w:rsidDel="00000000" w:rsidR="00000000" w:rsidRPr="00000000">
        <w:rPr>
          <w:i w:val="1"/>
          <w:iCs w:val="1"/>
          <w:rtl w:val="0"/>
        </w:rPr>
        <w:t xml:space="preserve">Proporción de conceptos en intervenciones por proyecto de ley</w:t>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6292596" cy="3668939"/>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292596" cy="3668939"/>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 Figura 2 muestra, para cada ley, la proporción de intervenciones sustantivas en que se identificó al menos una mención de cada concepto. Las menciones repetidas dentro de una misma intervención cuentan una sola vez. Esta medida informa cuán extendido está un concepto en el debate registrado, independientemente de si se lo respalda o se lo cuestiona.</w:t>
      </w:r>
    </w:p>
    <w:p w:rsidR="00000000" w:rsidDel="00000000" w:rsidP="00000000" w:rsidRDefault="00000000" w:rsidRPr="00000000" w14:paraId="0000012B">
      <w:pPr>
        <w:rPr/>
      </w:pPr>
      <w:r w:rsidDel="00000000" w:rsidR="00000000" w:rsidRPr="00000000">
        <w:rPr>
          <w:rtl w:val="0"/>
        </w:rPr>
        <w:t xml:space="preserve">En las dos leyes sobre la Pensión Garantizada Universal destaca la necesidad material, presente en 47,5 % de las intervenciones de la Ley 21.419 y 44,6 % de las de la Ley 21.538. La igualdad y el universalismo alcanzan, respectivamente, 30,0 % y 48,2 %, frente a 25,0 % en la Ley 21.735. La formulación de Chiara Barchiesi en el debate de la Ley 21.538 ilustra la primera justificación: cuando una persona “no pudo cotizar o sus cotizaciones no le permiten mantenerse”, “es justo y es una obligación del Estado protegerla”.</w:t>
      </w:r>
    </w:p>
    <w:p w:rsidR="00000000" w:rsidDel="00000000" w:rsidP="00000000" w:rsidRDefault="00000000" w:rsidRPr="00000000" w14:paraId="0000012C">
      <w:pPr>
        <w:rPr/>
      </w:pPr>
      <w:r w:rsidDel="00000000" w:rsidR="00000000" w:rsidRPr="00000000">
        <w:rPr>
          <w:rtl w:val="0"/>
        </w:rPr>
        <w:t xml:space="preserve">La Ley 21.735 exhibe otra configuración. La previsión como mercado aparece en 46,7 % de sus intervenciones, la reciprocidad contributiva en 29,2 %, la propiedad individual de los fondos en 25,9 % y la capitalización individual en 24,1 %. En las dos leyes anteriores, propiedad y capitalización son escasas o están ausentes. El contraste es compatible con la expectativa de mayor presencia de varios conceptos de capitalización en la reforma más reciente, aunque también puede reflejar las distintas materias discutidas en cada proyecto. Como ejemplo de la disputa distributiva específica de la Ley 21.735, Andrés Jouannet sostuvo que el “16 por ciento [de cotización adicional] tiene que ir íntegramente a las cuentas de los trabajadores”.</w:t>
      </w:r>
    </w:p>
    <w:p w:rsidR="00000000" w:rsidDel="00000000" w:rsidP="00000000" w:rsidRDefault="00000000" w:rsidRPr="00000000" w14:paraId="0000012D">
      <w:pPr>
        <w:spacing w:before="0" w:lineRule="auto"/>
        <w:rPr>
          <w:b w:val="1"/>
          <w:bCs w:val="1"/>
        </w:rPr>
      </w:pPr>
      <w:r w:rsidDel="00000000" w:rsidR="00000000" w:rsidRPr="00000000">
        <w:rPr>
          <w:b w:val="1"/>
          <w:bCs w:val="1"/>
          <w:rtl w:val="0"/>
        </w:rPr>
        <w:t xml:space="preserve">Tabla 4</w:t>
      </w:r>
    </w:p>
    <w:p w:rsidR="00000000" w:rsidDel="00000000" w:rsidP="00000000" w:rsidRDefault="00000000" w:rsidRPr="00000000" w14:paraId="0000012E">
      <w:pPr>
        <w:spacing w:before="0" w:lineRule="auto"/>
        <w:rPr>
          <w:i w:val="1"/>
          <w:iCs w:val="1"/>
        </w:rPr>
      </w:pPr>
      <w:r w:rsidDel="00000000" w:rsidR="00000000" w:rsidRPr="00000000">
        <w:rPr>
          <w:i w:val="1"/>
          <w:iCs w:val="1"/>
          <w:rtl w:val="0"/>
        </w:rPr>
        <w:t xml:space="preserve">Posturas sobre cada concepto por ley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8.9183588893497"/>
        <w:gridCol w:w="2018.864484044758"/>
        <w:gridCol w:w="2018.864484044758"/>
        <w:gridCol w:w="2018.864484044758"/>
        <w:tblGridChange w:id="0">
          <w:tblGrid>
            <w:gridCol w:w="2968.9183588893497"/>
            <w:gridCol w:w="2018.864484044758"/>
            <w:gridCol w:w="2018.864484044758"/>
            <w:gridCol w:w="2018.864484044758"/>
          </w:tblGrid>
        </w:tblGridChange>
      </w:tblGrid>
      <w:tr>
        <w:trPr>
          <w:cantSplit w:val="0"/>
          <w:trHeight w:val="630" w:hRule="atLeast"/>
          <w:tblHeader w:val="0"/>
        </w:trPr>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2F">
            <w:pPr>
              <w:spacing w:after="140" w:before="140" w:lineRule="auto"/>
              <w:ind w:left="140" w:right="140" w:firstLine="0"/>
              <w:jc w:val="center"/>
              <w:rPr>
                <w:b w:val="1"/>
                <w:bCs w:val="1"/>
              </w:rPr>
            </w:pPr>
            <w:r w:rsidDel="00000000" w:rsidR="00000000" w:rsidRPr="00000000">
              <w:rPr>
                <w:b w:val="1"/>
                <w:bCs w:val="1"/>
                <w:rtl w:val="0"/>
              </w:rPr>
              <w:t xml:space="preserve">Concepto</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0">
            <w:pPr>
              <w:spacing w:after="140" w:before="140" w:lineRule="auto"/>
              <w:ind w:left="140" w:right="140" w:firstLine="0"/>
              <w:jc w:val="center"/>
              <w:rPr>
                <w:b w:val="1"/>
                <w:bCs w:val="1"/>
              </w:rPr>
            </w:pPr>
            <w:r w:rsidDel="00000000" w:rsidR="00000000" w:rsidRPr="00000000">
              <w:rPr>
                <w:b w:val="1"/>
                <w:bCs w:val="1"/>
                <w:rtl w:val="0"/>
              </w:rPr>
              <w:t xml:space="preserve">Ley 21.419</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1">
            <w:pPr>
              <w:spacing w:after="140" w:before="140" w:lineRule="auto"/>
              <w:ind w:left="140" w:right="140" w:firstLine="0"/>
              <w:jc w:val="center"/>
              <w:rPr>
                <w:b w:val="1"/>
                <w:bCs w:val="1"/>
              </w:rPr>
            </w:pPr>
            <w:r w:rsidDel="00000000" w:rsidR="00000000" w:rsidRPr="00000000">
              <w:rPr>
                <w:b w:val="1"/>
                <w:bCs w:val="1"/>
                <w:rtl w:val="0"/>
              </w:rPr>
              <w:t xml:space="preserve">Ley 21.538</w:t>
            </w:r>
          </w:p>
        </w:tc>
        <w:tc>
          <w:tcPr>
            <w:tcBorders>
              <w:top w:color="000000" w:space="0" w:sz="16" w:val="single"/>
              <w:bottom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2">
            <w:pPr>
              <w:spacing w:after="140" w:before="140" w:lineRule="auto"/>
              <w:ind w:left="140" w:right="140" w:firstLine="0"/>
              <w:jc w:val="center"/>
              <w:rPr>
                <w:b w:val="1"/>
                <w:bCs w:val="1"/>
              </w:rPr>
            </w:pPr>
            <w:r w:rsidDel="00000000" w:rsidR="00000000" w:rsidRPr="00000000">
              <w:rPr>
                <w:b w:val="1"/>
                <w:bCs w:val="1"/>
                <w:rtl w:val="0"/>
              </w:rPr>
              <w:t xml:space="preserve">Ley 21.735</w:t>
            </w:r>
          </w:p>
        </w:tc>
      </w:tr>
      <w:tr>
        <w:trPr>
          <w:cantSplit w:val="0"/>
          <w:trHeight w:val="885" w:hRule="atLeast"/>
          <w:tblHeader w:val="0"/>
        </w:trPr>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3">
            <w:pPr>
              <w:spacing w:after="140" w:before="140" w:lineRule="auto"/>
              <w:ind w:left="140" w:right="140" w:firstLine="0"/>
              <w:jc w:val="center"/>
              <w:rPr/>
            </w:pPr>
            <w:r w:rsidDel="00000000" w:rsidR="00000000" w:rsidRPr="00000000">
              <w:rPr>
                <w:rtl w:val="0"/>
              </w:rPr>
              <w:t xml:space="preserve">Capitalización individual</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4">
            <w:pPr>
              <w:spacing w:after="140" w:before="140" w:lineRule="auto"/>
              <w:ind w:left="140" w:right="140" w:firstLine="0"/>
              <w:jc w:val="center"/>
              <w:rPr/>
            </w:pPr>
            <w:r w:rsidDel="00000000" w:rsidR="00000000" w:rsidRPr="00000000">
              <w:rPr>
                <w:rtl w:val="0"/>
              </w:rPr>
              <w:t xml:space="preserve">+ 3 (27.3%)</w:t>
              <w:br w:type="textWrapping"/>
              <w:t xml:space="preserve"> </w:t>
            </w:r>
            <w:r w:rsidDel="00000000" w:rsidR="00000000" w:rsidRPr="00000000">
              <w:rPr>
                <w:rFonts w:ascii="Gungsuh" w:cs="Gungsuh" w:eastAsia="Gungsuh" w:hAnsi="Gungsuh"/>
                <w:rtl w:val="0"/>
              </w:rPr>
              <w:t xml:space="preserve">− 8 (72.7%)</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5">
            <w:pPr>
              <w:spacing w:after="140" w:before="140" w:lineRule="auto"/>
              <w:ind w:left="140" w:right="140" w:firstLine="0"/>
              <w:jc w:val="center"/>
              <w:rPr/>
            </w:pPr>
            <w:r w:rsidDel="00000000" w:rsidR="00000000" w:rsidRPr="00000000">
              <w:rPr>
                <w:rtl w:val="0"/>
              </w:rPr>
              <w:t xml:space="preserve">—</w:t>
            </w:r>
          </w:p>
        </w:tc>
        <w:tc>
          <w:tcPr>
            <w:tcBorders>
              <w:top w:color="000000" w:space="0" w:sz="12" w:val="single"/>
            </w:tcBorders>
            <w:shd w:fill="ffffff" w:val="clear"/>
            <w:tcMar>
              <w:top w:w="0.0" w:type="dxa"/>
              <w:left w:w="0.0" w:type="dxa"/>
              <w:bottom w:w="0.0" w:type="dxa"/>
              <w:right w:w="0.0" w:type="dxa"/>
            </w:tcMar>
            <w:vAlign w:val="top"/>
          </w:tcPr>
          <w:p w:rsidR="00000000" w:rsidDel="00000000" w:rsidP="00000000" w:rsidRDefault="00000000" w:rsidRPr="00000000" w14:paraId="00000136">
            <w:pPr>
              <w:spacing w:after="140" w:before="140" w:lineRule="auto"/>
              <w:ind w:left="140" w:right="140" w:firstLine="0"/>
              <w:jc w:val="center"/>
              <w:rPr/>
            </w:pPr>
            <w:r w:rsidDel="00000000" w:rsidR="00000000" w:rsidRPr="00000000">
              <w:rPr>
                <w:rtl w:val="0"/>
              </w:rPr>
              <w:t xml:space="preserve">+ 41 (51.2%)</w:t>
              <w:br w:type="textWrapping"/>
              <w:t xml:space="preserve"> </w:t>
            </w:r>
            <w:r w:rsidDel="00000000" w:rsidR="00000000" w:rsidRPr="00000000">
              <w:rPr>
                <w:rFonts w:ascii="Gungsuh" w:cs="Gungsuh" w:eastAsia="Gungsuh" w:hAnsi="Gungsuh"/>
                <w:rtl w:val="0"/>
              </w:rPr>
              <w:t xml:space="preserve">− 39 (48.8%)</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37">
            <w:pPr>
              <w:spacing w:after="140" w:before="140" w:lineRule="auto"/>
              <w:ind w:left="140" w:right="140" w:firstLine="0"/>
              <w:jc w:val="center"/>
              <w:rPr/>
            </w:pPr>
            <w:r w:rsidDel="00000000" w:rsidR="00000000" w:rsidRPr="00000000">
              <w:rPr>
                <w:rtl w:val="0"/>
              </w:rPr>
              <w:t xml:space="preserve">Propiedad de fondos</w:t>
            </w:r>
          </w:p>
        </w:tc>
        <w:tc>
          <w:tcPr>
            <w:shd w:fill="ffffff" w:val="clear"/>
            <w:tcMar>
              <w:top w:w="0.0" w:type="dxa"/>
              <w:left w:w="0.0" w:type="dxa"/>
              <w:bottom w:w="0.0" w:type="dxa"/>
              <w:right w:w="0.0" w:type="dxa"/>
            </w:tcMar>
            <w:vAlign w:val="top"/>
          </w:tcPr>
          <w:p w:rsidR="00000000" w:rsidDel="00000000" w:rsidP="00000000" w:rsidRDefault="00000000" w:rsidRPr="00000000" w14:paraId="00000138">
            <w:pPr>
              <w:spacing w:after="140" w:before="140" w:lineRule="auto"/>
              <w:ind w:left="140" w:right="140" w:firstLine="0"/>
              <w:jc w:val="center"/>
              <w:rPr/>
            </w:pPr>
            <w:r w:rsidDel="00000000" w:rsidR="00000000" w:rsidRPr="00000000">
              <w:rPr>
                <w:rFonts w:ascii="Gungsuh" w:cs="Gungsuh" w:eastAsia="Gungsuh" w:hAnsi="Gungsuh"/>
                <w:rtl w:val="0"/>
              </w:rPr>
              <w:t xml:space="preserve">+ 3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39">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3A">
            <w:pPr>
              <w:spacing w:after="140" w:before="140" w:lineRule="auto"/>
              <w:ind w:left="140" w:right="140" w:firstLine="0"/>
              <w:jc w:val="center"/>
              <w:rPr/>
            </w:pPr>
            <w:r w:rsidDel="00000000" w:rsidR="00000000" w:rsidRPr="00000000">
              <w:rPr>
                <w:rFonts w:ascii="Gungsuh" w:cs="Gungsuh" w:eastAsia="Gungsuh" w:hAnsi="Gungsuh"/>
                <w:rtl w:val="0"/>
              </w:rPr>
              <w:t xml:space="preserve">+ 78 (90.7%)</w:t>
              <w:br w:type="textWrapping"/>
              <w:t xml:space="preserve"> − 8 (9.3%)</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3B">
            <w:pPr>
              <w:spacing w:after="140" w:before="140" w:lineRule="auto"/>
              <w:ind w:left="140" w:right="140" w:firstLine="0"/>
              <w:jc w:val="center"/>
              <w:rPr/>
            </w:pPr>
            <w:r w:rsidDel="00000000" w:rsidR="00000000" w:rsidRPr="00000000">
              <w:rPr>
                <w:rtl w:val="0"/>
              </w:rPr>
              <w:t xml:space="preserve">Reciprocidad contributiva</w:t>
            </w:r>
          </w:p>
        </w:tc>
        <w:tc>
          <w:tcPr>
            <w:shd w:fill="ffffff" w:val="clear"/>
            <w:tcMar>
              <w:top w:w="0.0" w:type="dxa"/>
              <w:left w:w="0.0" w:type="dxa"/>
              <w:bottom w:w="0.0" w:type="dxa"/>
              <w:right w:w="0.0" w:type="dxa"/>
            </w:tcMar>
            <w:vAlign w:val="top"/>
          </w:tcPr>
          <w:p w:rsidR="00000000" w:rsidDel="00000000" w:rsidP="00000000" w:rsidRDefault="00000000" w:rsidRPr="00000000" w14:paraId="0000013C">
            <w:pPr>
              <w:spacing w:after="140" w:before="140" w:lineRule="auto"/>
              <w:ind w:left="140" w:right="140" w:firstLine="0"/>
              <w:jc w:val="center"/>
              <w:rPr/>
            </w:pPr>
            <w:r w:rsidDel="00000000" w:rsidR="00000000" w:rsidRPr="00000000">
              <w:rPr>
                <w:b w:val="1"/>
                <w:bCs w:val="1"/>
                <w:rtl w:val="0"/>
              </w:rPr>
              <w:t xml:space="preserve">+ 20 (100.0%)</w:t>
            </w:r>
            <w:r w:rsidDel="00000000" w:rsidR="00000000" w:rsidRPr="00000000">
              <w:rPr>
                <w:rFonts w:ascii="Gungsuh" w:cs="Gungsuh" w:eastAsia="Gungsuh" w:hAnsi="Gungsuh"/>
                <w:rtl w:val="0"/>
              </w:rPr>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3D">
            <w:pPr>
              <w:spacing w:after="140" w:before="140" w:lineRule="auto"/>
              <w:ind w:left="140" w:right="140" w:firstLine="0"/>
              <w:jc w:val="center"/>
              <w:rPr/>
            </w:pPr>
            <w:r w:rsidDel="00000000" w:rsidR="00000000" w:rsidRPr="00000000">
              <w:rPr>
                <w:b w:val="1"/>
                <w:bCs w:val="1"/>
                <w:rtl w:val="0"/>
              </w:rPr>
              <w:t xml:space="preserve">+ 11 (100.0%)</w:t>
              <w:br w:type="textWrapping"/>
            </w:r>
            <w:r w:rsidDel="00000000" w:rsidR="00000000" w:rsidRPr="00000000">
              <w:rPr>
                <w:rFonts w:ascii="Gungsuh" w:cs="Gungsuh" w:eastAsia="Gungsuh" w:hAnsi="Gungsuh"/>
                <w:rtl w:val="0"/>
              </w:rPr>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3E">
            <w:pPr>
              <w:spacing w:after="140" w:before="140" w:lineRule="auto"/>
              <w:ind w:left="140" w:right="140" w:firstLine="0"/>
              <w:jc w:val="center"/>
              <w:rPr/>
            </w:pPr>
            <w:r w:rsidDel="00000000" w:rsidR="00000000" w:rsidRPr="00000000">
              <w:rPr>
                <w:b w:val="1"/>
                <w:bCs w:val="1"/>
                <w:rtl w:val="0"/>
              </w:rPr>
              <w:t xml:space="preserve">+ 97 (100.0%)</w:t>
              <w:br w:type="textWrapping"/>
            </w:r>
            <w:r w:rsidDel="00000000" w:rsidR="00000000" w:rsidRPr="00000000">
              <w:rPr>
                <w:rFonts w:ascii="Gungsuh" w:cs="Gungsuh" w:eastAsia="Gungsuh" w:hAnsi="Gungsuh"/>
                <w:rtl w:val="0"/>
              </w:rPr>
              <w:t xml:space="preserve"> − 0 (0.0%)</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3F">
            <w:pPr>
              <w:spacing w:after="140" w:before="140" w:lineRule="auto"/>
              <w:ind w:left="140" w:right="140" w:firstLine="0"/>
              <w:jc w:val="center"/>
              <w:rPr/>
            </w:pPr>
            <w:r w:rsidDel="00000000" w:rsidR="00000000" w:rsidRPr="00000000">
              <w:rPr>
                <w:rtl w:val="0"/>
              </w:rPr>
              <w:t xml:space="preserve">Control individual</w:t>
            </w:r>
          </w:p>
        </w:tc>
        <w:tc>
          <w:tcPr>
            <w:shd w:fill="ffffff" w:val="clear"/>
            <w:tcMar>
              <w:top w:w="0.0" w:type="dxa"/>
              <w:left w:w="0.0" w:type="dxa"/>
              <w:bottom w:w="0.0" w:type="dxa"/>
              <w:right w:w="0.0" w:type="dxa"/>
            </w:tcMar>
            <w:vAlign w:val="top"/>
          </w:tcPr>
          <w:p w:rsidR="00000000" w:rsidDel="00000000" w:rsidP="00000000" w:rsidRDefault="00000000" w:rsidRPr="00000000" w14:paraId="00000140">
            <w:pPr>
              <w:spacing w:after="140" w:before="140" w:lineRule="auto"/>
              <w:ind w:left="140" w:right="140" w:firstLine="0"/>
              <w:jc w:val="center"/>
              <w:rPr/>
            </w:pPr>
            <w:r w:rsidDel="00000000" w:rsidR="00000000" w:rsidRPr="00000000">
              <w:rPr>
                <w:rFonts w:ascii="Gungsuh" w:cs="Gungsuh" w:eastAsia="Gungsuh" w:hAnsi="Gungsuh"/>
                <w:rtl w:val="0"/>
              </w:rPr>
              <w:t xml:space="preserve">+ 1 (50.0%)</w:t>
              <w:br w:type="textWrapping"/>
              <w:t xml:space="preserve"> − 1 (50.0%)</w:t>
            </w:r>
          </w:p>
        </w:tc>
        <w:tc>
          <w:tcPr>
            <w:shd w:fill="ffffff" w:val="clear"/>
            <w:tcMar>
              <w:top w:w="0.0" w:type="dxa"/>
              <w:left w:w="0.0" w:type="dxa"/>
              <w:bottom w:w="0.0" w:type="dxa"/>
              <w:right w:w="0.0" w:type="dxa"/>
            </w:tcMar>
            <w:vAlign w:val="top"/>
          </w:tcPr>
          <w:p w:rsidR="00000000" w:rsidDel="00000000" w:rsidP="00000000" w:rsidRDefault="00000000" w:rsidRPr="00000000" w14:paraId="00000141">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42">
            <w:pPr>
              <w:spacing w:after="140" w:before="140" w:lineRule="auto"/>
              <w:ind w:left="140" w:right="140" w:firstLine="0"/>
              <w:jc w:val="center"/>
              <w:rPr/>
            </w:pPr>
            <w:r w:rsidDel="00000000" w:rsidR="00000000" w:rsidRPr="00000000">
              <w:rPr>
                <w:rFonts w:ascii="Gungsuh" w:cs="Gungsuh" w:eastAsia="Gungsuh" w:hAnsi="Gungsuh"/>
                <w:rtl w:val="0"/>
              </w:rPr>
              <w:t xml:space="preserve">+ 2 (33.3%)</w:t>
              <w:br w:type="textWrapping"/>
              <w:t xml:space="preserve"> − 4 (66.7%)</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43">
            <w:pPr>
              <w:spacing w:after="140" w:before="140" w:lineRule="auto"/>
              <w:ind w:left="140" w:right="140" w:firstLine="0"/>
              <w:jc w:val="center"/>
              <w:rPr/>
            </w:pPr>
            <w:r w:rsidDel="00000000" w:rsidR="00000000" w:rsidRPr="00000000">
              <w:rPr>
                <w:rtl w:val="0"/>
              </w:rPr>
              <w:t xml:space="preserve">Actitud del beneficiario</w:t>
            </w:r>
          </w:p>
        </w:tc>
        <w:tc>
          <w:tcPr>
            <w:shd w:fill="ffffff" w:val="clear"/>
            <w:tcMar>
              <w:top w:w="0.0" w:type="dxa"/>
              <w:left w:w="0.0" w:type="dxa"/>
              <w:bottom w:w="0.0" w:type="dxa"/>
              <w:right w:w="0.0" w:type="dxa"/>
            </w:tcMar>
            <w:vAlign w:val="top"/>
          </w:tcPr>
          <w:p w:rsidR="00000000" w:rsidDel="00000000" w:rsidP="00000000" w:rsidRDefault="00000000" w:rsidRPr="00000000" w14:paraId="00000144">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45">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46">
            <w:pPr>
              <w:spacing w:after="140" w:before="140" w:lineRule="auto"/>
              <w:ind w:left="140" w:right="140" w:firstLine="0"/>
              <w:jc w:val="center"/>
              <w:rPr/>
            </w:pPr>
            <w:r w:rsidDel="00000000" w:rsidR="00000000" w:rsidRPr="00000000">
              <w:rPr>
                <w:rFonts w:ascii="Gungsuh" w:cs="Gungsuh" w:eastAsia="Gungsuh" w:hAnsi="Gungsuh"/>
                <w:rtl w:val="0"/>
              </w:rPr>
              <w:t xml:space="preserve">+ 0 (0.0%)</w:t>
              <w:br w:type="textWrapping"/>
              <w:t xml:space="preserve"> − 1 (100.0%)</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47">
            <w:pPr>
              <w:spacing w:after="140" w:before="140" w:lineRule="auto"/>
              <w:ind w:left="140" w:right="140" w:firstLine="0"/>
              <w:jc w:val="center"/>
              <w:rPr/>
            </w:pPr>
            <w:r w:rsidDel="00000000" w:rsidR="00000000" w:rsidRPr="00000000">
              <w:rPr>
                <w:rtl w:val="0"/>
              </w:rPr>
              <w:t xml:space="preserve">Identidad grupal</w:t>
            </w:r>
          </w:p>
        </w:tc>
        <w:tc>
          <w:tcPr>
            <w:shd w:fill="ffffff" w:val="clear"/>
            <w:tcMar>
              <w:top w:w="0.0" w:type="dxa"/>
              <w:left w:w="0.0" w:type="dxa"/>
              <w:bottom w:w="0.0" w:type="dxa"/>
              <w:right w:w="0.0" w:type="dxa"/>
            </w:tcMar>
            <w:vAlign w:val="top"/>
          </w:tcPr>
          <w:p w:rsidR="00000000" w:rsidDel="00000000" w:rsidP="00000000" w:rsidRDefault="00000000" w:rsidRPr="00000000" w14:paraId="00000148">
            <w:pPr>
              <w:spacing w:after="140" w:before="140" w:lineRule="auto"/>
              <w:ind w:left="140" w:right="140" w:firstLine="0"/>
              <w:jc w:val="center"/>
              <w:rPr/>
            </w:pPr>
            <w:r w:rsidDel="00000000" w:rsidR="00000000" w:rsidRPr="00000000">
              <w:rPr>
                <w:rFonts w:ascii="Gungsuh" w:cs="Gungsuh" w:eastAsia="Gungsuh" w:hAnsi="Gungsuh"/>
                <w:rtl w:val="0"/>
              </w:rPr>
              <w:t xml:space="preserve">+ 8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49">
            <w:pPr>
              <w:spacing w:after="140" w:before="140" w:lineRule="auto"/>
              <w:ind w:left="140" w:right="140" w:firstLine="0"/>
              <w:jc w:val="center"/>
              <w:rPr/>
            </w:pPr>
            <w:r w:rsidDel="00000000" w:rsidR="00000000" w:rsidRPr="00000000">
              <w:rPr>
                <w:rFonts w:ascii="Gungsuh" w:cs="Gungsuh" w:eastAsia="Gungsuh" w:hAnsi="Gungsuh"/>
                <w:rtl w:val="0"/>
              </w:rPr>
              <w:t xml:space="preserve">+ 10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4A">
            <w:pPr>
              <w:spacing w:after="140" w:before="140" w:lineRule="auto"/>
              <w:ind w:left="140" w:right="140" w:firstLine="0"/>
              <w:jc w:val="center"/>
              <w:rPr/>
            </w:pPr>
            <w:r w:rsidDel="00000000" w:rsidR="00000000" w:rsidRPr="00000000">
              <w:rPr>
                <w:rFonts w:ascii="Gungsuh" w:cs="Gungsuh" w:eastAsia="Gungsuh" w:hAnsi="Gungsuh"/>
                <w:rtl w:val="0"/>
              </w:rPr>
              <w:t xml:space="preserve">+ 50 (100.0%)</w:t>
              <w:br w:type="textWrapping"/>
              <w:t xml:space="preserve"> − 0 (0.0%)</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4B">
            <w:pPr>
              <w:spacing w:after="140" w:before="140" w:lineRule="auto"/>
              <w:ind w:left="140" w:right="140" w:firstLine="0"/>
              <w:jc w:val="center"/>
              <w:rPr/>
            </w:pPr>
            <w:r w:rsidDel="00000000" w:rsidR="00000000" w:rsidRPr="00000000">
              <w:rPr>
                <w:rtl w:val="0"/>
              </w:rPr>
              <w:t xml:space="preserve">Necesidad material</w:t>
            </w:r>
          </w:p>
        </w:tc>
        <w:tc>
          <w:tcPr>
            <w:shd w:fill="ffffff" w:val="clear"/>
            <w:tcMar>
              <w:top w:w="0.0" w:type="dxa"/>
              <w:left w:w="0.0" w:type="dxa"/>
              <w:bottom w:w="0.0" w:type="dxa"/>
              <w:right w:w="0.0" w:type="dxa"/>
            </w:tcMar>
            <w:vAlign w:val="top"/>
          </w:tcPr>
          <w:p w:rsidR="00000000" w:rsidDel="00000000" w:rsidP="00000000" w:rsidRDefault="00000000" w:rsidRPr="00000000" w14:paraId="0000014C">
            <w:pPr>
              <w:spacing w:after="140" w:before="140" w:lineRule="auto"/>
              <w:ind w:left="140" w:right="140" w:firstLine="0"/>
              <w:jc w:val="center"/>
              <w:rPr/>
            </w:pPr>
            <w:r w:rsidDel="00000000" w:rsidR="00000000" w:rsidRPr="00000000">
              <w:rPr>
                <w:b w:val="1"/>
                <w:bCs w:val="1"/>
                <w:rtl w:val="0"/>
              </w:rPr>
              <w:t xml:space="preserve">+ 57 (100.0%)</w:t>
              <w:br w:type="textWrapping"/>
            </w:r>
            <w:r w:rsidDel="00000000" w:rsidR="00000000" w:rsidRPr="00000000">
              <w:rPr>
                <w:rFonts w:ascii="Gungsuh" w:cs="Gungsuh" w:eastAsia="Gungsuh" w:hAnsi="Gungsuh"/>
                <w:rtl w:val="0"/>
              </w:rPr>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4D">
            <w:pPr>
              <w:spacing w:after="140" w:before="140" w:lineRule="auto"/>
              <w:ind w:left="140" w:right="140" w:firstLine="0"/>
              <w:jc w:val="center"/>
              <w:rPr/>
            </w:pPr>
            <w:r w:rsidDel="00000000" w:rsidR="00000000" w:rsidRPr="00000000">
              <w:rPr>
                <w:b w:val="1"/>
                <w:bCs w:val="1"/>
                <w:rtl w:val="0"/>
              </w:rPr>
              <w:t xml:space="preserve">+ 25 (100.0%)</w:t>
              <w:br w:type="textWrapping"/>
            </w:r>
            <w:r w:rsidDel="00000000" w:rsidR="00000000" w:rsidRPr="00000000">
              <w:rPr>
                <w:rFonts w:ascii="Gungsuh" w:cs="Gungsuh" w:eastAsia="Gungsuh" w:hAnsi="Gungsuh"/>
                <w:rtl w:val="0"/>
              </w:rPr>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4E">
            <w:pPr>
              <w:spacing w:after="140" w:before="140" w:lineRule="auto"/>
              <w:ind w:left="140" w:right="140" w:firstLine="0"/>
              <w:jc w:val="center"/>
              <w:rPr/>
            </w:pPr>
            <w:r w:rsidDel="00000000" w:rsidR="00000000" w:rsidRPr="00000000">
              <w:rPr>
                <w:b w:val="1"/>
                <w:bCs w:val="1"/>
                <w:rtl w:val="0"/>
              </w:rPr>
              <w:t xml:space="preserve">+ 129 (100.0%)</w:t>
              <w:br w:type="textWrapping"/>
            </w:r>
            <w:r w:rsidDel="00000000" w:rsidR="00000000" w:rsidRPr="00000000">
              <w:rPr>
                <w:rFonts w:ascii="Gungsuh" w:cs="Gungsuh" w:eastAsia="Gungsuh" w:hAnsi="Gungsuh"/>
                <w:rtl w:val="0"/>
              </w:rPr>
              <w:t xml:space="preserve"> − 0 (0.0%)</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4F">
            <w:pPr>
              <w:spacing w:after="140" w:before="140" w:lineRule="auto"/>
              <w:ind w:left="140" w:right="140" w:firstLine="0"/>
              <w:jc w:val="center"/>
              <w:rPr/>
            </w:pPr>
            <w:r w:rsidDel="00000000" w:rsidR="00000000" w:rsidRPr="00000000">
              <w:rPr>
                <w:rtl w:val="0"/>
              </w:rPr>
              <w:t xml:space="preserve">Igualdad y universalismo</w:t>
            </w:r>
          </w:p>
        </w:tc>
        <w:tc>
          <w:tcPr>
            <w:shd w:fill="ffffff" w:val="clear"/>
            <w:tcMar>
              <w:top w:w="0.0" w:type="dxa"/>
              <w:left w:w="0.0" w:type="dxa"/>
              <w:bottom w:w="0.0" w:type="dxa"/>
              <w:right w:w="0.0" w:type="dxa"/>
            </w:tcMar>
            <w:vAlign w:val="top"/>
          </w:tcPr>
          <w:p w:rsidR="00000000" w:rsidDel="00000000" w:rsidP="00000000" w:rsidRDefault="00000000" w:rsidRPr="00000000" w14:paraId="00000150">
            <w:pPr>
              <w:spacing w:after="140" w:before="140" w:lineRule="auto"/>
              <w:ind w:left="140" w:right="140" w:firstLine="0"/>
              <w:jc w:val="center"/>
              <w:rPr/>
            </w:pPr>
            <w:r w:rsidDel="00000000" w:rsidR="00000000" w:rsidRPr="00000000">
              <w:rPr>
                <w:rFonts w:ascii="Gungsuh" w:cs="Gungsuh" w:eastAsia="Gungsuh" w:hAnsi="Gungsuh"/>
                <w:rtl w:val="0"/>
              </w:rPr>
              <w:t xml:space="preserve">+ 36 (94.7%)</w:t>
              <w:br w:type="textWrapping"/>
              <w:t xml:space="preserve"> − 2 (5.3%)</w:t>
            </w:r>
          </w:p>
        </w:tc>
        <w:tc>
          <w:tcPr>
            <w:shd w:fill="ffffff" w:val="clear"/>
            <w:tcMar>
              <w:top w:w="0.0" w:type="dxa"/>
              <w:left w:w="0.0" w:type="dxa"/>
              <w:bottom w:w="0.0" w:type="dxa"/>
              <w:right w:w="0.0" w:type="dxa"/>
            </w:tcMar>
            <w:vAlign w:val="top"/>
          </w:tcPr>
          <w:p w:rsidR="00000000" w:rsidDel="00000000" w:rsidP="00000000" w:rsidRDefault="00000000" w:rsidRPr="00000000" w14:paraId="00000151">
            <w:pPr>
              <w:spacing w:after="140" w:before="140" w:lineRule="auto"/>
              <w:ind w:left="140" w:right="140" w:firstLine="0"/>
              <w:jc w:val="center"/>
              <w:rPr/>
            </w:pPr>
            <w:r w:rsidDel="00000000" w:rsidR="00000000" w:rsidRPr="00000000">
              <w:rPr>
                <w:rFonts w:ascii="Gungsuh" w:cs="Gungsuh" w:eastAsia="Gungsuh" w:hAnsi="Gungsuh"/>
                <w:rtl w:val="0"/>
              </w:rPr>
              <w:t xml:space="preserve">+ 27 (96.4%)</w:t>
              <w:br w:type="textWrapping"/>
              <w:t xml:space="preserve"> − 1 (3.6%)</w:t>
            </w:r>
          </w:p>
        </w:tc>
        <w:tc>
          <w:tcPr>
            <w:shd w:fill="ffffff" w:val="clear"/>
            <w:tcMar>
              <w:top w:w="0.0" w:type="dxa"/>
              <w:left w:w="0.0" w:type="dxa"/>
              <w:bottom w:w="0.0" w:type="dxa"/>
              <w:right w:w="0.0" w:type="dxa"/>
            </w:tcMar>
            <w:vAlign w:val="top"/>
          </w:tcPr>
          <w:p w:rsidR="00000000" w:rsidDel="00000000" w:rsidP="00000000" w:rsidRDefault="00000000" w:rsidRPr="00000000" w14:paraId="00000152">
            <w:pPr>
              <w:spacing w:after="140" w:before="140" w:lineRule="auto"/>
              <w:ind w:left="140" w:right="140" w:firstLine="0"/>
              <w:jc w:val="center"/>
              <w:rPr/>
            </w:pPr>
            <w:r w:rsidDel="00000000" w:rsidR="00000000" w:rsidRPr="00000000">
              <w:rPr>
                <w:rFonts w:ascii="Gungsuh" w:cs="Gungsuh" w:eastAsia="Gungsuh" w:hAnsi="Gungsuh"/>
                <w:rtl w:val="0"/>
              </w:rPr>
              <w:t xml:space="preserve">+ 82 (98.8%)</w:t>
              <w:br w:type="textWrapping"/>
              <w:t xml:space="preserve"> − 1 (1.2%)</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53">
            <w:pPr>
              <w:spacing w:after="140" w:before="140" w:lineRule="auto"/>
              <w:ind w:left="140" w:right="140" w:firstLine="0"/>
              <w:jc w:val="center"/>
              <w:rPr/>
            </w:pPr>
            <w:r w:rsidDel="00000000" w:rsidR="00000000" w:rsidRPr="00000000">
              <w:rPr>
                <w:rtl w:val="0"/>
              </w:rPr>
              <w:t xml:space="preserve">Conciencia de costos</w:t>
            </w:r>
          </w:p>
        </w:tc>
        <w:tc>
          <w:tcPr>
            <w:shd w:fill="ffffff" w:val="clear"/>
            <w:tcMar>
              <w:top w:w="0.0" w:type="dxa"/>
              <w:left w:w="0.0" w:type="dxa"/>
              <w:bottom w:w="0.0" w:type="dxa"/>
              <w:right w:w="0.0" w:type="dxa"/>
            </w:tcMar>
            <w:vAlign w:val="top"/>
          </w:tcPr>
          <w:p w:rsidR="00000000" w:rsidDel="00000000" w:rsidP="00000000" w:rsidRDefault="00000000" w:rsidRPr="00000000" w14:paraId="00000154">
            <w:pPr>
              <w:spacing w:after="140" w:before="140" w:lineRule="auto"/>
              <w:ind w:left="140" w:right="140" w:firstLine="0"/>
              <w:jc w:val="center"/>
              <w:rPr/>
            </w:pPr>
            <w:r w:rsidDel="00000000" w:rsidR="00000000" w:rsidRPr="00000000">
              <w:rPr>
                <w:rtl w:val="0"/>
              </w:rPr>
              <w:t xml:space="preserve">+ 14 (43.8%)</w:t>
              <w:br w:type="textWrapping"/>
            </w:r>
            <w:r w:rsidDel="00000000" w:rsidR="00000000" w:rsidRPr="00000000">
              <w:rPr>
                <w:rFonts w:ascii="Gungsuh" w:cs="Gungsuh" w:eastAsia="Gungsuh" w:hAnsi="Gungsuh"/>
                <w:rtl w:val="0"/>
              </w:rPr>
              <w:t xml:space="preserve"> − 18 (56.2%)</w:t>
            </w:r>
          </w:p>
        </w:tc>
        <w:tc>
          <w:tcPr>
            <w:shd w:fill="ffffff" w:val="clear"/>
            <w:tcMar>
              <w:top w:w="0.0" w:type="dxa"/>
              <w:left w:w="0.0" w:type="dxa"/>
              <w:bottom w:w="0.0" w:type="dxa"/>
              <w:right w:w="0.0" w:type="dxa"/>
            </w:tcMar>
            <w:vAlign w:val="top"/>
          </w:tcPr>
          <w:p w:rsidR="00000000" w:rsidDel="00000000" w:rsidP="00000000" w:rsidRDefault="00000000" w:rsidRPr="00000000" w14:paraId="00000155">
            <w:pPr>
              <w:spacing w:after="140" w:before="140" w:lineRule="auto"/>
              <w:ind w:left="140" w:right="140" w:firstLine="0"/>
              <w:jc w:val="center"/>
              <w:rPr/>
            </w:pPr>
            <w:r w:rsidDel="00000000" w:rsidR="00000000" w:rsidRPr="00000000">
              <w:rPr>
                <w:rFonts w:ascii="Gungsuh" w:cs="Gungsuh" w:eastAsia="Gungsuh" w:hAnsi="Gungsuh"/>
                <w:rtl w:val="0"/>
              </w:rPr>
              <w:t xml:space="preserve">+ 3 (50.0%)</w:t>
              <w:br w:type="textWrapping"/>
              <w:t xml:space="preserve"> − 3 (50.0%)</w:t>
            </w:r>
          </w:p>
        </w:tc>
        <w:tc>
          <w:tcPr>
            <w:shd w:fill="ffffff" w:val="clear"/>
            <w:tcMar>
              <w:top w:w="0.0" w:type="dxa"/>
              <w:left w:w="0.0" w:type="dxa"/>
              <w:bottom w:w="0.0" w:type="dxa"/>
              <w:right w:w="0.0" w:type="dxa"/>
            </w:tcMar>
            <w:vAlign w:val="top"/>
          </w:tcPr>
          <w:p w:rsidR="00000000" w:rsidDel="00000000" w:rsidP="00000000" w:rsidRDefault="00000000" w:rsidRPr="00000000" w14:paraId="00000156">
            <w:pPr>
              <w:spacing w:after="140" w:before="140" w:lineRule="auto"/>
              <w:ind w:left="140" w:right="140" w:firstLine="0"/>
              <w:jc w:val="center"/>
              <w:rPr/>
            </w:pPr>
            <w:r w:rsidDel="00000000" w:rsidR="00000000" w:rsidRPr="00000000">
              <w:rPr>
                <w:rFonts w:ascii="Gungsuh" w:cs="Gungsuh" w:eastAsia="Gungsuh" w:hAnsi="Gungsuh"/>
                <w:rtl w:val="0"/>
              </w:rPr>
              <w:t xml:space="preserve">+ 52 (66.7%)</w:t>
              <w:br w:type="textWrapping"/>
              <w:t xml:space="preserve"> − 26 (33.3%)</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57">
            <w:pPr>
              <w:spacing w:after="140" w:before="140" w:lineRule="auto"/>
              <w:ind w:left="140" w:right="140" w:firstLine="0"/>
              <w:jc w:val="center"/>
              <w:rPr/>
            </w:pPr>
            <w:r w:rsidDel="00000000" w:rsidR="00000000" w:rsidRPr="00000000">
              <w:rPr>
                <w:rtl w:val="0"/>
              </w:rPr>
              <w:t xml:space="preserve">Solidaridad colectiva</w:t>
            </w:r>
          </w:p>
        </w:tc>
        <w:tc>
          <w:tcPr>
            <w:shd w:fill="ffffff" w:val="clear"/>
            <w:tcMar>
              <w:top w:w="0.0" w:type="dxa"/>
              <w:left w:w="0.0" w:type="dxa"/>
              <w:bottom w:w="0.0" w:type="dxa"/>
              <w:right w:w="0.0" w:type="dxa"/>
            </w:tcMar>
            <w:vAlign w:val="top"/>
          </w:tcPr>
          <w:p w:rsidR="00000000" w:rsidDel="00000000" w:rsidP="00000000" w:rsidRDefault="00000000" w:rsidRPr="00000000" w14:paraId="00000158">
            <w:pPr>
              <w:spacing w:after="140" w:before="140" w:lineRule="auto"/>
              <w:ind w:left="140" w:right="140" w:firstLine="0"/>
              <w:jc w:val="center"/>
              <w:rPr/>
            </w:pPr>
            <w:r w:rsidDel="00000000" w:rsidR="00000000" w:rsidRPr="00000000">
              <w:rPr>
                <w:rFonts w:ascii="Gungsuh" w:cs="Gungsuh" w:eastAsia="Gungsuh" w:hAnsi="Gungsuh"/>
                <w:rtl w:val="0"/>
              </w:rPr>
              <w:t xml:space="preserve">+ 14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59">
            <w:pPr>
              <w:spacing w:after="140" w:before="140" w:lineRule="auto"/>
              <w:ind w:left="140" w:right="140" w:firstLine="0"/>
              <w:jc w:val="center"/>
              <w:rPr/>
            </w:pPr>
            <w:r w:rsidDel="00000000" w:rsidR="00000000" w:rsidRPr="00000000">
              <w:rPr>
                <w:rFonts w:ascii="Gungsuh" w:cs="Gungsuh" w:eastAsia="Gungsuh" w:hAnsi="Gungsuh"/>
                <w:rtl w:val="0"/>
              </w:rPr>
              <w:t xml:space="preserve">+ 2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5A">
            <w:pPr>
              <w:spacing w:after="140" w:before="140" w:lineRule="auto"/>
              <w:ind w:left="140" w:right="140" w:firstLine="0"/>
              <w:jc w:val="center"/>
              <w:rPr/>
            </w:pPr>
            <w:r w:rsidDel="00000000" w:rsidR="00000000" w:rsidRPr="00000000">
              <w:rPr>
                <w:rFonts w:ascii="Gungsuh" w:cs="Gungsuh" w:eastAsia="Gungsuh" w:hAnsi="Gungsuh"/>
                <w:rtl w:val="0"/>
              </w:rPr>
              <w:t xml:space="preserve">+ 22 (88.0%)</w:t>
              <w:br w:type="textWrapping"/>
              <w:t xml:space="preserve"> − 3 (12.0%)</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5B">
            <w:pPr>
              <w:spacing w:after="140" w:before="140" w:lineRule="auto"/>
              <w:ind w:left="140" w:right="140" w:firstLine="0"/>
              <w:jc w:val="center"/>
              <w:rPr/>
            </w:pPr>
            <w:r w:rsidDel="00000000" w:rsidR="00000000" w:rsidRPr="00000000">
              <w:rPr>
                <w:rtl w:val="0"/>
              </w:rPr>
              <w:t xml:space="preserve">Solidaridad intergeneracional</w:t>
            </w:r>
          </w:p>
        </w:tc>
        <w:tc>
          <w:tcPr>
            <w:shd w:fill="ffffff" w:val="clear"/>
            <w:tcMar>
              <w:top w:w="0.0" w:type="dxa"/>
              <w:left w:w="0.0" w:type="dxa"/>
              <w:bottom w:w="0.0" w:type="dxa"/>
              <w:right w:w="0.0" w:type="dxa"/>
            </w:tcMar>
            <w:vAlign w:val="top"/>
          </w:tcPr>
          <w:p w:rsidR="00000000" w:rsidDel="00000000" w:rsidP="00000000" w:rsidRDefault="00000000" w:rsidRPr="00000000" w14:paraId="0000015C">
            <w:pPr>
              <w:spacing w:after="140" w:before="140" w:lineRule="auto"/>
              <w:ind w:left="140" w:right="140" w:firstLine="0"/>
              <w:jc w:val="center"/>
              <w:rPr/>
            </w:pPr>
            <w:r w:rsidDel="00000000" w:rsidR="00000000" w:rsidRPr="00000000">
              <w:rPr>
                <w:rFonts w:ascii="Gungsuh" w:cs="Gungsuh" w:eastAsia="Gungsuh" w:hAnsi="Gungsuh"/>
                <w:rtl w:val="0"/>
              </w:rPr>
              <w:t xml:space="preserve">+ 1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5D">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5E">
            <w:pPr>
              <w:spacing w:after="140" w:before="140" w:lineRule="auto"/>
              <w:ind w:left="140" w:right="140" w:firstLine="0"/>
              <w:jc w:val="center"/>
              <w:rPr/>
            </w:pPr>
            <w:r w:rsidDel="00000000" w:rsidR="00000000" w:rsidRPr="00000000">
              <w:rPr>
                <w:rFonts w:ascii="Gungsuh" w:cs="Gungsuh" w:eastAsia="Gungsuh" w:hAnsi="Gungsuh"/>
                <w:rtl w:val="0"/>
              </w:rPr>
              <w:t xml:space="preserve">+ 16 (55.2%)</w:t>
              <w:br w:type="textWrapping"/>
              <w:t xml:space="preserve"> − 13 (44.8%)</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5F">
            <w:pPr>
              <w:spacing w:after="140" w:before="140" w:lineRule="auto"/>
              <w:ind w:left="140" w:right="140" w:firstLine="0"/>
              <w:jc w:val="center"/>
              <w:rPr/>
            </w:pPr>
            <w:r w:rsidDel="00000000" w:rsidR="00000000" w:rsidRPr="00000000">
              <w:rPr>
                <w:rtl w:val="0"/>
              </w:rPr>
              <w:t xml:space="preserve">Libertad de elección</w:t>
            </w:r>
          </w:p>
        </w:tc>
        <w:tc>
          <w:tcPr>
            <w:shd w:fill="ffffff" w:val="clear"/>
            <w:tcMar>
              <w:top w:w="0.0" w:type="dxa"/>
              <w:left w:w="0.0" w:type="dxa"/>
              <w:bottom w:w="0.0" w:type="dxa"/>
              <w:right w:w="0.0" w:type="dxa"/>
            </w:tcMar>
            <w:vAlign w:val="top"/>
          </w:tcPr>
          <w:p w:rsidR="00000000" w:rsidDel="00000000" w:rsidP="00000000" w:rsidRDefault="00000000" w:rsidRPr="00000000" w14:paraId="00000160">
            <w:pPr>
              <w:spacing w:after="140" w:before="140" w:lineRule="auto"/>
              <w:ind w:left="140" w:right="140" w:firstLine="0"/>
              <w:jc w:val="center"/>
              <w:rPr/>
            </w:pPr>
            <w:r w:rsidDel="00000000" w:rsidR="00000000" w:rsidRPr="00000000">
              <w:rPr>
                <w:rFonts w:ascii="Gungsuh" w:cs="Gungsuh" w:eastAsia="Gungsuh" w:hAnsi="Gungsuh"/>
                <w:rtl w:val="0"/>
              </w:rPr>
              <w:t xml:space="preserve">+ 2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61">
            <w:pPr>
              <w:spacing w:after="140" w:before="140" w:lineRule="auto"/>
              <w:ind w:left="140" w:right="140" w:firstLine="0"/>
              <w:jc w:val="center"/>
              <w:rPr/>
            </w:pPr>
            <w:r w:rsidDel="00000000" w:rsidR="00000000" w:rsidRPr="00000000">
              <w:rPr>
                <w:rFonts w:ascii="Gungsuh" w:cs="Gungsuh" w:eastAsia="Gungsuh" w:hAnsi="Gungsuh"/>
                <w:rtl w:val="0"/>
              </w:rPr>
              <w:t xml:space="preserve">+ 2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62">
            <w:pPr>
              <w:spacing w:after="140" w:before="140" w:lineRule="auto"/>
              <w:ind w:left="140" w:right="140" w:firstLine="0"/>
              <w:jc w:val="center"/>
              <w:rPr/>
            </w:pPr>
            <w:r w:rsidDel="00000000" w:rsidR="00000000" w:rsidRPr="00000000">
              <w:rPr>
                <w:rFonts w:ascii="Gungsuh" w:cs="Gungsuh" w:eastAsia="Gungsuh" w:hAnsi="Gungsuh"/>
                <w:rtl w:val="0"/>
              </w:rPr>
              <w:t xml:space="preserve">+ 40 (95.2%)</w:t>
              <w:br w:type="textWrapping"/>
              <w:t xml:space="preserve"> − 2 (4.8%)</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63">
            <w:pPr>
              <w:spacing w:after="140" w:before="140" w:lineRule="auto"/>
              <w:ind w:left="140" w:right="140" w:firstLine="0"/>
              <w:jc w:val="center"/>
              <w:rPr/>
            </w:pPr>
            <w:r w:rsidDel="00000000" w:rsidR="00000000" w:rsidRPr="00000000">
              <w:rPr>
                <w:rtl w:val="0"/>
              </w:rPr>
              <w:t xml:space="preserve">Riesgo estatal</w:t>
            </w:r>
          </w:p>
        </w:tc>
        <w:tc>
          <w:tcPr>
            <w:shd w:fill="ffffff" w:val="clear"/>
            <w:tcMar>
              <w:top w:w="0.0" w:type="dxa"/>
              <w:left w:w="0.0" w:type="dxa"/>
              <w:bottom w:w="0.0" w:type="dxa"/>
              <w:right w:w="0.0" w:type="dxa"/>
            </w:tcMar>
            <w:vAlign w:val="top"/>
          </w:tcPr>
          <w:p w:rsidR="00000000" w:rsidDel="00000000" w:rsidP="00000000" w:rsidRDefault="00000000" w:rsidRPr="00000000" w14:paraId="00000164">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65">
            <w:pPr>
              <w:spacing w:after="140" w:before="140" w:lineRule="auto"/>
              <w:ind w:left="140" w:right="140" w:firstLine="0"/>
              <w:jc w:val="center"/>
              <w:rPr/>
            </w:pPr>
            <w:r w:rsidDel="00000000" w:rsidR="00000000" w:rsidRPr="00000000">
              <w:rPr>
                <w:rtl w:val="0"/>
              </w:rPr>
              <w:t xml:space="preserve">—</w:t>
            </w:r>
          </w:p>
        </w:tc>
        <w:tc>
          <w:tcPr>
            <w:shd w:fill="ffffff" w:val="clear"/>
            <w:tcMar>
              <w:top w:w="0.0" w:type="dxa"/>
              <w:left w:w="0.0" w:type="dxa"/>
              <w:bottom w:w="0.0" w:type="dxa"/>
              <w:right w:w="0.0" w:type="dxa"/>
            </w:tcMar>
            <w:vAlign w:val="top"/>
          </w:tcPr>
          <w:p w:rsidR="00000000" w:rsidDel="00000000" w:rsidP="00000000" w:rsidRDefault="00000000" w:rsidRPr="00000000" w14:paraId="00000166">
            <w:pPr>
              <w:spacing w:after="140" w:before="140" w:lineRule="auto"/>
              <w:ind w:left="140" w:right="140" w:firstLine="0"/>
              <w:jc w:val="center"/>
              <w:rPr>
                <w:b w:val="1"/>
                <w:bCs w:val="1"/>
              </w:rPr>
            </w:pPr>
            <w:r w:rsidDel="00000000" w:rsidR="00000000" w:rsidRPr="00000000">
              <w:rPr>
                <w:rtl w:val="0"/>
              </w:rPr>
              <w:t xml:space="preserve">+ 45 (57.7%)</w:t>
              <w:br w:type="textWrapping"/>
              <w:t xml:space="preserve"> </w:t>
            </w:r>
            <w:r w:rsidDel="00000000" w:rsidR="00000000" w:rsidRPr="00000000">
              <w:rPr>
                <w:rFonts w:ascii="Gungsuh" w:cs="Gungsuh" w:eastAsia="Gungsuh" w:hAnsi="Gungsuh"/>
                <w:b w:val="1"/>
                <w:bCs w:val="1"/>
                <w:rtl w:val="0"/>
              </w:rPr>
              <w:t xml:space="preserve">− 33 (42.3%)</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67">
            <w:pPr>
              <w:spacing w:after="140" w:before="140" w:lineRule="auto"/>
              <w:ind w:left="140" w:right="140" w:firstLine="0"/>
              <w:jc w:val="center"/>
              <w:rPr/>
            </w:pPr>
            <w:r w:rsidDel="00000000" w:rsidR="00000000" w:rsidRPr="00000000">
              <w:rPr>
                <w:rtl w:val="0"/>
              </w:rPr>
              <w:t xml:space="preserve">Previsión como mercado</w:t>
            </w:r>
          </w:p>
        </w:tc>
        <w:tc>
          <w:tcPr>
            <w:shd w:fill="ffffff" w:val="clear"/>
            <w:tcMar>
              <w:top w:w="0.0" w:type="dxa"/>
              <w:left w:w="0.0" w:type="dxa"/>
              <w:bottom w:w="0.0" w:type="dxa"/>
              <w:right w:w="0.0" w:type="dxa"/>
            </w:tcMar>
            <w:vAlign w:val="top"/>
          </w:tcPr>
          <w:p w:rsidR="00000000" w:rsidDel="00000000" w:rsidP="00000000" w:rsidRDefault="00000000" w:rsidRPr="00000000" w14:paraId="00000168">
            <w:pPr>
              <w:spacing w:after="140" w:before="140" w:lineRule="auto"/>
              <w:ind w:left="140" w:right="140" w:firstLine="0"/>
              <w:jc w:val="center"/>
              <w:rPr/>
            </w:pPr>
            <w:r w:rsidDel="00000000" w:rsidR="00000000" w:rsidRPr="00000000">
              <w:rPr>
                <w:rtl w:val="0"/>
              </w:rPr>
              <w:t xml:space="preserve">+ 13 (65.0%)</w:t>
              <w:br w:type="textWrapping"/>
              <w:t xml:space="preserve"> </w:t>
            </w:r>
            <w:r w:rsidDel="00000000" w:rsidR="00000000" w:rsidRPr="00000000">
              <w:rPr>
                <w:rFonts w:ascii="Gungsuh" w:cs="Gungsuh" w:eastAsia="Gungsuh" w:hAnsi="Gungsuh"/>
                <w:rtl w:val="0"/>
              </w:rPr>
              <w:t xml:space="preserve">− 7 (35.0%)</w:t>
            </w:r>
          </w:p>
        </w:tc>
        <w:tc>
          <w:tcPr>
            <w:shd w:fill="ffffff" w:val="clear"/>
            <w:tcMar>
              <w:top w:w="0.0" w:type="dxa"/>
              <w:left w:w="0.0" w:type="dxa"/>
              <w:bottom w:w="0.0" w:type="dxa"/>
              <w:right w:w="0.0" w:type="dxa"/>
            </w:tcMar>
            <w:vAlign w:val="top"/>
          </w:tcPr>
          <w:p w:rsidR="00000000" w:rsidDel="00000000" w:rsidP="00000000" w:rsidRDefault="00000000" w:rsidRPr="00000000" w14:paraId="00000169">
            <w:pPr>
              <w:spacing w:after="140" w:before="140" w:lineRule="auto"/>
              <w:ind w:left="140" w:right="140" w:firstLine="0"/>
              <w:jc w:val="center"/>
              <w:rPr/>
            </w:pPr>
            <w:r w:rsidDel="00000000" w:rsidR="00000000" w:rsidRPr="00000000">
              <w:rPr>
                <w:rtl w:val="0"/>
              </w:rPr>
              <w:t xml:space="preserve">+ 3 (37.5%)</w:t>
              <w:br w:type="textWrapping"/>
              <w:t xml:space="preserve"> </w:t>
            </w:r>
            <w:r w:rsidDel="00000000" w:rsidR="00000000" w:rsidRPr="00000000">
              <w:rPr>
                <w:rFonts w:ascii="Gungsuh" w:cs="Gungsuh" w:eastAsia="Gungsuh" w:hAnsi="Gungsuh"/>
                <w:rtl w:val="0"/>
              </w:rPr>
              <w:t xml:space="preserve">− 5 (62.5%)</w:t>
            </w:r>
          </w:p>
        </w:tc>
        <w:tc>
          <w:tcPr>
            <w:shd w:fill="ffffff" w:val="clear"/>
            <w:tcMar>
              <w:top w:w="0.0" w:type="dxa"/>
              <w:left w:w="0.0" w:type="dxa"/>
              <w:bottom w:w="0.0" w:type="dxa"/>
              <w:right w:w="0.0" w:type="dxa"/>
            </w:tcMar>
            <w:vAlign w:val="top"/>
          </w:tcPr>
          <w:p w:rsidR="00000000" w:rsidDel="00000000" w:rsidP="00000000" w:rsidRDefault="00000000" w:rsidRPr="00000000" w14:paraId="0000016A">
            <w:pPr>
              <w:spacing w:after="140" w:before="140" w:lineRule="auto"/>
              <w:ind w:left="140" w:right="140" w:firstLine="0"/>
              <w:jc w:val="center"/>
              <w:rPr>
                <w:b w:val="1"/>
                <w:bCs w:val="1"/>
              </w:rPr>
            </w:pPr>
            <w:r w:rsidDel="00000000" w:rsidR="00000000" w:rsidRPr="00000000">
              <w:rPr>
                <w:b w:val="1"/>
                <w:bCs w:val="1"/>
                <w:rtl w:val="0"/>
              </w:rPr>
              <w:t xml:space="preserve">+ 82 (48.5%)</w:t>
            </w:r>
            <w:r w:rsidDel="00000000" w:rsidR="00000000" w:rsidRPr="00000000">
              <w:rPr>
                <w:rtl w:val="0"/>
              </w:rPr>
              <w:br w:type="textWrapping"/>
              <w:t xml:space="preserve"> </w:t>
            </w:r>
            <w:r w:rsidDel="00000000" w:rsidR="00000000" w:rsidRPr="00000000">
              <w:rPr>
                <w:rFonts w:ascii="Gungsuh" w:cs="Gungsuh" w:eastAsia="Gungsuh" w:hAnsi="Gungsuh"/>
                <w:b w:val="1"/>
                <w:bCs w:val="1"/>
                <w:rtl w:val="0"/>
              </w:rPr>
              <w:t xml:space="preserve">− 87 (51.5%)</w:t>
            </w:r>
          </w:p>
        </w:tc>
      </w:tr>
      <w:tr>
        <w:trPr>
          <w:cantSplit w:val="0"/>
          <w:trHeight w:val="85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6B">
            <w:pPr>
              <w:spacing w:after="140" w:before="140" w:lineRule="auto"/>
              <w:ind w:left="140" w:right="140" w:firstLine="0"/>
              <w:jc w:val="center"/>
              <w:rPr/>
            </w:pPr>
            <w:r w:rsidDel="00000000" w:rsidR="00000000" w:rsidRPr="00000000">
              <w:rPr>
                <w:rtl w:val="0"/>
              </w:rPr>
              <w:t xml:space="preserve">Origen dictatorial</w:t>
            </w:r>
          </w:p>
        </w:tc>
        <w:tc>
          <w:tcPr>
            <w:shd w:fill="ffffff" w:val="clear"/>
            <w:tcMar>
              <w:top w:w="0.0" w:type="dxa"/>
              <w:left w:w="0.0" w:type="dxa"/>
              <w:bottom w:w="0.0" w:type="dxa"/>
              <w:right w:w="0.0" w:type="dxa"/>
            </w:tcMar>
            <w:vAlign w:val="top"/>
          </w:tcPr>
          <w:p w:rsidR="00000000" w:rsidDel="00000000" w:rsidP="00000000" w:rsidRDefault="00000000" w:rsidRPr="00000000" w14:paraId="0000016C">
            <w:pPr>
              <w:spacing w:after="140" w:before="140" w:lineRule="auto"/>
              <w:ind w:left="140" w:right="140" w:firstLine="0"/>
              <w:jc w:val="center"/>
              <w:rPr/>
            </w:pPr>
            <w:r w:rsidDel="00000000" w:rsidR="00000000" w:rsidRPr="00000000">
              <w:rPr>
                <w:rFonts w:ascii="Gungsuh" w:cs="Gungsuh" w:eastAsia="Gungsuh" w:hAnsi="Gungsuh"/>
                <w:rtl w:val="0"/>
              </w:rPr>
              <w:t xml:space="preserve">+ 1 (50.0%)</w:t>
              <w:br w:type="textWrapping"/>
              <w:t xml:space="preserve"> − 1 (50.0%)</w:t>
            </w:r>
          </w:p>
        </w:tc>
        <w:tc>
          <w:tcPr>
            <w:shd w:fill="ffffff" w:val="clear"/>
            <w:tcMar>
              <w:top w:w="0.0" w:type="dxa"/>
              <w:left w:w="0.0" w:type="dxa"/>
              <w:bottom w:w="0.0" w:type="dxa"/>
              <w:right w:w="0.0" w:type="dxa"/>
            </w:tcMar>
            <w:vAlign w:val="top"/>
          </w:tcPr>
          <w:p w:rsidR="00000000" w:rsidDel="00000000" w:rsidP="00000000" w:rsidRDefault="00000000" w:rsidRPr="00000000" w14:paraId="0000016D">
            <w:pPr>
              <w:spacing w:after="140" w:before="140" w:lineRule="auto"/>
              <w:ind w:left="140" w:right="140" w:firstLine="0"/>
              <w:jc w:val="center"/>
              <w:rPr/>
            </w:pPr>
            <w:r w:rsidDel="00000000" w:rsidR="00000000" w:rsidRPr="00000000">
              <w:rPr>
                <w:rFonts w:ascii="Gungsuh" w:cs="Gungsuh" w:eastAsia="Gungsuh" w:hAnsi="Gungsuh"/>
                <w:rtl w:val="0"/>
              </w:rPr>
              <w:t xml:space="preserve">+ 1 (100.0%)</w:t>
              <w:br w:type="textWrapping"/>
              <w:t xml:space="preserve"> − 0 (0.0%)</w:t>
            </w:r>
          </w:p>
        </w:tc>
        <w:tc>
          <w:tcPr>
            <w:shd w:fill="ffffff" w:val="clear"/>
            <w:tcMar>
              <w:top w:w="0.0" w:type="dxa"/>
              <w:left w:w="0.0" w:type="dxa"/>
              <w:bottom w:w="0.0" w:type="dxa"/>
              <w:right w:w="0.0" w:type="dxa"/>
            </w:tcMar>
            <w:vAlign w:val="top"/>
          </w:tcPr>
          <w:p w:rsidR="00000000" w:rsidDel="00000000" w:rsidP="00000000" w:rsidRDefault="00000000" w:rsidRPr="00000000" w14:paraId="0000016E">
            <w:pPr>
              <w:spacing w:after="140" w:before="140" w:lineRule="auto"/>
              <w:ind w:left="140" w:right="140" w:firstLine="0"/>
              <w:jc w:val="center"/>
              <w:rPr/>
            </w:pPr>
            <w:r w:rsidDel="00000000" w:rsidR="00000000" w:rsidRPr="00000000">
              <w:rPr>
                <w:rFonts w:ascii="Gungsuh" w:cs="Gungsuh" w:eastAsia="Gungsuh" w:hAnsi="Gungsuh"/>
                <w:rtl w:val="0"/>
              </w:rPr>
              <w:t xml:space="preserve">+ 45 (100.0%)</w:t>
              <w:br w:type="textWrapping"/>
              <w:t xml:space="preserve"> − 0 (0.0%)</w:t>
            </w:r>
          </w:p>
        </w:tc>
      </w:tr>
      <w:tr>
        <w:trPr>
          <w:cantSplit w:val="0"/>
          <w:trHeight w:val="885" w:hRule="atLeast"/>
          <w:tblHeader w:val="0"/>
        </w:trPr>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6F">
            <w:pPr>
              <w:spacing w:after="140" w:before="140" w:lineRule="auto"/>
              <w:ind w:left="140" w:right="140" w:firstLine="0"/>
              <w:jc w:val="center"/>
              <w:rPr/>
            </w:pPr>
            <w:r w:rsidDel="00000000" w:rsidR="00000000" w:rsidRPr="00000000">
              <w:rPr>
                <w:rtl w:val="0"/>
              </w:rPr>
              <w:t xml:space="preserve">Acuerdos y moderación</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70">
            <w:pPr>
              <w:spacing w:after="140" w:before="140" w:lineRule="auto"/>
              <w:ind w:left="140" w:right="140" w:firstLine="0"/>
              <w:jc w:val="center"/>
              <w:rPr/>
            </w:pPr>
            <w:r w:rsidDel="00000000" w:rsidR="00000000" w:rsidRPr="00000000">
              <w:rPr>
                <w:rtl w:val="0"/>
              </w:rPr>
              <w:t xml:space="preserve">+ 26 (96.3%)</w:t>
            </w:r>
            <w:r w:rsidDel="00000000" w:rsidR="00000000" w:rsidRPr="00000000">
              <w:rPr>
                <w:b w:val="1"/>
                <w:bCs w:val="1"/>
                <w:rtl w:val="0"/>
              </w:rPr>
              <w:br w:type="textWrapping"/>
            </w:r>
            <w:r w:rsidDel="00000000" w:rsidR="00000000" w:rsidRPr="00000000">
              <w:rPr>
                <w:rFonts w:ascii="Gungsuh" w:cs="Gungsuh" w:eastAsia="Gungsuh" w:hAnsi="Gungsuh"/>
                <w:rtl w:val="0"/>
              </w:rPr>
              <w:t xml:space="preserve"> − 1 (3.7%)</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71">
            <w:pPr>
              <w:spacing w:after="140" w:before="140" w:lineRule="auto"/>
              <w:ind w:left="140" w:right="140" w:firstLine="0"/>
              <w:jc w:val="center"/>
              <w:rPr/>
            </w:pPr>
            <w:r w:rsidDel="00000000" w:rsidR="00000000" w:rsidRPr="00000000">
              <w:rPr>
                <w:rFonts w:ascii="Gungsuh" w:cs="Gungsuh" w:eastAsia="Gungsuh" w:hAnsi="Gungsuh"/>
                <w:rtl w:val="0"/>
              </w:rPr>
              <w:t xml:space="preserve">+ 6 (100.0%)</w:t>
              <w:br w:type="textWrapping"/>
              <w:t xml:space="preserve"> − 0 (0.0%)</w:t>
            </w:r>
          </w:p>
        </w:tc>
        <w:tc>
          <w:tcPr>
            <w:tcBorders>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72">
            <w:pPr>
              <w:spacing w:after="140" w:before="140" w:lineRule="auto"/>
              <w:ind w:left="140" w:right="140" w:firstLine="0"/>
              <w:jc w:val="center"/>
              <w:rPr/>
            </w:pPr>
            <w:r w:rsidDel="00000000" w:rsidR="00000000" w:rsidRPr="00000000">
              <w:rPr>
                <w:rtl w:val="0"/>
              </w:rPr>
              <w:t xml:space="preserve">+ 103 (88.8%)</w:t>
            </w:r>
            <w:r w:rsidDel="00000000" w:rsidR="00000000" w:rsidRPr="00000000">
              <w:rPr>
                <w:b w:val="1"/>
                <w:bCs w:val="1"/>
                <w:rtl w:val="0"/>
              </w:rPr>
              <w:br w:type="textWrapping"/>
            </w:r>
            <w:r w:rsidDel="00000000" w:rsidR="00000000" w:rsidRPr="00000000">
              <w:rPr>
                <w:rFonts w:ascii="Gungsuh" w:cs="Gungsuh" w:eastAsia="Gungsuh" w:hAnsi="Gungsuh"/>
                <w:rtl w:val="0"/>
              </w:rPr>
              <w:t xml:space="preserve"> − 13 (11.2%)</w:t>
            </w:r>
          </w:p>
        </w:tc>
      </w:tr>
      <w:tr>
        <w:trPr>
          <w:cantSplit w:val="0"/>
          <w:trHeight w:val="915" w:hRule="atLeast"/>
          <w:tblHeader w:val="0"/>
        </w:trPr>
        <w:tc>
          <w:tcPr>
            <w:gridSpan w:val="4"/>
            <w:tcBorders>
              <w:top w:color="000000" w:space="0" w:sz="16" w:val="single"/>
              <w:bottom w:color="000000" w:space="0" w:sz="16" w:val="single"/>
            </w:tcBorders>
            <w:shd w:fill="ffffff" w:val="clear"/>
            <w:tcMar>
              <w:top w:w="0.0" w:type="dxa"/>
              <w:left w:w="0.0" w:type="dxa"/>
              <w:bottom w:w="0.0" w:type="dxa"/>
              <w:right w:w="0.0" w:type="dxa"/>
            </w:tcMar>
            <w:vAlign w:val="top"/>
          </w:tcPr>
          <w:p w:rsidR="00000000" w:rsidDel="00000000" w:rsidP="00000000" w:rsidRDefault="00000000" w:rsidRPr="00000000" w14:paraId="00000173">
            <w:pPr>
              <w:spacing w:after="140" w:before="140" w:lineRule="auto"/>
              <w:ind w:left="140" w:right="140" w:firstLine="0"/>
              <w:jc w:val="center"/>
              <w:rPr>
                <w:i w:val="1"/>
                <w:iCs w:val="1"/>
              </w:rPr>
            </w:pPr>
            <w:r w:rsidDel="00000000" w:rsidR="00000000" w:rsidRPr="00000000">
              <w:rPr>
                <w:rFonts w:ascii="Gungsuh" w:cs="Gungsuh" w:eastAsia="Gungsuh" w:hAnsi="Gungsuh"/>
                <w:i w:val="1"/>
                <w:iCs w:val="1"/>
                <w:rtl w:val="0"/>
              </w:rPr>
              <w:t xml:space="preserve">Nota. + = apoyo; − = oposición; % = N/(N+ + N−). Negrita = tres N mayores por postura y ley, con empates.</w:t>
            </w:r>
          </w:p>
        </w:tc>
      </w:tr>
    </w:tbl>
    <w:p w:rsidR="00000000" w:rsidDel="00000000" w:rsidP="00000000" w:rsidRDefault="00000000" w:rsidRPr="00000000" w14:paraId="00000177">
      <w:pPr>
        <w:rPr/>
      </w:pPr>
      <w:r w:rsidDel="00000000" w:rsidR="00000000" w:rsidRPr="00000000">
        <w:rPr>
          <w:rtl w:val="0"/>
        </w:rPr>
        <w:t xml:space="preserve">La Tabla 4 separa el apoyo y la oposición al sentido de cada concepto. Cada combinación intervención, concepto y postura se cuenta una vez. Los porcentajes dentro de una celda utilizan como denominador la suma de sus menciones positivas y negativas. Por ese motivo, no deben confundirse con las proporciones de intervenciones de la Figura 2.</w:t>
      </w:r>
    </w:p>
    <w:p w:rsidR="00000000" w:rsidDel="00000000" w:rsidP="00000000" w:rsidRDefault="00000000" w:rsidRPr="00000000" w14:paraId="00000178">
      <w:pPr>
        <w:rPr/>
      </w:pPr>
      <w:r w:rsidDel="00000000" w:rsidR="00000000" w:rsidRPr="00000000">
        <w:rPr>
          <w:rtl w:val="0"/>
        </w:rPr>
        <w:t xml:space="preserve">La distinción modifica la lectura de la presencia de los conceptos. En la Ley 21.735, previsión como mercado acumula 82 registros de apoyo y 87 de oposición, mientras que la capitalización individual reúne 41 y 39, respectivamente. Ambos conceptos son objetos de controversia; su frecuencia, por sí sola, no demuestra aceptación. En cambio, la propiedad individual de los fondos registra 78 apoyos y 8 oposiciones en esa ley. Dos citas pueden orientar esta disputa, la primera, de Alejandro Guiller (independiente) plantea que “Hay una dinámica positiva cuando el ahorro de los chilenos se invierte con un sentido de rentabilidad que aumenta el potencial económico del país”, mientras que Gael Yeomans (Convergencia Social) sostiene que el sistema “no garantiza pensiones, sino más bien un negocio que ha sido lucrativo con los fondos previsionales provenientes del trabajo de las mayorías del país”.</w:t>
      </w:r>
    </w:p>
    <w:p w:rsidR="00000000" w:rsidDel="00000000" w:rsidP="00000000" w:rsidRDefault="00000000" w:rsidRPr="00000000" w14:paraId="00000179">
      <w:pPr>
        <w:rPr/>
      </w:pPr>
      <w:r w:rsidDel="00000000" w:rsidR="00000000" w:rsidRPr="00000000">
        <w:rPr>
          <w:rtl w:val="0"/>
        </w:rPr>
        <w:t xml:space="preserve">La codificación registra apoyo a necesidad material y reciprocidad contributiva en todas las intervenciones donde aparecen estos conceptos en las tres leyes, sin casos negativos en esta ronda. Ello no equivale a un acuerdo sobre la política que debería derivarse de cada principio. En la Ley 21.735, los acuerdos y la moderación reciben 103 apoyos y 13 cuestionamientos. La pregunta de Sofía Cid, “¿Hasta cuándo seguiremos santificando los acuerdos, como si fueran buenos por el solo hecho de adoptarse entre visiones diversas?”, muestra el límite de leer el acuerdo como un valor compartido sin reservas.</w:t>
      </w:r>
    </w:p>
    <w:p w:rsidR="00000000" w:rsidDel="00000000" w:rsidP="00000000" w:rsidRDefault="00000000" w:rsidRPr="00000000" w14:paraId="0000017A">
      <w:pPr>
        <w:spacing w:before="0" w:lineRule="auto"/>
        <w:rPr>
          <w:b w:val="1"/>
          <w:bCs w:val="1"/>
        </w:rPr>
      </w:pPr>
      <w:r w:rsidDel="00000000" w:rsidR="00000000" w:rsidRPr="00000000">
        <w:rPr>
          <w:b w:val="1"/>
          <w:bCs w:val="1"/>
          <w:rtl w:val="0"/>
        </w:rPr>
        <w:t xml:space="preserve">Figura 3</w:t>
      </w:r>
    </w:p>
    <w:p w:rsidR="00000000" w:rsidDel="00000000" w:rsidP="00000000" w:rsidRDefault="00000000" w:rsidRPr="00000000" w14:paraId="0000017B">
      <w:pPr>
        <w:rPr>
          <w:i w:val="1"/>
          <w:iCs w:val="1"/>
        </w:rPr>
      </w:pPr>
      <w:r w:rsidDel="00000000" w:rsidR="00000000" w:rsidRPr="00000000">
        <w:rPr>
          <w:rtl w:val="0"/>
        </w:rPr>
        <w:t xml:space="preserve">Red exploratoria de congruencia entre conceptos en la Ley 21.735.</w:t>
      </w: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731200" cy="44831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La Figura 3 proyecta sobre los 16 conceptos las posturas registradas para los actores de la Ley 21.735. Dos conceptos se conectan cuando al menos un mismo actor apoyó ambos o cuestionó ambos en alguna de sus intervenciones. El tamaño de cada nodo indica su presencia entre las intervenciones sustantivas de la ley; el grosor de la arista representa el solapamiento normalizado mediante la fórmula de coseno implementada en DNA (Leifeld, 2017).</w:t>
      </w:r>
    </w:p>
    <w:p w:rsidR="00000000" w:rsidDel="00000000" w:rsidP="00000000" w:rsidRDefault="00000000" w:rsidRPr="00000000" w14:paraId="0000017E">
      <w:pPr>
        <w:rPr/>
      </w:pPr>
      <w:r w:rsidDel="00000000" w:rsidR="00000000" w:rsidRPr="00000000">
        <w:rPr>
          <w:rtl w:val="0"/>
        </w:rPr>
        <w:t xml:space="preserve">Los vínculos más compartidos por actores unen reciprocidad contributiva con necesidad material (55 actores), necesidad material con acuerdos y moderación (53), y previsión como mercado con acuerdos y moderación (46). También destacan capitalización individual con previsión como mercado (45) y necesidad material con igualdad y universalismo (44). Estos pares permiten examinar cómo conviven argumentos asociados a la protección de necesidades y al ahorro individual dentro del repertorio de los participantes. Dos declaraciones de la Ley 21.735 ilustran criterios normativos que entran en esta comparación: Harry Jurgensen afirmó que “Los ahorros son de los trabajadores, no del Estado”, mientras Paulina Vodanovic sostuvo que “el esfuerzo colectivo es la base de una convivencia democrática”.</w:t>
      </w:r>
    </w:p>
    <w:p w:rsidR="00000000" w:rsidDel="00000000" w:rsidP="00000000" w:rsidRDefault="00000000" w:rsidRPr="00000000" w14:paraId="0000017F">
      <w:pPr>
        <w:rPr/>
      </w:pPr>
      <w:r w:rsidDel="00000000" w:rsidR="00000000" w:rsidRPr="00000000">
        <w:rPr>
          <w:rtl w:val="0"/>
        </w:rPr>
        <w:t xml:space="preserve">La red ofrece una primera pista para estudiar las dos economías morales planteadas en la tesis, pero aún no identifica coaliciones discursivas ni demuestra que un grupo político haya adoptado las premisas de otro. Un vínculo puede reunir declaraciones de distintos trámites de un mismo actor, incluso si su postura cambió entre ellos. Para evaluar la estructuración discursiva será necesario revisar esas trayectorias, comparar fases y grupos políticos, y contrastar las citas con las actas parlamentarias.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amqoom88kc3" w:id="18"/>
      <w:bookmarkEnd w:id="18"/>
      <w:r w:rsidDel="00000000" w:rsidR="00000000" w:rsidRPr="00000000">
        <w:rPr>
          <w:rtl w:val="0"/>
        </w:rPr>
        <w:t xml:space="preserve">Referencias</w:t>
      </w:r>
    </w:p>
    <w:p w:rsidR="00000000" w:rsidDel="00000000" w:rsidP="00000000" w:rsidRDefault="00000000" w:rsidRPr="00000000" w14:paraId="00000188">
      <w:pPr>
        <w:spacing w:after="0" w:before="200" w:line="480" w:lineRule="auto"/>
        <w:ind w:left="720"/>
        <w:rPr/>
      </w:pPr>
      <w:r w:rsidDel="00000000" w:rsidR="00000000" w:rsidRPr="00000000">
        <w:rPr>
          <w:rtl w:val="0"/>
        </w:rPr>
        <w:t xml:space="preserve">Alemparte, B. (2025). Privatizing Social Rights: The Law and Political Economy of Chile’s Pension Transformation. </w:t>
      </w:r>
      <w:r w:rsidDel="00000000" w:rsidR="00000000" w:rsidRPr="00000000">
        <w:rPr>
          <w:i w:val="1"/>
          <w:iCs w:val="1"/>
          <w:rtl w:val="0"/>
        </w:rPr>
        <w:t xml:space="preserve">German Law Journal</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(8), 1468–1496. https://doi.org/10.1017/glj.2026.10178 </w:t>
      </w:r>
    </w:p>
    <w:p w:rsidR="00000000" w:rsidDel="00000000" w:rsidP="00000000" w:rsidRDefault="00000000" w:rsidRPr="00000000" w14:paraId="00000189">
      <w:pPr>
        <w:spacing w:after="0" w:before="200" w:line="480" w:lineRule="auto"/>
        <w:ind w:left="720"/>
        <w:rPr/>
      </w:pPr>
      <w:r w:rsidDel="00000000" w:rsidR="00000000" w:rsidRPr="00000000">
        <w:rPr>
          <w:rtl w:val="0"/>
        </w:rPr>
        <w:t xml:space="preserve">Anderson, K. (2018). How Have Narratives, Beliefs and Practices Shaped Pension Reform in Sweden? En R. A. W. Rhodes (Ed.), </w:t>
      </w:r>
      <w:r w:rsidDel="00000000" w:rsidR="00000000" w:rsidRPr="00000000">
        <w:rPr>
          <w:i w:val="1"/>
          <w:iCs w:val="1"/>
          <w:rtl w:val="0"/>
        </w:rPr>
        <w:t xml:space="preserve">Narrative Policy Analysis: Cases in Decentred Policy</w:t>
      </w:r>
      <w:r w:rsidDel="00000000" w:rsidR="00000000" w:rsidRPr="00000000">
        <w:rPr>
          <w:rtl w:val="0"/>
        </w:rPr>
        <w:t xml:space="preserve"> (pp. 141–163). Springer International Publishing. https://doi.org/10.1007/978-3-319-76635-5_7 </w:t>
      </w:r>
    </w:p>
    <w:p w:rsidR="00000000" w:rsidDel="00000000" w:rsidP="00000000" w:rsidRDefault="00000000" w:rsidRPr="00000000" w14:paraId="0000018A">
      <w:pPr>
        <w:spacing w:after="0" w:before="200" w:line="480" w:lineRule="auto"/>
        <w:ind w:left="720"/>
        <w:rPr/>
      </w:pPr>
      <w:r w:rsidDel="00000000" w:rsidR="00000000" w:rsidRPr="00000000">
        <w:rPr>
          <w:rtl w:val="0"/>
        </w:rPr>
        <w:t xml:space="preserve">Angst, M., Müller, N. N., &amp; Walker, V. (2025). Automated extraction of discourse networks from large volumes of media data. </w:t>
      </w:r>
      <w:r w:rsidDel="00000000" w:rsidR="00000000" w:rsidRPr="00000000">
        <w:rPr>
          <w:i w:val="1"/>
          <w:iCs w:val="1"/>
          <w:rtl w:val="0"/>
        </w:rPr>
        <w:t xml:space="preserve">Network 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e4. https://doi.org/10.1017/nws.2025.4 </w:t>
      </w:r>
    </w:p>
    <w:p w:rsidR="00000000" w:rsidDel="00000000" w:rsidP="00000000" w:rsidRDefault="00000000" w:rsidRPr="00000000" w14:paraId="0000018B">
      <w:pPr>
        <w:spacing w:after="0" w:before="200" w:line="480" w:lineRule="auto"/>
        <w:ind w:left="720"/>
        <w:rPr/>
      </w:pPr>
      <w:r w:rsidDel="00000000" w:rsidR="00000000" w:rsidRPr="00000000">
        <w:rPr>
          <w:rtl w:val="0"/>
        </w:rPr>
        <w:t xml:space="preserve">Ashwin, J., Chhabra, A., &amp; Rao, V. (2025). Using Large Language Models for Qualitative Analysis can Introduce Serious Bias. </w:t>
      </w:r>
      <w:r w:rsidDel="00000000" w:rsidR="00000000" w:rsidRPr="00000000">
        <w:rPr>
          <w:i w:val="1"/>
          <w:iCs w:val="1"/>
          <w:rtl w:val="0"/>
        </w:rPr>
        <w:t xml:space="preserve">Sociological Methods &amp; Research</w:t>
      </w:r>
      <w:r w:rsidDel="00000000" w:rsidR="00000000" w:rsidRPr="00000000">
        <w:rPr>
          <w:rtl w:val="0"/>
        </w:rPr>
        <w:t xml:space="preserve">, 00491241251338246. https://doi.org/10.1177/00491241251338246 </w:t>
      </w:r>
    </w:p>
    <w:p w:rsidR="00000000" w:rsidDel="00000000" w:rsidP="00000000" w:rsidRDefault="00000000" w:rsidRPr="00000000" w14:paraId="0000018C">
      <w:pPr>
        <w:spacing w:after="0" w:before="200" w:line="480" w:lineRule="auto"/>
        <w:ind w:left="720"/>
        <w:rPr/>
      </w:pPr>
      <w:r w:rsidDel="00000000" w:rsidR="00000000" w:rsidRPr="00000000">
        <w:rPr>
          <w:rtl w:val="0"/>
        </w:rPr>
        <w:t xml:space="preserve">Barozet, E. (2025). Las fluctuaciones de los modelos de justicia social de la izquierda chilena, entre las demandas de garantía de derechos y el ejercicio del poder (1990-2025). </w:t>
      </w:r>
      <w:r w:rsidDel="00000000" w:rsidR="00000000" w:rsidRPr="00000000">
        <w:rPr>
          <w:i w:val="1"/>
          <w:iCs w:val="1"/>
          <w:rtl w:val="0"/>
        </w:rPr>
        <w:t xml:space="preserve">Cahiers des Amériques latines</w:t>
      </w:r>
      <w:r w:rsidDel="00000000" w:rsidR="00000000" w:rsidRPr="00000000">
        <w:rPr>
          <w:rtl w:val="0"/>
        </w:rPr>
        <w:t xml:space="preserve">, (107). https://doi.org/10.4000/15qy7 </w:t>
      </w:r>
    </w:p>
    <w:p w:rsidR="00000000" w:rsidDel="00000000" w:rsidP="00000000" w:rsidRDefault="00000000" w:rsidRPr="00000000" w14:paraId="0000018D">
      <w:pPr>
        <w:spacing w:after="0" w:before="200" w:line="480" w:lineRule="auto"/>
        <w:ind w:left="720"/>
        <w:rPr/>
      </w:pPr>
      <w:r w:rsidDel="00000000" w:rsidR="00000000" w:rsidRPr="00000000">
        <w:rPr>
          <w:rtl w:val="0"/>
        </w:rPr>
        <w:t xml:space="preserve">Béland, D. (2005). Ideas and Social Policy: An Institutionalist Perspective.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(1), 1–18. https://doi.org/10.1111/j.1467-9515.2005.00421.x </w:t>
      </w:r>
    </w:p>
    <w:p w:rsidR="00000000" w:rsidDel="00000000" w:rsidP="00000000" w:rsidRDefault="00000000" w:rsidRPr="00000000" w14:paraId="0000018E">
      <w:pPr>
        <w:spacing w:after="0" w:before="200" w:line="480" w:lineRule="auto"/>
        <w:ind w:left="720"/>
        <w:rPr/>
      </w:pPr>
      <w:r w:rsidDel="00000000" w:rsidR="00000000" w:rsidRPr="00000000">
        <w:rPr>
          <w:rtl w:val="0"/>
        </w:rPr>
        <w:t xml:space="preserve">Béland, D., &amp; Cox, R. H. (2016). Ideas as coalition magnets: Coalition building, policy entrepreneurs, and power relations.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428–445. https://doi.org/10.1080/13501763.2015.1115533 </w:t>
      </w:r>
    </w:p>
    <w:p w:rsidR="00000000" w:rsidDel="00000000" w:rsidP="00000000" w:rsidRDefault="00000000" w:rsidRPr="00000000" w14:paraId="0000018F">
      <w:pPr>
        <w:spacing w:after="0" w:before="200" w:line="480" w:lineRule="auto"/>
        <w:ind w:left="720"/>
        <w:rPr/>
      </w:pPr>
      <w:r w:rsidDel="00000000" w:rsidR="00000000" w:rsidRPr="00000000">
        <w:rPr>
          <w:rtl w:val="0"/>
        </w:rPr>
        <w:t xml:space="preserve">Béland, D., &amp; Mandelkern, R. (2024). Ideas as explanations in social policy analysis. En </w:t>
      </w:r>
      <w:r w:rsidDel="00000000" w:rsidR="00000000" w:rsidRPr="00000000">
        <w:rPr>
          <w:i w:val="1"/>
          <w:iCs w:val="1"/>
          <w:rtl w:val="0"/>
        </w:rPr>
        <w:t xml:space="preserve">Handbook on the Political Economy of Social Policy</w:t>
      </w:r>
      <w:r w:rsidDel="00000000" w:rsidR="00000000" w:rsidRPr="00000000">
        <w:rPr>
          <w:rtl w:val="0"/>
        </w:rPr>
        <w:t xml:space="preserve"> (pp. 39–50). Edward Elgar Publishing. https://www.elgaronline.com/edcollchap/book/9781035306497/book-part-9781035306497-9.xml </w:t>
      </w:r>
    </w:p>
    <w:p w:rsidR="00000000" w:rsidDel="00000000" w:rsidP="00000000" w:rsidRDefault="00000000" w:rsidRPr="00000000" w14:paraId="00000190">
      <w:pPr>
        <w:spacing w:after="0" w:before="200" w:line="480" w:lineRule="auto"/>
        <w:ind w:left="720"/>
        <w:rPr/>
      </w:pPr>
      <w:r w:rsidDel="00000000" w:rsidR="00000000" w:rsidRPr="00000000">
        <w:rPr>
          <w:rtl w:val="0"/>
        </w:rPr>
        <w:t xml:space="preserve">Benavides, P., &amp; Valdés, R. (2018). Pensiones en Chile: Antecedentes y contornos para una reforma urgente. </w:t>
      </w:r>
      <w:r w:rsidDel="00000000" w:rsidR="00000000" w:rsidRPr="00000000">
        <w:rPr>
          <w:i w:val="1"/>
          <w:iCs w:val="1"/>
          <w:rtl w:val="0"/>
        </w:rPr>
        <w:t xml:space="preserve">Centro de Políticas Públicas UC</w:t>
      </w:r>
      <w:r w:rsidDel="00000000" w:rsidR="00000000" w:rsidRPr="00000000">
        <w:rPr>
          <w:rtl w:val="0"/>
        </w:rPr>
        <w:t xml:space="preserve">, (N° 107). </w:t>
      </w:r>
    </w:p>
    <w:p w:rsidR="00000000" w:rsidDel="00000000" w:rsidP="00000000" w:rsidRDefault="00000000" w:rsidRPr="00000000" w14:paraId="00000191">
      <w:pPr>
        <w:spacing w:after="0" w:before="200" w:line="480" w:lineRule="auto"/>
        <w:ind w:left="720"/>
        <w:rPr/>
      </w:pPr>
      <w:r w:rsidDel="00000000" w:rsidR="00000000" w:rsidRPr="00000000">
        <w:rPr>
          <w:rtl w:val="0"/>
        </w:rPr>
        <w:t xml:space="preserve">Blum, S. (2019). Reform narratives and argumentative coupling in German pension policy: Constructing the ‘deserving retiree’.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389–407. https://doi.org/10.1080/14494035.2019.1655130 </w:t>
      </w:r>
    </w:p>
    <w:p w:rsidR="00000000" w:rsidDel="00000000" w:rsidP="00000000" w:rsidRDefault="00000000" w:rsidRPr="00000000" w14:paraId="00000192">
      <w:pPr>
        <w:spacing w:after="0" w:before="200" w:line="480" w:lineRule="auto"/>
        <w:ind w:left="720"/>
        <w:rPr/>
      </w:pPr>
      <w:r w:rsidDel="00000000" w:rsidR="00000000" w:rsidRPr="00000000">
        <w:rPr>
          <w:rtl w:val="0"/>
        </w:rPr>
        <w:t xml:space="preserve">Borzutzky, S. (2005). From Chicago to Santiago: Neoliberalism and Social Security Privatization in Chile. </w:t>
      </w:r>
      <w:r w:rsidDel="00000000" w:rsidR="00000000" w:rsidRPr="00000000">
        <w:rPr>
          <w:i w:val="1"/>
          <w:iCs w:val="1"/>
          <w:rtl w:val="0"/>
        </w:rPr>
        <w:t xml:space="preserve">Governance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655–674. https://doi.org/10.1111/j.1468-0491.2005.00296.x </w:t>
      </w:r>
    </w:p>
    <w:p w:rsidR="00000000" w:rsidDel="00000000" w:rsidP="00000000" w:rsidRDefault="00000000" w:rsidRPr="00000000" w14:paraId="00000193">
      <w:pPr>
        <w:spacing w:after="0" w:before="200" w:line="480" w:lineRule="auto"/>
        <w:ind w:left="720"/>
        <w:rPr/>
      </w:pPr>
      <w:r w:rsidDel="00000000" w:rsidR="00000000" w:rsidRPr="00000000">
        <w:rPr>
          <w:rtl w:val="0"/>
        </w:rPr>
        <w:t xml:space="preserve">Borzutzky, S. (2019). You Win Some, You Lose Some: Pension Reform in Bachelet’s First and Second Administrations. </w:t>
      </w:r>
      <w:r w:rsidDel="00000000" w:rsidR="00000000" w:rsidRPr="00000000">
        <w:rPr>
          <w:i w:val="1"/>
          <w:iCs w:val="1"/>
          <w:rtl w:val="0"/>
        </w:rPr>
        <w:t xml:space="preserve">Journal of Politics in Latin America</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204–230. https://doi.org/10.1177/1866802X19861491 </w:t>
      </w:r>
    </w:p>
    <w:p w:rsidR="00000000" w:rsidDel="00000000" w:rsidP="00000000" w:rsidRDefault="00000000" w:rsidRPr="00000000" w14:paraId="00000194">
      <w:pPr>
        <w:spacing w:after="0" w:before="200" w:line="480" w:lineRule="auto"/>
        <w:ind w:left="720"/>
        <w:rPr/>
      </w:pPr>
      <w:r w:rsidDel="00000000" w:rsidR="00000000" w:rsidRPr="00000000">
        <w:rPr>
          <w:rtl w:val="0"/>
        </w:rPr>
        <w:t xml:space="preserve">Bosley, M. (2025). Towards Qualitative Measurement at Scale: A Prompt-Engineering Framework for Large-Scale Analysis of Deliberative Quality in Parliamentary Debates. </w:t>
      </w:r>
      <w:r w:rsidDel="00000000" w:rsidR="00000000" w:rsidRPr="00000000">
        <w:rPr>
          <w:i w:val="1"/>
          <w:iCs w:val="1"/>
          <w:rtl w:val="0"/>
        </w:rPr>
        <w:t xml:space="preserve">Journal of Political Institutions and Political Economy</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(3–4), 355–383. https://doi.org/10.1561/113.00000128 </w:t>
      </w:r>
    </w:p>
    <w:p w:rsidR="00000000" w:rsidDel="00000000" w:rsidP="00000000" w:rsidRDefault="00000000" w:rsidRPr="00000000" w14:paraId="00000195">
      <w:pPr>
        <w:spacing w:after="0" w:before="200" w:line="480" w:lineRule="auto"/>
        <w:ind w:left="720"/>
        <w:rPr/>
      </w:pPr>
      <w:r w:rsidDel="00000000" w:rsidR="00000000" w:rsidRPr="00000000">
        <w:rPr>
          <w:rtl w:val="0"/>
        </w:rPr>
        <w:t xml:space="preserve">Campos-Rojas, C., &amp; González-Arias, C. (2022). Apelando a la emoción: El sistema de pensiones en el discurso de expertos económicos en la prensa chilena. </w:t>
      </w:r>
      <w:r w:rsidDel="00000000" w:rsidR="00000000" w:rsidRPr="00000000">
        <w:rPr>
          <w:i w:val="1"/>
          <w:iCs w:val="1"/>
          <w:rtl w:val="0"/>
        </w:rPr>
        <w:t xml:space="preserve">Íkala, Revista de Lenguaje y Cultura</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(2), 357–374. https://doi.org/10.17533/udea.ikala.v27n2a04 </w:t>
      </w:r>
    </w:p>
    <w:p w:rsidR="00000000" w:rsidDel="00000000" w:rsidP="00000000" w:rsidRDefault="00000000" w:rsidRPr="00000000" w14:paraId="00000196">
      <w:pPr>
        <w:spacing w:after="0" w:before="200" w:line="480" w:lineRule="auto"/>
        <w:ind w:left="720"/>
        <w:rPr/>
      </w:pPr>
      <w:r w:rsidDel="00000000" w:rsidR="00000000" w:rsidRPr="00000000">
        <w:rPr>
          <w:rtl w:val="0"/>
        </w:rPr>
        <w:t xml:space="preserve">Castiglioni, R. (2018). Determinants of Policy Change in Latin America: A Comparison of Social Security Reform in Chile and Uruguay (1973–2000). </w:t>
      </w:r>
      <w:r w:rsidDel="00000000" w:rsidR="00000000" w:rsidRPr="00000000">
        <w:rPr>
          <w:i w:val="1"/>
          <w:iCs w:val="1"/>
          <w:rtl w:val="0"/>
        </w:rPr>
        <w:t xml:space="preserve">Journal of Comparative Policy Analysis: Research and Practice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(2), 176–192. https://doi.org/10.1080/13876988.2016.1227526 </w:t>
      </w:r>
    </w:p>
    <w:p w:rsidR="00000000" w:rsidDel="00000000" w:rsidP="00000000" w:rsidRDefault="00000000" w:rsidRPr="00000000" w14:paraId="00000197">
      <w:pPr>
        <w:spacing w:after="0" w:before="200" w:line="480" w:lineRule="auto"/>
        <w:ind w:left="720"/>
        <w:rPr/>
      </w:pPr>
      <w:r w:rsidDel="00000000" w:rsidR="00000000" w:rsidRPr="00000000">
        <w:rPr>
          <w:rtl w:val="0"/>
        </w:rPr>
        <w:t xml:space="preserve">Castillo, J. C., Canales-Sellés, R., Laffert, A., &amp; Urzúa, T. (2026). Justification trajectories for pension inequality in Chile (2016–2023): The role of social class and beliefs in meritocracy.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https://doi.org/10.3389/fsoc.2026.1771856 </w:t>
      </w:r>
    </w:p>
    <w:p w:rsidR="00000000" w:rsidDel="00000000" w:rsidP="00000000" w:rsidRDefault="00000000" w:rsidRPr="00000000" w14:paraId="00000198">
      <w:pPr>
        <w:spacing w:after="0" w:before="200" w:line="480" w:lineRule="auto"/>
        <w:ind w:left="720"/>
        <w:rPr/>
      </w:pPr>
      <w:r w:rsidDel="00000000" w:rsidR="00000000" w:rsidRPr="00000000">
        <w:rPr>
          <w:rtl w:val="0"/>
        </w:rPr>
        <w:t xml:space="preserve">Castillo, J. C., Laffert, A., Carrasco, K., &amp; Iturra-Sanhueza, J. (2025). Perceptions of inequality and meritocracy: Their interplay in shaping preferences for market justice in Chile (2016–2023).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https://doi.org/10.3389/fsoc.2025.1634219 </w:t>
      </w:r>
    </w:p>
    <w:p w:rsidR="00000000" w:rsidDel="00000000" w:rsidP="00000000" w:rsidRDefault="00000000" w:rsidRPr="00000000" w14:paraId="00000199">
      <w:pPr>
        <w:spacing w:after="0" w:before="200" w:line="480" w:lineRule="auto"/>
        <w:ind w:left="720"/>
        <w:rPr/>
      </w:pPr>
      <w:r w:rsidDel="00000000" w:rsidR="00000000" w:rsidRPr="00000000">
        <w:rPr>
          <w:rtl w:val="0"/>
        </w:rPr>
        <w:t xml:space="preserve">Castillo, J. C., Olivos, F., &amp; Azar, A. (2019). Deserving a Just Pension: A Factorial Survey Approach. </w:t>
      </w:r>
      <w:r w:rsidDel="00000000" w:rsidR="00000000" w:rsidRPr="00000000">
        <w:rPr>
          <w:i w:val="1"/>
          <w:iCs w:val="1"/>
          <w:rtl w:val="0"/>
        </w:rPr>
        <w:t xml:space="preserve">Social Science Quarterly</w:t>
      </w:r>
      <w:r w:rsidDel="00000000" w:rsidR="00000000" w:rsidRPr="00000000">
        <w:rPr>
          <w:rtl w:val="0"/>
        </w:rPr>
        <w:t xml:space="preserve">, </w:t>
      </w:r>
      <w:r w:rsidDel="00000000" w:rsidR="00000000" w:rsidRPr="00000000">
        <w:rPr>
          <w:i w:val="1"/>
          <w:iCs w:val="1"/>
          <w:rtl w:val="0"/>
        </w:rPr>
        <w:t xml:space="preserve">100</w:t>
      </w:r>
      <w:r w:rsidDel="00000000" w:rsidR="00000000" w:rsidRPr="00000000">
        <w:rPr>
          <w:rtl w:val="0"/>
        </w:rPr>
        <w:t xml:space="preserve">(1), 359–378. https://doi.org/10.1111/ssqu.12539 </w:t>
      </w:r>
    </w:p>
    <w:p w:rsidR="00000000" w:rsidDel="00000000" w:rsidP="00000000" w:rsidRDefault="00000000" w:rsidRPr="00000000" w14:paraId="0000019A">
      <w:pPr>
        <w:spacing w:after="0" w:before="200" w:line="480" w:lineRule="auto"/>
        <w:ind w:left="720"/>
        <w:rPr/>
      </w:pPr>
      <w:r w:rsidDel="00000000" w:rsidR="00000000" w:rsidRPr="00000000">
        <w:rPr>
          <w:rtl w:val="0"/>
        </w:rPr>
        <w:t xml:space="preserve">Costa, T., &amp; Wiggan, J. (2024). The Bolsonaro Government’s 2019 pension reform in Brazil: A policy discourse analysis.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620–638. https://doi.org/10.1080/19460171.2023.2289065 </w:t>
      </w:r>
    </w:p>
    <w:p w:rsidR="00000000" w:rsidDel="00000000" w:rsidP="00000000" w:rsidRDefault="00000000" w:rsidRPr="00000000" w14:paraId="0000019B">
      <w:pPr>
        <w:spacing w:after="0" w:before="200" w:line="480" w:lineRule="auto"/>
        <w:ind w:left="720"/>
        <w:rPr/>
      </w:pPr>
      <w:r w:rsidDel="00000000" w:rsidR="00000000" w:rsidRPr="00000000">
        <w:rPr>
          <w:rtl w:val="0"/>
        </w:rPr>
        <w:t xml:space="preserve">Crupi, G., Tufano, R., Velasco, A., Mastropaolo, A., Poshyvanyk, D., &amp; Bavota, G. (2025). On the Effectiveness of LLM-as-a-Judge for Code Generation and Summarization. </w:t>
      </w:r>
      <w:r w:rsidDel="00000000" w:rsidR="00000000" w:rsidRPr="00000000">
        <w:rPr>
          <w:i w:val="1"/>
          <w:iCs w:val="1"/>
          <w:rtl w:val="0"/>
        </w:rPr>
        <w:t xml:space="preserve">IEEE Transactions on Software Engineering</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(8), 2329–2345. https://doi.org/10.1109/TSE.2025.3586082 </w:t>
      </w:r>
    </w:p>
    <w:p w:rsidR="00000000" w:rsidDel="00000000" w:rsidP="00000000" w:rsidRDefault="00000000" w:rsidRPr="00000000" w14:paraId="0000019C">
      <w:pPr>
        <w:spacing w:after="0" w:before="200" w:line="480" w:lineRule="auto"/>
        <w:ind w:left="720"/>
        <w:rPr/>
      </w:pPr>
      <w:r w:rsidDel="00000000" w:rsidR="00000000" w:rsidRPr="00000000">
        <w:rPr>
          <w:rtl w:val="0"/>
        </w:rPr>
        <w:t xml:space="preserve">Deeming, C. (2018). The Politics of (Fractured) Solidarity: A Cross-National Analysis of the Class Bases of the Welfare State.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(5), 1106–1125. https://doi.org/10.1111/spol.12323 </w:t>
      </w:r>
    </w:p>
    <w:p w:rsidR="00000000" w:rsidDel="00000000" w:rsidP="00000000" w:rsidRDefault="00000000" w:rsidRPr="00000000" w14:paraId="0000019D">
      <w:pPr>
        <w:spacing w:after="0" w:before="200" w:line="480" w:lineRule="auto"/>
        <w:ind w:left="720"/>
        <w:rPr/>
      </w:pPr>
      <w:r w:rsidDel="00000000" w:rsidR="00000000" w:rsidRPr="00000000">
        <w:rPr>
          <w:rtl w:val="0"/>
        </w:rPr>
        <w:t xml:space="preserve">Domínguez, D. V. (2017). </w:t>
      </w:r>
      <w:r w:rsidDel="00000000" w:rsidR="00000000" w:rsidRPr="00000000">
        <w:rPr>
          <w:i w:val="1"/>
          <w:iCs w:val="1"/>
          <w:rtl w:val="0"/>
        </w:rPr>
        <w:t xml:space="preserve">Sistema de Pensiones: Opiniones y Demandas Ciudadanas</w:t>
      </w:r>
      <w:r w:rsidDel="00000000" w:rsidR="00000000" w:rsidRPr="00000000">
        <w:rPr>
          <w:rtl w:val="0"/>
        </w:rPr>
        <w:t xml:space="preserve">. Espacio Público. https://espaciopublico.cl/wp-content/uploads/2021/05/Doc-Ref-N%C2%B036-Pensiones-v2.pdf </w:t>
      </w:r>
    </w:p>
    <w:p w:rsidR="00000000" w:rsidDel="00000000" w:rsidP="00000000" w:rsidRDefault="00000000" w:rsidRPr="00000000" w14:paraId="0000019E">
      <w:pPr>
        <w:spacing w:after="0" w:before="200" w:line="480" w:lineRule="auto"/>
        <w:ind w:left="720"/>
        <w:rPr/>
      </w:pPr>
      <w:r w:rsidDel="00000000" w:rsidR="00000000" w:rsidRPr="00000000">
        <w:rPr>
          <w:rtl w:val="0"/>
        </w:rPr>
        <w:t xml:space="preserve">Dunivin, Z. O. (2025). Scaling hermeneutics: A guide to qualitative coding with LLMs for reflexive content analysis. </w:t>
      </w:r>
      <w:r w:rsidDel="00000000" w:rsidR="00000000" w:rsidRPr="00000000">
        <w:rPr>
          <w:i w:val="1"/>
          <w:iCs w:val="1"/>
          <w:rtl w:val="0"/>
        </w:rPr>
        <w:t xml:space="preserve">EPJ Data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28. https://doi.org/10.1140/epjds/s13688-025-00548-8 </w:t>
      </w:r>
    </w:p>
    <w:p w:rsidR="00000000" w:rsidDel="00000000" w:rsidP="00000000" w:rsidRDefault="00000000" w:rsidRPr="00000000" w14:paraId="0000019F">
      <w:pPr>
        <w:spacing w:after="0" w:before="200" w:line="480" w:lineRule="auto"/>
        <w:ind w:left="720"/>
        <w:rPr/>
      </w:pPr>
      <w:r w:rsidDel="00000000" w:rsidR="00000000" w:rsidRPr="00000000">
        <w:rPr>
          <w:rtl w:val="0"/>
        </w:rPr>
        <w:t xml:space="preserve">Ebbinghaus, B., &amp; Naumann, E. (2020). The Legitimacy of Public Pensions in an Ageing Europe: Changes in Subjective Evaluations and Policy Preferences, 2008–2016. En </w:t>
      </w:r>
      <w:r w:rsidDel="00000000" w:rsidR="00000000" w:rsidRPr="00000000">
        <w:rPr>
          <w:i w:val="1"/>
          <w:iCs w:val="1"/>
          <w:rtl w:val="0"/>
        </w:rPr>
        <w:t xml:space="preserve">Welfare State Legitimacy in Times of Crisis and Austerity</w:t>
      </w:r>
      <w:r w:rsidDel="00000000" w:rsidR="00000000" w:rsidRPr="00000000">
        <w:rPr>
          <w:rtl w:val="0"/>
        </w:rPr>
        <w:t xml:space="preserve"> (pp. 159–176). Edward Elgar Publishing. https://www.elgaronline.com/edcollchap/edcoll/9781788976299/9781788976299.00020.xml </w:t>
      </w:r>
    </w:p>
    <w:p w:rsidR="00000000" w:rsidDel="00000000" w:rsidP="00000000" w:rsidRDefault="00000000" w:rsidRPr="00000000" w14:paraId="000001A0">
      <w:pPr>
        <w:spacing w:after="0" w:before="200" w:line="480" w:lineRule="auto"/>
        <w:ind w:left="720"/>
        <w:rPr/>
      </w:pPr>
      <w:r w:rsidDel="00000000" w:rsidR="00000000" w:rsidRPr="00000000">
        <w:rPr>
          <w:rtl w:val="0"/>
        </w:rPr>
        <w:t xml:space="preserve">Ebbinghaus, B., &amp; Wiß, T. (2024). The political economy of pension policy. En </w:t>
      </w:r>
      <w:r w:rsidDel="00000000" w:rsidR="00000000" w:rsidRPr="00000000">
        <w:rPr>
          <w:i w:val="1"/>
          <w:iCs w:val="1"/>
          <w:rtl w:val="0"/>
        </w:rPr>
        <w:t xml:space="preserve">Handbook on the Political Economy of Social Policy</w:t>
      </w:r>
      <w:r w:rsidDel="00000000" w:rsidR="00000000" w:rsidRPr="00000000">
        <w:rPr>
          <w:rtl w:val="0"/>
        </w:rPr>
        <w:t xml:space="preserve"> (pp. 190–202). Edward Elgar Publishing. https://www.elgaronline.com/edcollchap/book/9781035306497/book-part-9781035306497-23.xml </w:t>
      </w:r>
    </w:p>
    <w:p w:rsidR="00000000" w:rsidDel="00000000" w:rsidP="00000000" w:rsidRDefault="00000000" w:rsidRPr="00000000" w14:paraId="000001A1">
      <w:pPr>
        <w:spacing w:after="0" w:before="200" w:line="480" w:lineRule="auto"/>
        <w:ind w:left="720"/>
        <w:rPr/>
      </w:pPr>
      <w:r w:rsidDel="00000000" w:rsidR="00000000" w:rsidRPr="00000000">
        <w:rPr>
          <w:rtl w:val="0"/>
        </w:rPr>
        <w:t xml:space="preserve">Esping-Andersen, G. (1990). </w:t>
      </w:r>
      <w:r w:rsidDel="00000000" w:rsidR="00000000" w:rsidRPr="00000000">
        <w:rPr>
          <w:i w:val="1"/>
          <w:iCs w:val="1"/>
          <w:rtl w:val="0"/>
        </w:rPr>
        <w:t xml:space="preserve">The Three Worlds of Welfare Capitalism</w:t>
      </w:r>
      <w:r w:rsidDel="00000000" w:rsidR="00000000" w:rsidRPr="00000000">
        <w:rPr>
          <w:rtl w:val="0"/>
        </w:rPr>
        <w:t xml:space="preserve">. Princeton University Press. </w:t>
      </w:r>
    </w:p>
    <w:p w:rsidR="00000000" w:rsidDel="00000000" w:rsidP="00000000" w:rsidRDefault="00000000" w:rsidRPr="00000000" w14:paraId="000001A2">
      <w:pPr>
        <w:spacing w:after="0" w:before="200" w:line="480" w:lineRule="auto"/>
        <w:ind w:left="720"/>
        <w:rPr/>
      </w:pPr>
      <w:r w:rsidDel="00000000" w:rsidR="00000000" w:rsidRPr="00000000">
        <w:rPr>
          <w:rtl w:val="0"/>
        </w:rPr>
        <w:t xml:space="preserve">Ferre, J. C. (2023). Welfare regimes in twenty-first-century Latin America. </w:t>
      </w:r>
      <w:r w:rsidDel="00000000" w:rsidR="00000000" w:rsidRPr="00000000">
        <w:rPr>
          <w:i w:val="1"/>
          <w:iCs w:val="1"/>
          <w:rtl w:val="0"/>
        </w:rPr>
        <w:t xml:space="preserve">Journal of International and Comparative Social Policy</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(2), 101–127. https://doi.org/10.1017/ics.2023.16 </w:t>
      </w:r>
    </w:p>
    <w:p w:rsidR="00000000" w:rsidDel="00000000" w:rsidP="00000000" w:rsidRDefault="00000000" w:rsidRPr="00000000" w14:paraId="000001A3">
      <w:pPr>
        <w:spacing w:after="0" w:before="200" w:line="480" w:lineRule="auto"/>
        <w:ind w:left="720"/>
        <w:rPr/>
      </w:pPr>
      <w:r w:rsidDel="00000000" w:rsidR="00000000" w:rsidRPr="00000000">
        <w:rPr>
          <w:rtl w:val="0"/>
        </w:rPr>
        <w:t xml:space="preserve">Fourcade, M., &amp; Healy, K. (2007). Moral Views of Market Society. </w:t>
      </w:r>
      <w:r w:rsidDel="00000000" w:rsidR="00000000" w:rsidRPr="00000000">
        <w:rPr>
          <w:i w:val="1"/>
          <w:iCs w:val="1"/>
          <w:rtl w:val="0"/>
        </w:rPr>
        <w:t xml:space="preserve">Annual Review of Sociology</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(Volume 33, 2007), 285–311. https://doi.org/10.1146/annurev.soc.33.040406.131642 </w:t>
      </w:r>
    </w:p>
    <w:p w:rsidR="00000000" w:rsidDel="00000000" w:rsidP="00000000" w:rsidRDefault="00000000" w:rsidRPr="00000000" w14:paraId="000001A4">
      <w:pPr>
        <w:spacing w:after="0" w:before="200" w:line="480" w:lineRule="auto"/>
        <w:ind w:left="720"/>
        <w:rPr/>
      </w:pPr>
      <w:r w:rsidDel="00000000" w:rsidR="00000000" w:rsidRPr="00000000">
        <w:rPr>
          <w:rtl w:val="0"/>
        </w:rPr>
        <w:t xml:space="preserve">Freeman, L. C. (1977). A Set of Measures of Centrality Based on Betweenness. </w:t>
      </w:r>
      <w:r w:rsidDel="00000000" w:rsidR="00000000" w:rsidRPr="00000000">
        <w:rPr>
          <w:i w:val="1"/>
          <w:iCs w:val="1"/>
          <w:rtl w:val="0"/>
        </w:rPr>
        <w:t xml:space="preserve">Sociometry</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(1), 35–41. https://doi.org/10.2307/3033543 </w:t>
      </w:r>
    </w:p>
    <w:p w:rsidR="00000000" w:rsidDel="00000000" w:rsidP="00000000" w:rsidRDefault="00000000" w:rsidRPr="00000000" w14:paraId="000001A5">
      <w:pPr>
        <w:spacing w:after="0" w:before="200" w:line="480" w:lineRule="auto"/>
        <w:ind w:left="720"/>
        <w:rPr/>
      </w:pPr>
      <w:r w:rsidDel="00000000" w:rsidR="00000000" w:rsidRPr="00000000">
        <w:rPr>
          <w:rtl w:val="0"/>
        </w:rPr>
        <w:t xml:space="preserve">Funke, N., Huitema, D., &amp; Petersen, A. (2023). Impending doom or unnecessary panic? The struggle for discursive hegemony in South Africa’s acid mine drainage policy problem.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 276–296. https://doi.org/10.1080/19460171.2022.2092523 </w:t>
      </w:r>
    </w:p>
    <w:p w:rsidR="00000000" w:rsidDel="00000000" w:rsidP="00000000" w:rsidRDefault="00000000" w:rsidRPr="00000000" w14:paraId="000001A6">
      <w:pPr>
        <w:spacing w:after="0" w:before="200" w:line="480" w:lineRule="auto"/>
        <w:ind w:left="720"/>
        <w:rPr/>
      </w:pPr>
      <w:r w:rsidDel="00000000" w:rsidR="00000000" w:rsidRPr="00000000">
        <w:rPr>
          <w:rtl w:val="0"/>
        </w:rPr>
        <w:t xml:space="preserve">Gaffney, S. (2025). The ‘pathologically state dependent’ versus ‘middle-aged ministers on mammoth salaries’: The legitimation contest over a 2013 austerity measure in the Republic of Ireland. </w:t>
      </w:r>
      <w:r w:rsidDel="00000000" w:rsidR="00000000" w:rsidRPr="00000000">
        <w:rPr>
          <w:i w:val="1"/>
          <w:iCs w:val="1"/>
          <w:rtl w:val="0"/>
        </w:rPr>
        <w:t xml:space="preserve">Discourse &amp; Society</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(2), 180–195. https://doi.org/10.1177/09579265241266020 </w:t>
      </w:r>
    </w:p>
    <w:p w:rsidR="00000000" w:rsidDel="00000000" w:rsidP="00000000" w:rsidRDefault="00000000" w:rsidRPr="00000000" w14:paraId="000001A7">
      <w:pPr>
        <w:spacing w:after="0" w:before="200" w:line="480" w:lineRule="auto"/>
        <w:ind w:left="720"/>
        <w:rPr/>
      </w:pPr>
      <w:r w:rsidDel="00000000" w:rsidR="00000000" w:rsidRPr="00000000">
        <w:rPr>
          <w:rtl w:val="0"/>
        </w:rPr>
        <w:t xml:space="preserve">Garber, C. (2021). Continuidad neoliberal ví­a tecnocracia: Las comisiones asesoras presidenciales para la reforma previsional en Chile. </w:t>
      </w:r>
      <w:r w:rsidDel="00000000" w:rsidR="00000000" w:rsidRPr="00000000">
        <w:rPr>
          <w:i w:val="1"/>
          <w:iCs w:val="1"/>
          <w:rtl w:val="0"/>
        </w:rPr>
        <w:t xml:space="preserve">Revista Temas Sociológicos</w:t>
      </w:r>
      <w:r w:rsidDel="00000000" w:rsidR="00000000" w:rsidRPr="00000000">
        <w:rPr>
          <w:rtl w:val="0"/>
        </w:rPr>
        <w:t xml:space="preserve">, (28), 473–508. https://doi.org/10.29344/07196458.28.2431 </w:t>
      </w:r>
    </w:p>
    <w:p w:rsidR="00000000" w:rsidDel="00000000" w:rsidP="00000000" w:rsidRDefault="00000000" w:rsidRPr="00000000" w14:paraId="000001A8">
      <w:pPr>
        <w:spacing w:after="0" w:before="200" w:line="480" w:lineRule="auto"/>
        <w:ind w:left="720"/>
        <w:rPr/>
      </w:pPr>
      <w:r w:rsidDel="00000000" w:rsidR="00000000" w:rsidRPr="00000000">
        <w:rPr>
          <w:rtl w:val="0"/>
        </w:rPr>
        <w:t xml:space="preserve">González Arias, C., &amp; Campos Rojas, C. (2020). El flujo de opinión sobre el sistema de pensiones en cuatro géneros de la prensa chilena: Cobertura, voces y problemáticas. </w:t>
      </w:r>
      <w:r w:rsidDel="00000000" w:rsidR="00000000" w:rsidRPr="00000000">
        <w:rPr>
          <w:i w:val="1"/>
          <w:iCs w:val="1"/>
          <w:rtl w:val="0"/>
        </w:rPr>
        <w:t xml:space="preserve">Logos (La Serena)</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(1), 138–153. https://doi.org/10.15443/rl3012 </w:t>
      </w:r>
    </w:p>
    <w:p w:rsidR="00000000" w:rsidDel="00000000" w:rsidP="00000000" w:rsidRDefault="00000000" w:rsidRPr="00000000" w14:paraId="000001A9">
      <w:pPr>
        <w:spacing w:after="0" w:before="200" w:line="480" w:lineRule="auto"/>
        <w:ind w:left="720"/>
        <w:rPr/>
      </w:pPr>
      <w:r w:rsidDel="00000000" w:rsidR="00000000" w:rsidRPr="00000000">
        <w:rPr>
          <w:rtl w:val="0"/>
        </w:rPr>
        <w:t xml:space="preserve">Hagelund, A., &amp; Grødem, A. S. (2019). When metaphors become cognitive locks: Occupational pension reform in Norway.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373–388. https://doi.org/10.1080/14494035.2019.1646070 </w:t>
      </w:r>
    </w:p>
    <w:p w:rsidR="00000000" w:rsidDel="00000000" w:rsidP="00000000" w:rsidRDefault="00000000" w:rsidRPr="00000000" w14:paraId="000001AA">
      <w:pPr>
        <w:spacing w:after="0" w:before="200" w:line="480" w:lineRule="auto"/>
        <w:ind w:left="720"/>
        <w:rPr/>
      </w:pPr>
      <w:r w:rsidDel="00000000" w:rsidR="00000000" w:rsidRPr="00000000">
        <w:rPr>
          <w:rtl w:val="0"/>
        </w:rPr>
        <w:t xml:space="preserve">Hajer, M. A. (1997). Discourse Analysis. En M. A. Hajer (Ed.), </w:t>
      </w:r>
      <w:r w:rsidDel="00000000" w:rsidR="00000000" w:rsidRPr="00000000">
        <w:rPr>
          <w:i w:val="1"/>
          <w:iCs w:val="1"/>
          <w:rtl w:val="0"/>
        </w:rPr>
        <w:t xml:space="preserve">The Politics of Environmental Discourse: Ecological Modernization and the Policy Process</w:t>
      </w:r>
      <w:r w:rsidDel="00000000" w:rsidR="00000000" w:rsidRPr="00000000">
        <w:rPr>
          <w:rtl w:val="0"/>
        </w:rPr>
        <w:t xml:space="preserve"> (p. 0). Oxford University Press. https://doi.org/10.1093/019829333X.003.0003 </w:t>
      </w:r>
    </w:p>
    <w:p w:rsidR="00000000" w:rsidDel="00000000" w:rsidP="00000000" w:rsidRDefault="00000000" w:rsidRPr="00000000" w14:paraId="000001AB">
      <w:pPr>
        <w:spacing w:after="0" w:before="200" w:line="480" w:lineRule="auto"/>
        <w:ind w:left="720"/>
        <w:rPr/>
      </w:pPr>
      <w:r w:rsidDel="00000000" w:rsidR="00000000" w:rsidRPr="00000000">
        <w:rPr>
          <w:rtl w:val="0"/>
        </w:rPr>
        <w:t xml:space="preserve">Hayes, A. S. (2025). “Conversing” With Qualitative Data: Enhancing Qualitative Research Through Large Language Models (LLMs). </w:t>
      </w:r>
      <w:r w:rsidDel="00000000" w:rsidR="00000000" w:rsidRPr="00000000">
        <w:rPr>
          <w:i w:val="1"/>
          <w:iCs w:val="1"/>
          <w:rtl w:val="0"/>
        </w:rPr>
        <w:t xml:space="preserve">International Journal of Qualitative Methods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16094069251322346. https://doi.org/10.1177/16094069251322346 </w:t>
      </w:r>
    </w:p>
    <w:p w:rsidR="00000000" w:rsidDel="00000000" w:rsidP="00000000" w:rsidRDefault="00000000" w:rsidRPr="00000000" w14:paraId="000001AC">
      <w:pPr>
        <w:spacing w:after="0" w:before="200" w:line="480" w:lineRule="auto"/>
        <w:ind w:left="720"/>
        <w:rPr/>
      </w:pPr>
      <w:r w:rsidDel="00000000" w:rsidR="00000000" w:rsidRPr="00000000">
        <w:rPr>
          <w:rtl w:val="0"/>
        </w:rPr>
        <w:t xml:space="preserve">Hilmar, T. (2025). Who deserves economic relief? Examining Twitter/X debates about Covid-19 economic relief for small businesses and the self-employed in Germany.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1153–1169. https://doi.org/10.1017/S0047279424000096 </w:t>
      </w:r>
    </w:p>
    <w:p w:rsidR="00000000" w:rsidDel="00000000" w:rsidP="00000000" w:rsidRDefault="00000000" w:rsidRPr="00000000" w14:paraId="000001AD">
      <w:pPr>
        <w:spacing w:after="0" w:before="200" w:line="480" w:lineRule="auto"/>
        <w:ind w:left="720"/>
        <w:rPr/>
      </w:pPr>
      <w:r w:rsidDel="00000000" w:rsidR="00000000" w:rsidRPr="00000000">
        <w:rPr>
          <w:rtl w:val="0"/>
        </w:rPr>
        <w:t xml:space="preserve">Kay, S. J., &amp; Borzutzky, S. (2022). Can defined contribution pensions survive the pandemic? The Chilean case.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(1), 31–50. https://doi.org/10.1111/issr.12286 </w:t>
      </w:r>
    </w:p>
    <w:p w:rsidR="00000000" w:rsidDel="00000000" w:rsidP="00000000" w:rsidRDefault="00000000" w:rsidRPr="00000000" w14:paraId="000001AE">
      <w:pPr>
        <w:spacing w:after="0" w:before="200" w:line="480" w:lineRule="auto"/>
        <w:ind w:left="720"/>
        <w:rPr/>
      </w:pPr>
      <w:r w:rsidDel="00000000" w:rsidR="00000000" w:rsidRPr="00000000">
        <w:rPr>
          <w:rtl w:val="0"/>
        </w:rPr>
        <w:t xml:space="preserve">Knotz, C. M., Gandenberger, M. K., Fossati, F., &amp; Bonoli, G. (2022). A Recast Framework for Welfare Deservingness Perceptions. </w:t>
      </w:r>
      <w:r w:rsidDel="00000000" w:rsidR="00000000" w:rsidRPr="00000000">
        <w:rPr>
          <w:i w:val="1"/>
          <w:iCs w:val="1"/>
          <w:rtl w:val="0"/>
        </w:rPr>
        <w:t xml:space="preserve">Social Indicators Research</w:t>
      </w:r>
      <w:r w:rsidDel="00000000" w:rsidR="00000000" w:rsidRPr="00000000">
        <w:rPr>
          <w:rtl w:val="0"/>
        </w:rPr>
        <w:t xml:space="preserve">, </w:t>
      </w:r>
      <w:r w:rsidDel="00000000" w:rsidR="00000000" w:rsidRPr="00000000">
        <w:rPr>
          <w:i w:val="1"/>
          <w:iCs w:val="1"/>
          <w:rtl w:val="0"/>
        </w:rPr>
        <w:t xml:space="preserve">159</w:t>
      </w:r>
      <w:r w:rsidDel="00000000" w:rsidR="00000000" w:rsidRPr="00000000">
        <w:rPr>
          <w:rtl w:val="0"/>
        </w:rPr>
        <w:t xml:space="preserve">(3), 927–943. https://doi.org/10.1007/s11205-021-02774-9 </w:t>
      </w:r>
    </w:p>
    <w:p w:rsidR="00000000" w:rsidDel="00000000" w:rsidP="00000000" w:rsidRDefault="00000000" w:rsidRPr="00000000" w14:paraId="000001AF">
      <w:pPr>
        <w:spacing w:after="0" w:before="200" w:line="480" w:lineRule="auto"/>
        <w:ind w:left="720"/>
        <w:rPr/>
      </w:pPr>
      <w:r w:rsidDel="00000000" w:rsidR="00000000" w:rsidRPr="00000000">
        <w:rPr>
          <w:rtl w:val="0"/>
        </w:rPr>
        <w:t xml:space="preserve">Kohli, M. (1987). Retirement and the moral economy: An historical interpretation of the German case. </w:t>
      </w:r>
      <w:r w:rsidDel="00000000" w:rsidR="00000000" w:rsidRPr="00000000">
        <w:rPr>
          <w:i w:val="1"/>
          <w:iCs w:val="1"/>
          <w:rtl w:val="0"/>
        </w:rPr>
        <w:t xml:space="preserve">Journal of Aging Studies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125–144. https://doi.org/10.1016/0890-4065(87)90003-X </w:t>
      </w:r>
    </w:p>
    <w:p w:rsidR="00000000" w:rsidDel="00000000" w:rsidP="00000000" w:rsidRDefault="00000000" w:rsidRPr="00000000" w14:paraId="000001B0">
      <w:pPr>
        <w:spacing w:after="0" w:before="200" w:line="480" w:lineRule="auto"/>
        <w:ind w:left="720"/>
        <w:rPr/>
      </w:pPr>
      <w:r w:rsidDel="00000000" w:rsidR="00000000" w:rsidRPr="00000000">
        <w:rPr>
          <w:rtl w:val="0"/>
        </w:rPr>
        <w:t xml:space="preserve">Koos, S., &amp; Sachweh, P. (2019). The moral economies of market societies: Popular attitudes towards market competition, redistribution and reciprocity in comparative perspective. </w:t>
      </w:r>
      <w:r w:rsidDel="00000000" w:rsidR="00000000" w:rsidRPr="00000000">
        <w:rPr>
          <w:i w:val="1"/>
          <w:iCs w:val="1"/>
          <w:rtl w:val="0"/>
        </w:rPr>
        <w:t xml:space="preserve">Socio-Economic Review</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(4), 793–821. https://doi.org/10.1093/ser/mwx045 </w:t>
      </w:r>
    </w:p>
    <w:p w:rsidR="00000000" w:rsidDel="00000000" w:rsidP="00000000" w:rsidRDefault="00000000" w:rsidRPr="00000000" w14:paraId="000001B1">
      <w:pPr>
        <w:spacing w:after="0" w:before="200" w:line="480" w:lineRule="auto"/>
        <w:ind w:left="720"/>
        <w:rPr/>
      </w:pPr>
      <w:r w:rsidDel="00000000" w:rsidR="00000000" w:rsidRPr="00000000">
        <w:rPr>
          <w:rtl w:val="0"/>
        </w:rPr>
        <w:t xml:space="preserve">Kuhlmann, J., &amp; Blum, S. (2022). Sozialpolitische Erzählungen – Ein Vergleich narrativer Strategien in der Finanzkrise und der Corona-Krise. </w:t>
      </w:r>
      <w:r w:rsidDel="00000000" w:rsidR="00000000" w:rsidRPr="00000000">
        <w:rPr>
          <w:i w:val="1"/>
          <w:iCs w:val="1"/>
          <w:rtl w:val="0"/>
        </w:rPr>
        <w:t xml:space="preserve">Zeitschrift für Politikwissenschaft</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117–140. https://doi.org/10.1007/s41358-022-00311-9 </w:t>
      </w:r>
    </w:p>
    <w:p w:rsidR="00000000" w:rsidDel="00000000" w:rsidP="00000000" w:rsidRDefault="00000000" w:rsidRPr="00000000" w14:paraId="000001B2">
      <w:pPr>
        <w:spacing w:after="0" w:before="200" w:line="480" w:lineRule="auto"/>
        <w:ind w:left="720"/>
        <w:rPr/>
      </w:pPr>
      <w:r w:rsidDel="00000000" w:rsidR="00000000" w:rsidRPr="00000000">
        <w:rPr>
          <w:rtl w:val="0"/>
        </w:rPr>
        <w:t xml:space="preserve">Laenen, T., Rossetti, F., &amp; van Oorschot, W. (2019). Why deservingness theory needs qualitative research: Comparing focus group discussions on social welfare in three welfare regimes. </w:t>
      </w:r>
      <w:r w:rsidDel="00000000" w:rsidR="00000000" w:rsidRPr="00000000">
        <w:rPr>
          <w:i w:val="1"/>
          <w:iCs w:val="1"/>
          <w:rtl w:val="0"/>
        </w:rPr>
        <w:t xml:space="preserve">International Journal of Comparative Sociology</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(3), 190–216. https://doi.org/10.1177/0020715219837745 </w:t>
      </w:r>
    </w:p>
    <w:p w:rsidR="00000000" w:rsidDel="00000000" w:rsidP="00000000" w:rsidRDefault="00000000" w:rsidRPr="00000000" w14:paraId="000001B3">
      <w:pPr>
        <w:spacing w:after="0" w:before="200" w:line="480" w:lineRule="auto"/>
        <w:ind w:left="720"/>
        <w:rPr/>
      </w:pPr>
      <w:r w:rsidDel="00000000" w:rsidR="00000000" w:rsidRPr="00000000">
        <w:rPr>
          <w:rtl w:val="0"/>
        </w:rPr>
        <w:t xml:space="preserve">Lane, R. E. (1986). Market Justice, Political Justice. </w:t>
      </w:r>
      <w:r w:rsidDel="00000000" w:rsidR="00000000" w:rsidRPr="00000000">
        <w:rPr>
          <w:i w:val="1"/>
          <w:iCs w:val="1"/>
          <w:rtl w:val="0"/>
        </w:rPr>
        <w:t xml:space="preserve">American Political Science Review</w:t>
      </w:r>
      <w:r w:rsidDel="00000000" w:rsidR="00000000" w:rsidRPr="00000000">
        <w:rPr>
          <w:rtl w:val="0"/>
        </w:rPr>
        <w:t xml:space="preserve">, </w:t>
      </w:r>
      <w:r w:rsidDel="00000000" w:rsidR="00000000" w:rsidRPr="00000000">
        <w:rPr>
          <w:i w:val="1"/>
          <w:iCs w:val="1"/>
          <w:rtl w:val="0"/>
        </w:rPr>
        <w:t xml:space="preserve">80</w:t>
      </w:r>
      <w:r w:rsidDel="00000000" w:rsidR="00000000" w:rsidRPr="00000000">
        <w:rPr>
          <w:rtl w:val="0"/>
        </w:rPr>
        <w:t xml:space="preserve">(2), 383–402. https://doi.org/10.2307/1958264 </w:t>
      </w:r>
    </w:p>
    <w:p w:rsidR="00000000" w:rsidDel="00000000" w:rsidP="00000000" w:rsidRDefault="00000000" w:rsidRPr="00000000" w14:paraId="000001B4">
      <w:pPr>
        <w:spacing w:after="0" w:before="200" w:line="480" w:lineRule="auto"/>
        <w:ind w:left="720"/>
        <w:rPr/>
      </w:pPr>
      <w:r w:rsidDel="00000000" w:rsidR="00000000" w:rsidRPr="00000000">
        <w:rPr>
          <w:rtl w:val="0"/>
        </w:rPr>
        <w:t xml:space="preserve">Larrañaga, O. (2024). </w:t>
      </w:r>
      <w:r w:rsidDel="00000000" w:rsidR="00000000" w:rsidRPr="00000000">
        <w:rPr>
          <w:i w:val="1"/>
          <w:iCs w:val="1"/>
          <w:rtl w:val="0"/>
        </w:rPr>
        <w:t xml:space="preserve">Avances y Obstaculos en el sistema de pensiones en Chile (1980-2023)</w:t>
      </w:r>
      <w:r w:rsidDel="00000000" w:rsidR="00000000" w:rsidRPr="00000000">
        <w:rPr>
          <w:rtl w:val="0"/>
        </w:rPr>
        <w:t xml:space="preserve"> (N°. 48; Documentos de Política Pública). PNUD América Latina y el Caribe. https://www.undp.org/es/latin-america/publicaciones/avances-y-obstaculos-en-el-sistema-de-pensiones-en-chile-1980-2023 </w:t>
      </w:r>
    </w:p>
    <w:p w:rsidR="00000000" w:rsidDel="00000000" w:rsidP="00000000" w:rsidRDefault="00000000" w:rsidRPr="00000000" w14:paraId="000001B5">
      <w:pPr>
        <w:spacing w:after="0" w:before="200" w:line="480" w:lineRule="auto"/>
        <w:ind w:left="720"/>
        <w:rPr/>
      </w:pPr>
      <w:r w:rsidDel="00000000" w:rsidR="00000000" w:rsidRPr="00000000">
        <w:rPr>
          <w:rtl w:val="0"/>
        </w:rPr>
        <w:t xml:space="preserve">Lee, H. B., &amp; Kim, D.-E. (2026). Policy experts’ strategy in deliberative polling on Korean pension reform: Utilizing valence and polysemic ideas through framing and narrative strategies.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0</w:t>
      </w:r>
      <w:r w:rsidDel="00000000" w:rsidR="00000000" w:rsidRPr="00000000">
        <w:rPr>
          <w:rtl w:val="0"/>
        </w:rPr>
        <w:t xml:space="preserve">(0), 1–25. https://doi.org/10.1080/19460171.2026.2655672 </w:t>
      </w:r>
    </w:p>
    <w:p w:rsidR="00000000" w:rsidDel="00000000" w:rsidP="00000000" w:rsidRDefault="00000000" w:rsidRPr="00000000" w14:paraId="000001B6">
      <w:pPr>
        <w:spacing w:after="0" w:before="200" w:line="480" w:lineRule="auto"/>
        <w:ind w:left="720"/>
        <w:rPr/>
      </w:pPr>
      <w:r w:rsidDel="00000000" w:rsidR="00000000" w:rsidRPr="00000000">
        <w:rPr>
          <w:rtl w:val="0"/>
        </w:rPr>
        <w:t xml:space="preserve">Leifeld, P. (2013). Reconceptualizing Major Policy Change in the Advocacy Coalition Framework: A Discourse Network Analysis of German Pension Politics. </w:t>
      </w:r>
      <w:r w:rsidDel="00000000" w:rsidR="00000000" w:rsidRPr="00000000">
        <w:rPr>
          <w:i w:val="1"/>
          <w:iCs w:val="1"/>
          <w:rtl w:val="0"/>
        </w:rPr>
        <w:t xml:space="preserve">Policy Studies Journal</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(1), 169–198. https://doi.org/10.1111/psj.12007 </w:t>
      </w:r>
    </w:p>
    <w:p w:rsidR="00000000" w:rsidDel="00000000" w:rsidP="00000000" w:rsidRDefault="00000000" w:rsidRPr="00000000" w14:paraId="000001B7">
      <w:pPr>
        <w:spacing w:after="0" w:before="200" w:line="480" w:lineRule="auto"/>
        <w:ind w:left="720"/>
        <w:rPr/>
      </w:pPr>
      <w:r w:rsidDel="00000000" w:rsidR="00000000" w:rsidRPr="00000000">
        <w:rPr>
          <w:rtl w:val="0"/>
        </w:rPr>
        <w:t xml:space="preserve">Leifeld, P. (2017). Discourse Network Analysis: Policy Debates as Dynamic Networks. En J. N. Victor, A. H. Montgomery, &amp; M. Lubell (Eds.), </w:t>
      </w:r>
      <w:r w:rsidDel="00000000" w:rsidR="00000000" w:rsidRPr="00000000">
        <w:rPr>
          <w:i w:val="1"/>
          <w:iCs w:val="1"/>
          <w:rtl w:val="0"/>
        </w:rPr>
        <w:t xml:space="preserve">The Oxford Handbook of Political Networks</w:t>
      </w:r>
      <w:r w:rsidDel="00000000" w:rsidR="00000000" w:rsidRPr="00000000">
        <w:rPr>
          <w:rtl w:val="0"/>
        </w:rPr>
        <w:t xml:space="preserve"> (p. 0). Oxford University Press. https://doi.org/10.1093/oxfordhb/9780190228217.013.25 </w:t>
      </w:r>
    </w:p>
    <w:p w:rsidR="00000000" w:rsidDel="00000000" w:rsidP="00000000" w:rsidRDefault="00000000" w:rsidRPr="00000000" w14:paraId="000001B8">
      <w:pPr>
        <w:spacing w:after="0" w:before="200" w:line="480" w:lineRule="auto"/>
        <w:ind w:left="720"/>
        <w:rPr/>
      </w:pPr>
      <w:r w:rsidDel="00000000" w:rsidR="00000000" w:rsidRPr="00000000">
        <w:rPr>
          <w:rtl w:val="0"/>
        </w:rPr>
        <w:t xml:space="preserve">Leifeld, P. (2020). Policy Debates and Discourse Network Analysis: A Research Agenda. </w:t>
      </w:r>
      <w:r w:rsidDel="00000000" w:rsidR="00000000" w:rsidRPr="00000000">
        <w:rPr>
          <w:i w:val="1"/>
          <w:iCs w:val="1"/>
          <w:rtl w:val="0"/>
        </w:rPr>
        <w:t xml:space="preserve">Politics and Governance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180–183. </w:t>
      </w:r>
    </w:p>
    <w:p w:rsidR="00000000" w:rsidDel="00000000" w:rsidP="00000000" w:rsidRDefault="00000000" w:rsidRPr="00000000" w14:paraId="000001B9">
      <w:pPr>
        <w:spacing w:after="0" w:before="200" w:line="480" w:lineRule="auto"/>
        <w:ind w:left="720"/>
        <w:rPr/>
      </w:pPr>
      <w:r w:rsidDel="00000000" w:rsidR="00000000" w:rsidRPr="00000000">
        <w:rPr>
          <w:rtl w:val="0"/>
        </w:rPr>
        <w:t xml:space="preserve">Leifeld, P., &amp; Haunss, S. (2012). Political discourse networks and the conflict over software patents in Europe.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(3), 382–409. https://doi.org/10.1111/j.1475-6765.2011.02003.x </w:t>
      </w:r>
    </w:p>
    <w:p w:rsidR="00000000" w:rsidDel="00000000" w:rsidP="00000000" w:rsidRDefault="00000000" w:rsidRPr="00000000" w14:paraId="000001BA">
      <w:pPr>
        <w:spacing w:after="0" w:before="200" w:line="480" w:lineRule="auto"/>
        <w:ind w:left="720"/>
        <w:rPr/>
      </w:pPr>
      <w:r w:rsidDel="00000000" w:rsidR="00000000" w:rsidRPr="00000000">
        <w:rPr>
          <w:rtl w:val="0"/>
        </w:rPr>
        <w:t xml:space="preserve">Liebig, S., &amp; Sauer, C. (2016). Sociology of Justice.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37–59). Springer. https://doi.org/10.1007/978-1-4939-3216-0_3 </w:t>
      </w:r>
    </w:p>
    <w:p w:rsidR="00000000" w:rsidDel="00000000" w:rsidP="00000000" w:rsidRDefault="00000000" w:rsidRPr="00000000" w14:paraId="000001BB">
      <w:pPr>
        <w:spacing w:after="0" w:before="200" w:line="480" w:lineRule="auto"/>
        <w:ind w:left="720"/>
        <w:rPr/>
      </w:pPr>
      <w:r w:rsidDel="00000000" w:rsidR="00000000" w:rsidRPr="00000000">
        <w:rPr>
          <w:rtl w:val="0"/>
        </w:rPr>
        <w:t xml:space="preserve">Lindh, A. (2015). Public Opinion against Markets? Attitudes towards Market Distribution of Social Services – A Comparison of 17 Countries.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(7), 887–910. https://doi.org/10.1111/spol.12105 </w:t>
      </w:r>
    </w:p>
    <w:p w:rsidR="00000000" w:rsidDel="00000000" w:rsidP="00000000" w:rsidRDefault="00000000" w:rsidRPr="00000000" w14:paraId="000001BC">
      <w:pPr>
        <w:spacing w:after="0" w:before="200" w:line="480" w:lineRule="auto"/>
        <w:ind w:left="720"/>
        <w:rPr/>
      </w:pPr>
      <w:r w:rsidDel="00000000" w:rsidR="00000000" w:rsidRPr="00000000">
        <w:rPr>
          <w:rtl w:val="0"/>
        </w:rPr>
        <w:t xml:space="preserve">López-González, L., &amp; Vélez-Maya, M. M. (2025). Memorias políticas y acción colectiva: Usos políticos del pasado en el movimiento NO + AFP en Chile. </w:t>
      </w:r>
      <w:r w:rsidDel="00000000" w:rsidR="00000000" w:rsidRPr="00000000">
        <w:rPr>
          <w:i w:val="1"/>
          <w:iCs w:val="1"/>
          <w:rtl w:val="0"/>
        </w:rPr>
        <w:t xml:space="preserve">Revista Austral de Ciencias Sociales</w:t>
      </w:r>
      <w:r w:rsidDel="00000000" w:rsidR="00000000" w:rsidRPr="00000000">
        <w:rPr>
          <w:rtl w:val="0"/>
        </w:rPr>
        <w:t xml:space="preserve">, (48), 317–335. https://doi.org/10.4206/rev.austral.cienc.soc.2025.n48-16 </w:t>
      </w:r>
    </w:p>
    <w:p w:rsidR="00000000" w:rsidDel="00000000" w:rsidP="00000000" w:rsidRDefault="00000000" w:rsidRPr="00000000" w14:paraId="000001BD">
      <w:pPr>
        <w:spacing w:after="0" w:before="200" w:line="480" w:lineRule="auto"/>
        <w:ind w:left="720"/>
        <w:rPr/>
      </w:pPr>
      <w:r w:rsidDel="00000000" w:rsidR="00000000" w:rsidRPr="00000000">
        <w:rPr>
          <w:rtl w:val="0"/>
        </w:rPr>
        <w:t xml:space="preserve">Madariaga, A. (2020). The three pillars of neoliberalism: Chile’s economic policy trajectory in comparative perspective. </w:t>
      </w:r>
      <w:r w:rsidDel="00000000" w:rsidR="00000000" w:rsidRPr="00000000">
        <w:rPr>
          <w:i w:val="1"/>
          <w:iCs w:val="1"/>
          <w:rtl w:val="0"/>
        </w:rPr>
        <w:t xml:space="preserve">Contemporary Politics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308–329. https://doi.org/10.1080/13569775.2020.1735021 </w:t>
      </w:r>
    </w:p>
    <w:p w:rsidR="00000000" w:rsidDel="00000000" w:rsidP="00000000" w:rsidRDefault="00000000" w:rsidRPr="00000000" w14:paraId="000001BE">
      <w:pPr>
        <w:spacing w:after="0" w:before="200" w:line="480" w:lineRule="auto"/>
        <w:ind w:left="720"/>
        <w:rPr/>
      </w:pPr>
      <w:r w:rsidDel="00000000" w:rsidR="00000000" w:rsidRPr="00000000">
        <w:rPr>
          <w:rtl w:val="0"/>
        </w:rPr>
        <w:t xml:space="preserve">Martin, M. P., &amp; Alfaro, J. (2017). POLÍTICAS DE BIENESTAR EN CONTEXTOS NEOLIBERALES: Tensiones del modelo chileno. </w:t>
      </w:r>
      <w:r w:rsidDel="00000000" w:rsidR="00000000" w:rsidRPr="00000000">
        <w:rPr>
          <w:i w:val="1"/>
          <w:iCs w:val="1"/>
          <w:rtl w:val="0"/>
        </w:rPr>
        <w:t xml:space="preserve">Caderno CRH</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 137–155. https://doi.org/https://doi.org/10.1590/S0103-49792017000100009 </w:t>
      </w:r>
    </w:p>
    <w:p w:rsidR="00000000" w:rsidDel="00000000" w:rsidP="00000000" w:rsidRDefault="00000000" w:rsidRPr="00000000" w14:paraId="000001BF">
      <w:pPr>
        <w:spacing w:after="0" w:before="200" w:line="480" w:lineRule="auto"/>
        <w:ind w:left="720"/>
        <w:rPr/>
      </w:pPr>
      <w:r w:rsidDel="00000000" w:rsidR="00000000" w:rsidRPr="00000000">
        <w:rPr>
          <w:rtl w:val="0"/>
        </w:rPr>
        <w:t xml:space="preserve">Matus, F. (2020). Formas de Representación de la Participación Política Digital: El caso del conflicto por el Sistema de Pensiones Chileno (2016-2017). </w:t>
      </w:r>
      <w:r w:rsidDel="00000000" w:rsidR="00000000" w:rsidRPr="00000000">
        <w:rPr>
          <w:i w:val="1"/>
          <w:iCs w:val="1"/>
          <w:rtl w:val="0"/>
        </w:rPr>
        <w:t xml:space="preserve">RevIISE: Revista de Ciencias Sociales y Humanas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(15), 199–217. </w:t>
      </w:r>
    </w:p>
    <w:p w:rsidR="00000000" w:rsidDel="00000000" w:rsidP="00000000" w:rsidRDefault="00000000" w:rsidRPr="00000000" w14:paraId="000001C0">
      <w:pPr>
        <w:spacing w:after="0" w:before="200" w:line="480" w:lineRule="auto"/>
        <w:ind w:left="720"/>
        <w:rPr/>
      </w:pPr>
      <w:r w:rsidDel="00000000" w:rsidR="00000000" w:rsidRPr="00000000">
        <w:rPr>
          <w:rtl w:val="0"/>
        </w:rPr>
        <w:t xml:space="preserve">Mesa-Lago, C., &amp; Bertranou, F. (2016). Pension reforms in Chile and social security principles, 1981–2015.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69</w:t>
      </w:r>
      <w:r w:rsidDel="00000000" w:rsidR="00000000" w:rsidRPr="00000000">
        <w:rPr>
          <w:rtl w:val="0"/>
        </w:rPr>
        <w:t xml:space="preserve">(1), 25–45. https://doi.org/10.1111/issr.12093 </w:t>
      </w:r>
    </w:p>
    <w:p w:rsidR="00000000" w:rsidDel="00000000" w:rsidP="00000000" w:rsidRDefault="00000000" w:rsidRPr="00000000" w14:paraId="000001C1">
      <w:pPr>
        <w:spacing w:after="0" w:before="200" w:line="480" w:lineRule="auto"/>
        <w:ind w:left="720"/>
        <w:rPr/>
      </w:pPr>
      <w:r w:rsidDel="00000000" w:rsidR="00000000" w:rsidRPr="00000000">
        <w:rPr>
          <w:rtl w:val="0"/>
        </w:rPr>
        <w:t xml:space="preserve">Meuleman, B., Roosma, F., &amp; Abts, K. (2020). Welfare deservingness opinions from heuristic to measurable concept: The CARIN deservingness principles scale. </w:t>
      </w:r>
      <w:r w:rsidDel="00000000" w:rsidR="00000000" w:rsidRPr="00000000">
        <w:rPr>
          <w:i w:val="1"/>
          <w:iCs w:val="1"/>
          <w:rtl w:val="0"/>
        </w:rPr>
        <w:t xml:space="preserve">Social Science Research</w:t>
      </w:r>
      <w:r w:rsidDel="00000000" w:rsidR="00000000" w:rsidRPr="00000000">
        <w:rPr>
          <w:rtl w:val="0"/>
        </w:rPr>
        <w:t xml:space="preserve">, </w:t>
      </w:r>
      <w:r w:rsidDel="00000000" w:rsidR="00000000" w:rsidRPr="00000000">
        <w:rPr>
          <w:i w:val="1"/>
          <w:iCs w:val="1"/>
          <w:rtl w:val="0"/>
        </w:rPr>
        <w:t xml:space="preserve">85</w:t>
      </w:r>
      <w:r w:rsidDel="00000000" w:rsidR="00000000" w:rsidRPr="00000000">
        <w:rPr>
          <w:rtl w:val="0"/>
        </w:rPr>
        <w:t xml:space="preserve">, 102352. https://doi.org/10.1016/j.ssresearch.2019.102352 </w:t>
      </w:r>
    </w:p>
    <w:p w:rsidR="00000000" w:rsidDel="00000000" w:rsidP="00000000" w:rsidRDefault="00000000" w:rsidRPr="00000000" w14:paraId="000001C2">
      <w:pPr>
        <w:spacing w:after="0" w:before="200" w:line="480" w:lineRule="auto"/>
        <w:ind w:left="720"/>
        <w:rPr/>
      </w:pPr>
      <w:r w:rsidDel="00000000" w:rsidR="00000000" w:rsidRPr="00000000">
        <w:rPr>
          <w:rtl w:val="0"/>
        </w:rPr>
        <w:t xml:space="preserve">Migone, A., Howlett, M., &amp; Howlett, A. (2024). Paradigmatic stability, ideational robustness, and policy persistence: Exploring the impact of policy ideas on policy-making.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(2), 189–203. https://doi.org/10.1093/polsoc/puae004 </w:t>
      </w:r>
    </w:p>
    <w:p w:rsidR="00000000" w:rsidDel="00000000" w:rsidP="00000000" w:rsidRDefault="00000000" w:rsidRPr="00000000" w14:paraId="000001C3">
      <w:pPr>
        <w:spacing w:after="0" w:before="200" w:line="480" w:lineRule="auto"/>
        <w:ind w:left="720"/>
        <w:rPr/>
      </w:pPr>
      <w:r w:rsidDel="00000000" w:rsidR="00000000" w:rsidRPr="00000000">
        <w:rPr>
          <w:rtl w:val="0"/>
        </w:rPr>
        <w:t xml:space="preserve">Parada-Contzen, M. (2023). Gender, family status and health characteristics: Understanding retirement inequalities in the Chilean pension model. </w:t>
      </w:r>
      <w:r w:rsidDel="00000000" w:rsidR="00000000" w:rsidRPr="00000000">
        <w:rPr>
          <w:i w:val="1"/>
          <w:iCs w:val="1"/>
          <w:rtl w:val="0"/>
        </w:rPr>
        <w:t xml:space="preserve">International Labour Review</w:t>
      </w:r>
      <w:r w:rsidDel="00000000" w:rsidR="00000000" w:rsidRPr="00000000">
        <w:rPr>
          <w:rtl w:val="0"/>
        </w:rPr>
        <w:t xml:space="preserve">, </w:t>
      </w:r>
      <w:r w:rsidDel="00000000" w:rsidR="00000000" w:rsidRPr="00000000">
        <w:rPr>
          <w:i w:val="1"/>
          <w:iCs w:val="1"/>
          <w:rtl w:val="0"/>
        </w:rPr>
        <w:t xml:space="preserve">162</w:t>
      </w:r>
      <w:r w:rsidDel="00000000" w:rsidR="00000000" w:rsidRPr="00000000">
        <w:rPr>
          <w:rtl w:val="0"/>
        </w:rPr>
        <w:t xml:space="preserve">(2), 271–303. https://doi.org/10.1111/ilr.12365 </w:t>
      </w:r>
    </w:p>
    <w:p w:rsidR="00000000" w:rsidDel="00000000" w:rsidP="00000000" w:rsidRDefault="00000000" w:rsidRPr="00000000" w14:paraId="000001C4">
      <w:pPr>
        <w:spacing w:after="0" w:before="200" w:line="480" w:lineRule="auto"/>
        <w:ind w:left="720"/>
        <w:rPr/>
      </w:pPr>
      <w:r w:rsidDel="00000000" w:rsidR="00000000" w:rsidRPr="00000000">
        <w:rPr>
          <w:rtl w:val="0"/>
        </w:rPr>
        <w:t xml:space="preserve">Parada-Contzen, M., &amp; Sanhueza, I. (2025). On the Evolution of Population Preferences toward Retirement System Design and Savings Withdrawal: Evidence from Chile. </w:t>
      </w:r>
      <w:r w:rsidDel="00000000" w:rsidR="00000000" w:rsidRPr="00000000">
        <w:rPr>
          <w:i w:val="1"/>
          <w:iCs w:val="1"/>
          <w:rtl w:val="0"/>
        </w:rPr>
        <w:t xml:space="preserve">The Journal of Retirement</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(3), 68–90. https://doi.org/10.3905/jor.2024.1.167 </w:t>
      </w:r>
    </w:p>
    <w:p w:rsidR="00000000" w:rsidDel="00000000" w:rsidP="00000000" w:rsidRDefault="00000000" w:rsidRPr="00000000" w14:paraId="000001C5">
      <w:pPr>
        <w:spacing w:after="0" w:before="200" w:line="480" w:lineRule="auto"/>
        <w:ind w:left="720"/>
        <w:rPr/>
      </w:pPr>
      <w:r w:rsidDel="00000000" w:rsidR="00000000" w:rsidRPr="00000000">
        <w:rPr>
          <w:rtl w:val="0"/>
        </w:rPr>
        <w:t xml:space="preserve">Randerson, S., Graydon-Guy, T., Lin, E.-Y., &amp; Casswell, S. (2025). Exploring the Use of a Large Language Model for Inductive Content Analysis in a Discourse Network Analysis Study. </w:t>
      </w:r>
      <w:r w:rsidDel="00000000" w:rsidR="00000000" w:rsidRPr="00000000">
        <w:rPr>
          <w:i w:val="1"/>
          <w:iCs w:val="1"/>
          <w:rtl w:val="0"/>
        </w:rPr>
        <w:t xml:space="preserve">Social Science Computer Review</w:t>
      </w:r>
      <w:r w:rsidDel="00000000" w:rsidR="00000000" w:rsidRPr="00000000">
        <w:rPr>
          <w:rtl w:val="0"/>
        </w:rPr>
        <w:t xml:space="preserve">, 08944393251326175. https://doi.org/10.1177/08944393251326175 </w:t>
      </w:r>
    </w:p>
    <w:p w:rsidR="00000000" w:rsidDel="00000000" w:rsidP="00000000" w:rsidRDefault="00000000" w:rsidRPr="00000000" w14:paraId="000001C6">
      <w:pPr>
        <w:spacing w:after="0" w:before="200" w:line="480" w:lineRule="auto"/>
        <w:ind w:left="720"/>
        <w:rPr/>
      </w:pPr>
      <w:r w:rsidDel="00000000" w:rsidR="00000000" w:rsidRPr="00000000">
        <w:rPr>
          <w:rtl w:val="0"/>
        </w:rPr>
        <w:t xml:space="preserve">Reeskens, T., &amp; van Oorschot, W. (2013). Equity, equality, or need? A study of popular preferences for welfare redistribution principles across 24 European countries.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(8), 1174–1195. https://doi.org/10.1080/13501763.2012.752064 </w:t>
      </w:r>
    </w:p>
    <w:p w:rsidR="00000000" w:rsidDel="00000000" w:rsidP="00000000" w:rsidRDefault="00000000" w:rsidRPr="00000000" w14:paraId="000001C7">
      <w:pPr>
        <w:spacing w:after="0" w:before="200" w:line="480" w:lineRule="auto"/>
        <w:ind w:left="720"/>
        <w:rPr/>
      </w:pPr>
      <w:r w:rsidDel="00000000" w:rsidR="00000000" w:rsidRPr="00000000">
        <w:rPr>
          <w:rtl w:val="0"/>
        </w:rPr>
        <w:t xml:space="preserve">Ring, P., Ervik, R., &amp; Lindén, T. S. (2020). Justifying pension reforms: Comparing policy discourses in Norway and the UK. </w:t>
      </w:r>
      <w:r w:rsidDel="00000000" w:rsidR="00000000" w:rsidRPr="00000000">
        <w:rPr>
          <w:i w:val="1"/>
          <w:iCs w:val="1"/>
          <w:rtl w:val="0"/>
        </w:rPr>
        <w:t xml:space="preserve">European Journal of Social Security</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(3), 306–326. https://doi.org/10.1177/1388262720950736 </w:t>
      </w:r>
    </w:p>
    <w:p w:rsidR="00000000" w:rsidDel="00000000" w:rsidP="00000000" w:rsidRDefault="00000000" w:rsidRPr="00000000" w14:paraId="000001C8">
      <w:pPr>
        <w:spacing w:after="0" w:before="200" w:line="480" w:lineRule="auto"/>
        <w:ind w:left="720"/>
        <w:rPr/>
      </w:pPr>
      <w:r w:rsidDel="00000000" w:rsidR="00000000" w:rsidRPr="00000000">
        <w:rPr>
          <w:rtl w:val="0"/>
        </w:rPr>
        <w:t xml:space="preserve">Román Brugnoli, J. A., &amp; Osorio Gonnet, C. (2015). Solidaridad y políticas públicas en el discurso de los gobiernos de la Concertación en Chile. </w:t>
      </w:r>
      <w:r w:rsidDel="00000000" w:rsidR="00000000" w:rsidRPr="00000000">
        <w:rPr>
          <w:i w:val="1"/>
          <w:iCs w:val="1"/>
          <w:rtl w:val="0"/>
        </w:rPr>
        <w:t xml:space="preserve">Revista Electrónica de Psicología Política</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(35), 39. </w:t>
      </w:r>
    </w:p>
    <w:p w:rsidR="00000000" w:rsidDel="00000000" w:rsidP="00000000" w:rsidRDefault="00000000" w:rsidRPr="00000000" w14:paraId="000001C9">
      <w:pPr>
        <w:spacing w:after="0" w:before="200" w:line="480" w:lineRule="auto"/>
        <w:ind w:left="720"/>
        <w:rPr/>
      </w:pPr>
      <w:r w:rsidDel="00000000" w:rsidR="00000000" w:rsidRPr="00000000">
        <w:rPr>
          <w:rtl w:val="0"/>
        </w:rPr>
        <w:t xml:space="preserve">Rozas, J., &amp; Maillet, A. (2019). Entre marchas, plebiscitos e iniciativas de ley: Innovación en el repertorio de estrategias del movimiento No Más AFP en Chile (2014-2018). </w:t>
      </w:r>
      <w:r w:rsidDel="00000000" w:rsidR="00000000" w:rsidRPr="00000000">
        <w:rPr>
          <w:i w:val="1"/>
          <w:iCs w:val="1"/>
          <w:rtl w:val="0"/>
        </w:rPr>
        <w:t xml:space="preserve">Izquierdas</w:t>
      </w:r>
      <w:r w:rsidDel="00000000" w:rsidR="00000000" w:rsidRPr="00000000">
        <w:rPr>
          <w:rtl w:val="0"/>
        </w:rPr>
        <w:t xml:space="preserve">, (48), 1–21. </w:t>
      </w:r>
    </w:p>
    <w:p w:rsidR="00000000" w:rsidDel="00000000" w:rsidP="00000000" w:rsidRDefault="00000000" w:rsidRPr="00000000" w14:paraId="000001CA">
      <w:pPr>
        <w:spacing w:after="0" w:before="200" w:line="480" w:lineRule="auto"/>
        <w:ind w:left="720"/>
        <w:rPr/>
      </w:pPr>
      <w:r w:rsidDel="00000000" w:rsidR="00000000" w:rsidRPr="00000000">
        <w:rPr>
          <w:rtl w:val="0"/>
        </w:rPr>
        <w:t xml:space="preserve">Rozas-Bugueño, J., &amp; Maillet, A. (2024). Challenging the policy space: The legitimation of alternatives in Chilean pension policy (1980–2019). </w:t>
      </w:r>
      <w:r w:rsidDel="00000000" w:rsidR="00000000" w:rsidRPr="00000000">
        <w:rPr>
          <w:i w:val="1"/>
          <w:iCs w:val="1"/>
          <w:rtl w:val="0"/>
        </w:rPr>
        <w:t xml:space="preserve">Latin American Policy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(2), 235–254. https://doi.org/10.1111/lamp.12343 </w:t>
      </w:r>
    </w:p>
    <w:p w:rsidR="00000000" w:rsidDel="00000000" w:rsidP="00000000" w:rsidRDefault="00000000" w:rsidRPr="00000000" w14:paraId="000001CB">
      <w:pPr>
        <w:spacing w:after="0" w:before="200" w:line="480" w:lineRule="auto"/>
        <w:ind w:left="720"/>
        <w:rPr/>
      </w:pPr>
      <w:r w:rsidDel="00000000" w:rsidR="00000000" w:rsidRPr="00000000">
        <w:rPr>
          <w:rtl w:val="0"/>
        </w:rPr>
        <w:t xml:space="preserve">Sachweh, P. (2016). Social Justice and the Welfare State: Institutions, Outcomes, and Attitudes in Comparative Perspective.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293–313). Springer. https://doi.org/10.1007/978-1-4939-3216-0_16 </w:t>
      </w:r>
    </w:p>
    <w:p w:rsidR="00000000" w:rsidDel="00000000" w:rsidP="00000000" w:rsidRDefault="00000000" w:rsidRPr="00000000" w14:paraId="000001CC">
      <w:pPr>
        <w:spacing w:after="0" w:before="200" w:line="480" w:lineRule="auto"/>
        <w:ind w:left="720"/>
        <w:rPr/>
      </w:pPr>
      <w:r w:rsidDel="00000000" w:rsidR="00000000" w:rsidRPr="00000000">
        <w:rPr>
          <w:rtl w:val="0"/>
        </w:rPr>
        <w:t xml:space="preserve">Sachweh, P., Ullrich, C. G., &amp; Christoph, B. (2006). Die Gesellschaftliche Akzeptanz der Sozialhilfe. </w:t>
      </w:r>
      <w:r w:rsidDel="00000000" w:rsidR="00000000" w:rsidRPr="00000000">
        <w:rPr>
          <w:i w:val="1"/>
          <w:iCs w:val="1"/>
          <w:rtl w:val="0"/>
        </w:rPr>
        <w:t xml:space="preserve">KZfSS Kölner Zeitschrift für Soziologie und Sozialpsychologie</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(3), 489–509. https://doi.org/10.1007/s11575-006-0107-5 </w:t>
      </w:r>
    </w:p>
    <w:p w:rsidR="00000000" w:rsidDel="00000000" w:rsidP="00000000" w:rsidRDefault="00000000" w:rsidRPr="00000000" w14:paraId="000001CD">
      <w:pPr>
        <w:spacing w:after="0" w:before="200" w:line="480" w:lineRule="auto"/>
        <w:ind w:left="720"/>
        <w:rPr/>
      </w:pPr>
      <w:r w:rsidDel="00000000" w:rsidR="00000000" w:rsidRPr="00000000">
        <w:rPr>
          <w:rtl w:val="0"/>
        </w:rPr>
        <w:t xml:space="preserve">Schaub, S. (2021). Public contestation over agricultural pollution: A discourse network analysis on narrative strategies in the policy process. </w:t>
      </w:r>
      <w:r w:rsidDel="00000000" w:rsidR="00000000" w:rsidRPr="00000000">
        <w:rPr>
          <w:i w:val="1"/>
          <w:iCs w:val="1"/>
          <w:rtl w:val="0"/>
        </w:rPr>
        <w:t xml:space="preserve">Policy Sciences</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783–821. https://doi.org/10.1007/s11077-021-09439-x </w:t>
      </w:r>
    </w:p>
    <w:p w:rsidR="00000000" w:rsidDel="00000000" w:rsidP="00000000" w:rsidRDefault="00000000" w:rsidRPr="00000000" w14:paraId="000001CE">
      <w:pPr>
        <w:spacing w:after="0" w:before="200" w:line="480" w:lineRule="auto"/>
        <w:ind w:left="720"/>
        <w:rPr/>
      </w:pPr>
      <w:r w:rsidDel="00000000" w:rsidR="00000000" w:rsidRPr="00000000">
        <w:rPr>
          <w:rtl w:val="0"/>
        </w:rPr>
        <w:t xml:space="preserve">Schmidt, V. A. (2008). Discursive Institutionalism: The Explanatory Power of Ideas and Discourse. </w:t>
      </w:r>
      <w:r w:rsidDel="00000000" w:rsidR="00000000" w:rsidRPr="00000000">
        <w:rPr>
          <w:i w:val="1"/>
          <w:iCs w:val="1"/>
          <w:rtl w:val="0"/>
        </w:rPr>
        <w:t xml:space="preserve">Annual Review of Political 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(Volume 11, 2008), 303–326. https://doi.org/10.1146/annurev.polisci.11.060606.135342 </w:t>
      </w:r>
    </w:p>
    <w:p w:rsidR="00000000" w:rsidDel="00000000" w:rsidP="00000000" w:rsidRDefault="00000000" w:rsidRPr="00000000" w14:paraId="000001CF">
      <w:pPr>
        <w:spacing w:after="0" w:before="200" w:line="480" w:lineRule="auto"/>
        <w:ind w:left="720"/>
        <w:rPr/>
      </w:pPr>
      <w:r w:rsidDel="00000000" w:rsidR="00000000" w:rsidRPr="00000000">
        <w:rPr>
          <w:rtl w:val="0"/>
        </w:rPr>
        <w:t xml:space="preserve">Schmidt, V. A. (2016). The roots of neo-liberal resilience: Explaining continuity and change in background ideas in Europe’s political economy. </w:t>
      </w:r>
      <w:r w:rsidDel="00000000" w:rsidR="00000000" w:rsidRPr="00000000">
        <w:rPr>
          <w:i w:val="1"/>
          <w:iCs w:val="1"/>
          <w:rtl w:val="0"/>
        </w:rPr>
        <w:t xml:space="preserve">The British Journal of Politics and International Relations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318–334. https://doi.org/10.1177/1369148115612792 </w:t>
      </w:r>
    </w:p>
    <w:p w:rsidR="00000000" w:rsidDel="00000000" w:rsidP="00000000" w:rsidRDefault="00000000" w:rsidRPr="00000000" w14:paraId="000001D0">
      <w:pPr>
        <w:spacing w:after="0" w:before="200" w:line="480" w:lineRule="auto"/>
        <w:ind w:left="720"/>
        <w:rPr/>
      </w:pPr>
      <w:r w:rsidDel="00000000" w:rsidR="00000000" w:rsidRPr="00000000">
        <w:rPr>
          <w:rtl w:val="0"/>
        </w:rPr>
        <w:t xml:space="preserve">Siviş, S. (2022). Who is (un)deserving? Differential healthcare access and the interplay between social and symbolic boundary-drawing towards Syrian refugees in Turkey. </w:t>
      </w:r>
      <w:r w:rsidDel="00000000" w:rsidR="00000000" w:rsidRPr="00000000">
        <w:rPr>
          <w:i w:val="1"/>
          <w:iCs w:val="1"/>
          <w:rtl w:val="0"/>
        </w:rPr>
        <w:t xml:space="preserve">Journal of Ethnic and Migration Studies</w:t>
      </w:r>
      <w:r w:rsidDel="00000000" w:rsidR="00000000" w:rsidRPr="00000000">
        <w:rPr>
          <w:rtl w:val="0"/>
        </w:rPr>
        <w:t xml:space="preserve">, </w:t>
      </w:r>
      <w:r w:rsidDel="00000000" w:rsidR="00000000" w:rsidRPr="00000000">
        <w:rPr>
          <w:i w:val="1"/>
          <w:iCs w:val="1"/>
          <w:rtl w:val="0"/>
        </w:rPr>
        <w:t xml:space="preserve">48</w:t>
      </w:r>
      <w:r w:rsidDel="00000000" w:rsidR="00000000" w:rsidRPr="00000000">
        <w:rPr>
          <w:rtl w:val="0"/>
        </w:rPr>
        <w:t xml:space="preserve">(17), 4029–4048. https://doi.org/10.1080/1369183X.2022.2058470 </w:t>
      </w:r>
    </w:p>
    <w:p w:rsidR="00000000" w:rsidDel="00000000" w:rsidP="00000000" w:rsidRDefault="00000000" w:rsidRPr="00000000" w14:paraId="000001D1">
      <w:pPr>
        <w:spacing w:after="0" w:before="200" w:line="480" w:lineRule="auto"/>
        <w:ind w:left="720"/>
        <w:rPr/>
      </w:pPr>
      <w:r w:rsidDel="00000000" w:rsidR="00000000" w:rsidRPr="00000000">
        <w:rPr>
          <w:rtl w:val="0"/>
        </w:rPr>
        <w:t xml:space="preserve">Summers, K., Edmiston, D., Geiger, B. B., Ingold, J., Scullion, L., de Vries, R., &amp; Young, D. (2025). Claiming deservingness: The durability of social security claimant discourses during the Covid-19 pandemic. </w:t>
      </w:r>
      <w:r w:rsidDel="00000000" w:rsidR="00000000" w:rsidRPr="00000000">
        <w:rPr>
          <w:i w:val="1"/>
          <w:iCs w:val="1"/>
          <w:rtl w:val="0"/>
        </w:rPr>
        <w:t xml:space="preserve">The Sociological Review</w:t>
      </w:r>
      <w:r w:rsidDel="00000000" w:rsidR="00000000" w:rsidRPr="00000000">
        <w:rPr>
          <w:rtl w:val="0"/>
        </w:rPr>
        <w:t xml:space="preserve">, 00380261251336544. https://doi.org/10.1177/00380261251336544 </w:t>
      </w:r>
    </w:p>
    <w:p w:rsidR="00000000" w:rsidDel="00000000" w:rsidP="00000000" w:rsidRDefault="00000000" w:rsidRPr="00000000" w14:paraId="000001D2">
      <w:pPr>
        <w:spacing w:after="0" w:before="200" w:line="480" w:lineRule="auto"/>
        <w:ind w:left="720"/>
        <w:rPr/>
      </w:pPr>
      <w:r w:rsidDel="00000000" w:rsidR="00000000" w:rsidRPr="00000000">
        <w:rPr>
          <w:rtl w:val="0"/>
        </w:rPr>
        <w:t xml:space="preserve">Taylor-Gooby, P., Hvinden, B., Mau, S., Leruth, B., Schoyen, M. A., &amp; Gyory, A. (2019). Moral economies of the welfare state: A qualitative comparative study. </w:t>
      </w:r>
      <w:r w:rsidDel="00000000" w:rsidR="00000000" w:rsidRPr="00000000">
        <w:rPr>
          <w:i w:val="1"/>
          <w:iCs w:val="1"/>
          <w:rtl w:val="0"/>
        </w:rPr>
        <w:t xml:space="preserve">Acta Sociologica</w:t>
      </w:r>
      <w:r w:rsidDel="00000000" w:rsidR="00000000" w:rsidRPr="00000000">
        <w:rPr>
          <w:rtl w:val="0"/>
        </w:rPr>
        <w:t xml:space="preserve">, </w:t>
      </w:r>
      <w:r w:rsidDel="00000000" w:rsidR="00000000" w:rsidRPr="00000000">
        <w:rPr>
          <w:i w:val="1"/>
          <w:iCs w:val="1"/>
          <w:rtl w:val="0"/>
        </w:rPr>
        <w:t xml:space="preserve">62</w:t>
      </w:r>
      <w:r w:rsidDel="00000000" w:rsidR="00000000" w:rsidRPr="00000000">
        <w:rPr>
          <w:rtl w:val="0"/>
        </w:rPr>
        <w:t xml:space="preserve">(2), 119–134. https://doi.org/10.1177/0001699318774835 </w:t>
      </w:r>
    </w:p>
    <w:p w:rsidR="00000000" w:rsidDel="00000000" w:rsidP="00000000" w:rsidRDefault="00000000" w:rsidRPr="00000000" w14:paraId="000001D3">
      <w:pPr>
        <w:spacing w:after="0" w:before="200" w:line="480" w:lineRule="auto"/>
        <w:ind w:left="720"/>
        <w:rPr/>
      </w:pPr>
      <w:r w:rsidDel="00000000" w:rsidR="00000000" w:rsidRPr="00000000">
        <w:rPr>
          <w:rtl w:val="0"/>
        </w:rPr>
        <w:t xml:space="preserve">Theiss, M. (2023). How Does the Content of Deservingness Criteria Differ for More and Less Deserving Target Groups? An Analysis of Polish Online Debates on Refugees and Families with Children.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(4), 962–980. https://doi.org/10.1017/S0047279422000058 </w:t>
      </w:r>
    </w:p>
    <w:p w:rsidR="00000000" w:rsidDel="00000000" w:rsidP="00000000" w:rsidRDefault="00000000" w:rsidRPr="00000000" w14:paraId="000001D4">
      <w:pPr>
        <w:spacing w:after="0" w:before="200" w:line="480" w:lineRule="auto"/>
        <w:ind w:left="720"/>
        <w:rPr/>
      </w:pPr>
      <w:r w:rsidDel="00000000" w:rsidR="00000000" w:rsidRPr="00000000">
        <w:rPr>
          <w:rtl w:val="0"/>
        </w:rPr>
        <w:t xml:space="preserve">Väänänen, N., &amp; Liukko, J. (2022). Justifying a financially and socially sustainable pension reform: A comparative study of Finland and France. </w:t>
      </w:r>
      <w:r w:rsidDel="00000000" w:rsidR="00000000" w:rsidRPr="00000000">
        <w:rPr>
          <w:i w:val="1"/>
          <w:iCs w:val="1"/>
          <w:rtl w:val="0"/>
        </w:rPr>
        <w:t xml:space="preserve">International Journal of Sociology and Social Policy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(5–6), 507–520. https://doi.org/10.1108/IJSSP-04-2022-0091 </w:t>
      </w:r>
    </w:p>
    <w:p w:rsidR="00000000" w:rsidDel="00000000" w:rsidP="00000000" w:rsidRDefault="00000000" w:rsidRPr="00000000" w14:paraId="000001D5">
      <w:pPr>
        <w:spacing w:after="0" w:before="200" w:line="480" w:lineRule="auto"/>
        <w:ind w:left="720"/>
        <w:rPr/>
      </w:pPr>
      <w:r w:rsidDel="00000000" w:rsidR="00000000" w:rsidRPr="00000000">
        <w:rPr>
          <w:rtl w:val="0"/>
        </w:rPr>
        <w:t xml:space="preserve">Van Hootegem, A., Meuleman, B., &amp; Abts, K. (2024). Two faces of benefit generosity: Comparing justice preferences in the access to and level of welfare benefits. </w:t>
      </w:r>
      <w:r w:rsidDel="00000000" w:rsidR="00000000" w:rsidRPr="00000000">
        <w:rPr>
          <w:i w:val="1"/>
          <w:iCs w:val="1"/>
          <w:rtl w:val="0"/>
        </w:rPr>
        <w:t xml:space="preserve">European Sociological Review</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(3), 523–534. https://doi.org/10.1093/esr/jcad053 </w:t>
      </w:r>
    </w:p>
    <w:p w:rsidR="00000000" w:rsidDel="00000000" w:rsidP="00000000" w:rsidRDefault="00000000" w:rsidRPr="00000000" w14:paraId="000001D6">
      <w:pPr>
        <w:spacing w:after="0" w:before="200" w:line="480" w:lineRule="auto"/>
        <w:ind w:left="720"/>
        <w:rPr/>
      </w:pPr>
      <w:r w:rsidDel="00000000" w:rsidR="00000000" w:rsidRPr="00000000">
        <w:rPr>
          <w:rtl w:val="0"/>
        </w:rPr>
        <w:t xml:space="preserve">van Oorschot, W. (2000). Who should get what, and why? On deservingness criteria and the conditionality of solidarity among the public. </w:t>
      </w:r>
      <w:r w:rsidDel="00000000" w:rsidR="00000000" w:rsidRPr="00000000">
        <w:rPr>
          <w:i w:val="1"/>
          <w:iCs w:val="1"/>
          <w:rtl w:val="0"/>
        </w:rPr>
        <w:t xml:space="preserve">Policy &amp; Politics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33–48. https://doi.org/10.1332/0305573002500811 </w:t>
      </w:r>
    </w:p>
    <w:p w:rsidR="00000000" w:rsidDel="00000000" w:rsidP="00000000" w:rsidRDefault="00000000" w:rsidRPr="00000000" w14:paraId="000001D7">
      <w:pPr>
        <w:spacing w:after="0" w:before="200" w:line="480" w:lineRule="auto"/>
        <w:ind w:left="720"/>
        <w:rPr/>
      </w:pPr>
      <w:r w:rsidDel="00000000" w:rsidR="00000000" w:rsidRPr="00000000">
        <w:rPr>
          <w:rtl w:val="0"/>
        </w:rPr>
        <w:t xml:space="preserve">van Oorschot, W. (2006). Making the difference in social Europe: Deservingness perceptions among                citizens of European welfare states. </w:t>
      </w:r>
      <w:r w:rsidDel="00000000" w:rsidR="00000000" w:rsidRPr="00000000">
        <w:rPr>
          <w:i w:val="1"/>
          <w:iCs w:val="1"/>
          <w:rtl w:val="0"/>
        </w:rPr>
        <w:t xml:space="preserve">Journal of European Social Policy</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23–42. https://doi.org/10.1177/0958928706059829 </w:t>
      </w:r>
    </w:p>
    <w:p w:rsidR="00000000" w:rsidDel="00000000" w:rsidP="00000000" w:rsidRDefault="00000000" w:rsidRPr="00000000" w14:paraId="000001D8">
      <w:pPr>
        <w:spacing w:after="0" w:before="200" w:line="480" w:lineRule="auto"/>
        <w:ind w:left="720"/>
        <w:rPr/>
      </w:pPr>
      <w:r w:rsidDel="00000000" w:rsidR="00000000" w:rsidRPr="00000000">
        <w:rPr>
          <w:rtl w:val="0"/>
        </w:rPr>
        <w:t xml:space="preserve">van Oorschot, W., Laenen, T., Roosma, F., &amp; Meuleman, B. (2022). Recent advances in understanding welfare attitudes in Europe. En </w:t>
      </w:r>
      <w:r w:rsidDel="00000000" w:rsidR="00000000" w:rsidRPr="00000000">
        <w:rPr>
          <w:i w:val="1"/>
          <w:iCs w:val="1"/>
          <w:rtl w:val="0"/>
        </w:rPr>
        <w:t xml:space="preserve">Social Policy in Changing European Societies</w:t>
      </w:r>
      <w:r w:rsidDel="00000000" w:rsidR="00000000" w:rsidRPr="00000000">
        <w:rPr>
          <w:rtl w:val="0"/>
        </w:rPr>
        <w:t xml:space="preserve"> (pp. 202–217). Edward Elgar Publishing. https://www.elgaronline.com/edcollchap-oa/book/9781802201710/book-part-9781802201710-21.xml </w:t>
      </w:r>
    </w:p>
    <w:p w:rsidR="00000000" w:rsidDel="00000000" w:rsidP="00000000" w:rsidRDefault="00000000" w:rsidRPr="00000000" w14:paraId="000001D9">
      <w:pPr>
        <w:spacing w:after="0" w:before="200" w:line="480" w:lineRule="auto"/>
        <w:ind w:left="720"/>
        <w:rPr/>
      </w:pPr>
      <w:r w:rsidDel="00000000" w:rsidR="00000000" w:rsidRPr="00000000">
        <w:rPr>
          <w:rtl w:val="0"/>
        </w:rPr>
        <w:t xml:space="preserve">Vela, J. (2025). El Sistema de Pensiones chileno posreforma 2025: ¿cuánto queda de neoliberalismo? </w:t>
      </w:r>
      <w:r w:rsidDel="00000000" w:rsidR="00000000" w:rsidRPr="00000000">
        <w:rPr>
          <w:i w:val="1"/>
          <w:iCs w:val="1"/>
          <w:rtl w:val="0"/>
        </w:rPr>
        <w:t xml:space="preserve">Estudios Públicos</w:t>
      </w:r>
      <w:r w:rsidDel="00000000" w:rsidR="00000000" w:rsidRPr="00000000">
        <w:rPr>
          <w:rtl w:val="0"/>
        </w:rPr>
        <w:t xml:space="preserve">, 1–45. https://doi.org/10.38178/07183089/1157240905 </w:t>
      </w:r>
    </w:p>
    <w:p w:rsidR="00000000" w:rsidDel="00000000" w:rsidP="00000000" w:rsidRDefault="00000000" w:rsidRPr="00000000" w14:paraId="000001DA">
      <w:pPr>
        <w:spacing w:after="0" w:before="200" w:line="480" w:lineRule="auto"/>
        <w:ind w:left="720"/>
        <w:rPr/>
      </w:pPr>
      <w:r w:rsidDel="00000000" w:rsidR="00000000" w:rsidRPr="00000000">
        <w:rPr>
          <w:rtl w:val="0"/>
        </w:rPr>
        <w:t xml:space="preserve">Wiggan, J. (2012). Telling stories of 21st century welfare: The UK Coalition government and the neo-liberal discourse of worklessness and dependency. </w:t>
      </w:r>
      <w:r w:rsidDel="00000000" w:rsidR="00000000" w:rsidRPr="00000000">
        <w:rPr>
          <w:i w:val="1"/>
          <w:iCs w:val="1"/>
          <w:rtl w:val="0"/>
        </w:rPr>
        <w:t xml:space="preserve">Critical Social Policy</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(3), 383–405. https://doi.org/10.1177/0261018312444413 </w:t>
      </w:r>
    </w:p>
    <w:p w:rsidR="00000000" w:rsidDel="00000000" w:rsidP="00000000" w:rsidRDefault="00000000" w:rsidRPr="00000000" w14:paraId="000001DB">
      <w:pPr>
        <w:spacing w:after="0" w:before="200" w:line="480" w:lineRule="auto"/>
        <w:ind w:left="720"/>
        <w:rPr/>
      </w:pPr>
      <w:r w:rsidDel="00000000" w:rsidR="00000000" w:rsidRPr="00000000">
        <w:rPr>
          <w:rtl w:val="0"/>
        </w:rPr>
        <w:t xml:space="preserve">Wiß, T., Fernández, J. J., &amp; Anderson, K. M. (2025). Attitudes towards the public-private mix for retirement income in Europe. </w:t>
      </w:r>
      <w:r w:rsidDel="00000000" w:rsidR="00000000" w:rsidRPr="00000000">
        <w:rPr>
          <w:i w:val="1"/>
          <w:iCs w:val="1"/>
          <w:rtl w:val="0"/>
        </w:rPr>
        <w:t xml:space="preserve">Journal of European Social Policy</w:t>
      </w:r>
      <w:r w:rsidDel="00000000" w:rsidR="00000000" w:rsidRPr="00000000">
        <w:rPr>
          <w:rtl w:val="0"/>
        </w:rPr>
        <w:t xml:space="preserve">, 09589287251345904. https://doi.org/10.1177/09589287251345904 </w:t>
      </w:r>
      <w:r w:rsidDel="00000000" w:rsidR="00000000" w:rsidRPr="00000000">
        <w:rPr>
          <w:rtl w:val="0"/>
        </w:rPr>
      </w:r>
    </w:p>
    <w:p w:rsidR="00000000" w:rsidDel="00000000" w:rsidP="00000000" w:rsidRDefault="00000000" w:rsidRPr="00000000" w14:paraId="000001DC">
      <w:pPr>
        <w:spacing w:after="0" w:before="200" w:line="480" w:lineRule="auto"/>
        <w:ind w:left="0" w:firstLine="0"/>
        <w:rPr/>
      </w:pPr>
      <w:r w:rsidDel="00000000" w:rsidR="00000000" w:rsidRPr="00000000">
        <w:rPr>
          <w:rtl w:val="0"/>
        </w:rPr>
      </w:r>
    </w:p>
    <w:p w:rsidR="00000000" w:rsidDel="00000000" w:rsidP="00000000" w:rsidRDefault="00000000" w:rsidRPr="00000000" w14:paraId="000001DD">
      <w:pPr>
        <w:pStyle w:val="Heading2"/>
        <w:spacing w:line="480" w:lineRule="auto"/>
        <w:ind w:left="0" w:firstLine="0"/>
        <w:rPr/>
      </w:pPr>
      <w:bookmarkStart w:colFirst="0" w:colLast="0" w:name="_8i3256c8q962" w:id="19"/>
      <w:bookmarkEnd w:id="19"/>
      <w:r w:rsidDel="00000000" w:rsidR="00000000" w:rsidRPr="00000000">
        <w:rPr>
          <w:rtl w:val="0"/>
        </w:rPr>
      </w:r>
    </w:p>
    <w:p w:rsidR="00000000" w:rsidDel="00000000" w:rsidP="00000000" w:rsidRDefault="00000000" w:rsidRPr="00000000" w14:paraId="000001DE">
      <w:pPr>
        <w:pStyle w:val="Heading2"/>
        <w:spacing w:line="480" w:lineRule="auto"/>
        <w:ind w:left="0" w:firstLine="0"/>
        <w:rPr/>
      </w:pPr>
      <w:bookmarkStart w:colFirst="0" w:colLast="0" w:name="_c5096m6ce10n" w:id="20"/>
      <w:bookmarkEnd w:id="20"/>
      <w:r w:rsidDel="00000000" w:rsidR="00000000" w:rsidRPr="00000000">
        <w:rPr>
          <w:rtl w:val="0"/>
        </w:rPr>
      </w:r>
    </w:p>
    <w:p w:rsidR="00000000" w:rsidDel="00000000" w:rsidP="00000000" w:rsidRDefault="00000000" w:rsidRPr="00000000" w14:paraId="000001DF">
      <w:pPr>
        <w:pStyle w:val="Heading2"/>
        <w:spacing w:line="480" w:lineRule="auto"/>
        <w:ind w:left="0" w:firstLine="0"/>
        <w:rPr/>
      </w:pPr>
      <w:bookmarkStart w:colFirst="0" w:colLast="0" w:name="_q75z63fjcei7" w:id="21"/>
      <w:bookmarkEnd w:id="21"/>
      <w:r w:rsidDel="00000000" w:rsidR="00000000" w:rsidRPr="00000000">
        <w:rPr>
          <w:rtl w:val="0"/>
        </w:rPr>
      </w:r>
    </w:p>
    <w:p w:rsidR="00000000" w:rsidDel="00000000" w:rsidP="00000000" w:rsidRDefault="00000000" w:rsidRPr="00000000" w14:paraId="000001E0">
      <w:pPr>
        <w:pStyle w:val="Heading2"/>
        <w:spacing w:line="480" w:lineRule="auto"/>
        <w:ind w:left="0" w:firstLine="0"/>
        <w:rPr/>
      </w:pPr>
      <w:bookmarkStart w:colFirst="0" w:colLast="0" w:name="_cgw1989s2qql" w:id="22"/>
      <w:bookmarkEnd w:id="22"/>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line="480" w:lineRule="auto"/>
        <w:ind w:left="0" w:firstLine="0"/>
        <w:rPr/>
      </w:pPr>
      <w:bookmarkStart w:colFirst="0" w:colLast="0" w:name="_p0bats51zxcu" w:id="23"/>
      <w:bookmarkEnd w:id="23"/>
      <w:r w:rsidDel="00000000" w:rsidR="00000000" w:rsidRPr="00000000">
        <w:rPr>
          <w:rtl w:val="0"/>
        </w:rPr>
        <w:t xml:space="preserve">8. Material Suplementario</w:t>
      </w:r>
    </w:p>
    <w:p w:rsidR="00000000" w:rsidDel="00000000" w:rsidP="00000000" w:rsidRDefault="00000000" w:rsidRPr="00000000" w14:paraId="000001E3">
      <w:pPr>
        <w:pStyle w:val="Heading3"/>
        <w:rPr/>
      </w:pPr>
      <w:bookmarkStart w:colFirst="0" w:colLast="0" w:name="_l2n0l53qexjw" w:id="24"/>
      <w:bookmarkEnd w:id="24"/>
      <w:r w:rsidDel="00000000" w:rsidR="00000000" w:rsidRPr="00000000">
        <w:rPr>
          <w:rtl w:val="0"/>
        </w:rPr>
        <w:t xml:space="preserve">8.1 Anexo 1: Libro de códigos</w:t>
      </w:r>
    </w:p>
    <w:p w:rsidR="00000000" w:rsidDel="00000000" w:rsidP="00000000" w:rsidRDefault="00000000" w:rsidRPr="00000000" w14:paraId="000001E4">
      <w:pPr>
        <w:pStyle w:val="Heading3"/>
        <w:rPr/>
      </w:pPr>
      <w:bookmarkStart w:colFirst="0" w:colLast="0" w:name="_jzfnw5d54et4" w:id="25"/>
      <w:bookmarkEnd w:id="25"/>
      <w:hyperlink r:id="rId15">
        <w:r w:rsidDel="00000000" w:rsidR="00000000" w:rsidRPr="00000000">
          <w:rPr>
            <w:color w:val="0000ee"/>
            <w:u w:val="single"/>
            <w:rtl w:val="0"/>
          </w:rPr>
          <w:t xml:space="preserve">codebook_v5.xlsm</w:t>
        </w:r>
      </w:hyperlink>
      <w:r w:rsidDel="00000000" w:rsidR="00000000" w:rsidRPr="00000000">
        <w:rPr>
          <w:rtl w:val="0"/>
        </w:rPr>
      </w:r>
    </w:p>
    <w:p w:rsidR="00000000" w:rsidDel="00000000" w:rsidP="00000000" w:rsidRDefault="00000000" w:rsidRPr="00000000" w14:paraId="000001E5">
      <w:pPr>
        <w:pStyle w:val="Heading3"/>
        <w:rPr/>
      </w:pPr>
      <w:bookmarkStart w:colFirst="0" w:colLast="0" w:name="_l6k0tbqgld50" w:id="26"/>
      <w:bookmarkEnd w:id="26"/>
      <w:r w:rsidDel="00000000" w:rsidR="00000000" w:rsidRPr="00000000">
        <w:rPr>
          <w:rtl w:val="0"/>
        </w:rPr>
        <w:t xml:space="preserve">8.2 Anexo 2: Prompt utilizado</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Eres un anotador de justificaciones normativas en debates legislativos chilenos sobre pensiones. Tu tarea es aplicar de manera estricta y reproducible el libro de códigos incluido al final de estas instrucciones.</w:t>
      </w:r>
    </w:p>
    <w:p w:rsidR="00000000" w:rsidDel="00000000" w:rsidP="00000000" w:rsidRDefault="00000000" w:rsidRPr="00000000" w14:paraId="000001E7">
      <w:pPr>
        <w:rPr/>
      </w:pPr>
      <w:r w:rsidDel="00000000" w:rsidR="00000000" w:rsidRPr="00000000">
        <w:rPr>
          <w:rtl w:val="0"/>
        </w:rPr>
        <w:t xml:space="preserve">ALCANCE</w:t>
      </w:r>
    </w:p>
    <w:p w:rsidR="00000000" w:rsidDel="00000000" w:rsidP="00000000" w:rsidRDefault="00000000" w:rsidRPr="00000000" w14:paraId="000001E8">
      <w:pPr>
        <w:rPr/>
      </w:pPr>
      <w:r w:rsidDel="00000000" w:rsidR="00000000" w:rsidRPr="00000000">
        <w:rPr>
          <w:rtl w:val="0"/>
        </w:rPr>
        <w:t xml:space="preserve">Codifica una declaración cuando el </w:t>
      </w:r>
      <w:r w:rsidDel="00000000" w:rsidR="00000000" w:rsidRPr="00000000">
        <w:rPr>
          <w:rFonts w:ascii="Roboto Mono" w:cs="Roboto Mono" w:eastAsia="Roboto Mono" w:hAnsi="Roboto Mono"/>
          <w:color w:val="188038"/>
          <w:rtl w:val="0"/>
        </w:rPr>
        <w:t xml:space="preserve">target_text</w:t>
      </w:r>
      <w:r w:rsidDel="00000000" w:rsidR="00000000" w:rsidRPr="00000000">
        <w:rPr>
          <w:rtl w:val="0"/>
        </w:rPr>
        <w:t xml:space="preserve"> contiene una razón normativa que justifica cómo debe organizarse, asignarse, ampliarse, restringirse, financiarse o legitimarse la protección previsional. Debe existir una conexión defendible entre una premisa valorativa y una consecuencia para la política previsional.</w:t>
      </w:r>
    </w:p>
    <w:p w:rsidR="00000000" w:rsidDel="00000000" w:rsidP="00000000" w:rsidRDefault="00000000" w:rsidRPr="00000000" w14:paraId="000001E9">
      <w:pPr>
        <w:rPr/>
      </w:pPr>
      <w:r w:rsidDel="00000000" w:rsidR="00000000" w:rsidRPr="00000000">
        <w:rPr>
          <w:rtl w:val="0"/>
        </w:rPr>
        <w:t xml:space="preserve">No codifiques como declaración normativa:</w:t>
      </w:r>
    </w:p>
    <w:p w:rsidR="00000000" w:rsidDel="00000000" w:rsidP="00000000" w:rsidRDefault="00000000" w:rsidRPr="00000000" w14:paraId="000001EA">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una descripción, cifra, diagnóstico o antecedente histórico sin consecuencia justificativa;</w:t>
      </w:r>
    </w:p>
    <w:p w:rsidR="00000000" w:rsidDel="00000000" w:rsidP="00000000" w:rsidRDefault="00000000" w:rsidRPr="00000000" w14:paraId="000001EB">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nombre de una institución, mecanismo o concepto sin una razón normativa;</w:t>
      </w:r>
    </w:p>
    <w:p w:rsidR="00000000" w:rsidDel="00000000" w:rsidP="00000000" w:rsidRDefault="00000000" w:rsidRPr="00000000" w14:paraId="000001EC">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una preferencia, anuncio, voto o crítica política que no explique por qué una alternativa es correcta, legítima, justa o viable;</w:t>
      </w:r>
    </w:p>
    <w:p w:rsidR="00000000" w:rsidDel="00000000" w:rsidP="00000000" w:rsidRDefault="00000000" w:rsidRPr="00000000" w14:paraId="000001ED">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actos procedimentales, agradecimientos, saludos, llamados al orden o referencias a la tramitación;</w:t>
      </w:r>
    </w:p>
    <w:p w:rsidR="00000000" w:rsidDel="00000000" w:rsidP="00000000" w:rsidRDefault="00000000" w:rsidRPr="00000000" w14:paraId="000001EE">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una razón que aparece solo en </w:t>
      </w:r>
      <w:r w:rsidDel="00000000" w:rsidR="00000000" w:rsidRPr="00000000">
        <w:rPr>
          <w:rFonts w:ascii="Roboto Mono" w:cs="Roboto Mono" w:eastAsia="Roboto Mono" w:hAnsi="Roboto Mono"/>
          <w:color w:val="188038"/>
          <w:rtl w:val="0"/>
        </w:rPr>
        <w:t xml:space="preserve">previous_context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next_context</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GLOSARIO DE SIGLAS</w:t>
      </w:r>
    </w:p>
    <w:p w:rsidR="00000000" w:rsidDel="00000000" w:rsidP="00000000" w:rsidRDefault="00000000" w:rsidRPr="00000000" w14:paraId="000001F0">
      <w:pPr>
        <w:rPr/>
      </w:pPr>
      <w:r w:rsidDel="00000000" w:rsidR="00000000" w:rsidRPr="00000000">
        <w:rPr>
          <w:rtl w:val="0"/>
        </w:rPr>
        <w:t xml:space="preserve">Interpreta las siguientes siglas según su significado institucional en el sistema previsional chileno:</w:t>
      </w:r>
    </w:p>
    <w:p w:rsidR="00000000" w:rsidDel="00000000" w:rsidP="00000000" w:rsidRDefault="00000000" w:rsidRPr="00000000" w14:paraId="000001F1">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PGU: Pensión Garantizada Universal;</w:t>
      </w:r>
    </w:p>
    <w:p w:rsidR="00000000" w:rsidDel="00000000" w:rsidP="00000000" w:rsidRDefault="00000000" w:rsidRPr="00000000" w14:paraId="000001F2">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APV: Ahorro Previsional Voluntario;</w:t>
      </w:r>
    </w:p>
    <w:p w:rsidR="00000000" w:rsidDel="00000000" w:rsidP="00000000" w:rsidRDefault="00000000" w:rsidRPr="00000000" w14:paraId="000001F3">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SIS: Seguro de Invalidez y Sobrevivencia;</w:t>
      </w:r>
    </w:p>
    <w:p w:rsidR="00000000" w:rsidDel="00000000" w:rsidP="00000000" w:rsidRDefault="00000000" w:rsidRPr="00000000" w14:paraId="000001F4">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DIPRECA: Dirección de Previsión de Carabineros de Chile;</w:t>
      </w:r>
    </w:p>
    <w:p w:rsidR="00000000" w:rsidDel="00000000" w:rsidP="00000000" w:rsidRDefault="00000000" w:rsidRPr="00000000" w14:paraId="000001F5">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CAPREDENA: Caja de Previsión de la Defensa Nacional;</w:t>
      </w:r>
    </w:p>
    <w:p w:rsidR="00000000" w:rsidDel="00000000" w:rsidP="00000000" w:rsidRDefault="00000000" w:rsidRPr="00000000" w14:paraId="000001F6">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AFP o AFPs: administradora o administradoras de fondos de pensiones.</w:t>
      </w:r>
    </w:p>
    <w:p w:rsidR="00000000" w:rsidDel="00000000" w:rsidP="00000000" w:rsidRDefault="00000000" w:rsidRPr="00000000" w14:paraId="000001F7">
      <w:pPr>
        <w:rPr/>
      </w:pPr>
      <w:r w:rsidDel="00000000" w:rsidR="00000000" w:rsidRPr="00000000">
        <w:rPr>
          <w:rtl w:val="0"/>
        </w:rPr>
        <w:t xml:space="preserve">Estas equivalencias son únicamente ayudas para interpretar el texto. La presencia de una sigla o de la institución correspondiente no constituye por sí misma una justificación normativa ni activa automáticamente ningún código. Aplica los criterios de </w:t>
      </w:r>
      <w:r w:rsidDel="00000000" w:rsidR="00000000" w:rsidRPr="00000000">
        <w:rPr>
          <w:rFonts w:ascii="Roboto Mono" w:cs="Roboto Mono" w:eastAsia="Roboto Mono" w:hAnsi="Roboto Mono"/>
          <w:color w:val="188038"/>
          <w:rtl w:val="0"/>
        </w:rPr>
        <w:t xml:space="preserve">ALCANCE</w:t>
      </w:r>
      <w:r w:rsidDel="00000000" w:rsidR="00000000" w:rsidRPr="00000000">
        <w:rPr>
          <w:rtl w:val="0"/>
        </w:rPr>
        <w:t xml:space="preserve"> y las definiciones del libro de códigos a la proposición completa.</w:t>
      </w:r>
    </w:p>
    <w:p w:rsidR="00000000" w:rsidDel="00000000" w:rsidP="00000000" w:rsidRDefault="00000000" w:rsidRPr="00000000" w14:paraId="000001F8">
      <w:pPr>
        <w:rPr/>
      </w:pPr>
      <w:r w:rsidDel="00000000" w:rsidR="00000000" w:rsidRPr="00000000">
        <w:rPr>
          <w:rtl w:val="0"/>
        </w:rPr>
        <w:t xml:space="preserve">LIBRO CERRADO</w:t>
      </w:r>
    </w:p>
    <w:p w:rsidR="00000000" w:rsidDel="00000000" w:rsidP="00000000" w:rsidRDefault="00000000" w:rsidRPr="00000000" w14:paraId="000001F9">
      <w:pPr>
        <w:rPr/>
      </w:pPr>
      <w:r w:rsidDel="00000000" w:rsidR="00000000" w:rsidRPr="00000000">
        <w:rPr>
          <w:rtl w:val="0"/>
        </w:rPr>
        <w:t xml:space="preserve">Usa exclusivamente los IDs incluidos en el libro de códigos. No propongas, inventes, renombres ni combines categorías. Si una justificación explícita no encaja razonablemente en ningún concepto, no la fuerces dentro de un código. En ese caso solo codifica otras declaraciones del objetivo que sí estén cubiertas; si ninguna lo está, usa </w:t>
      </w:r>
      <w:r w:rsidDel="00000000" w:rsidR="00000000" w:rsidRPr="00000000">
        <w:rPr>
          <w:rFonts w:ascii="Roboto Mono" w:cs="Roboto Mono" w:eastAsia="Roboto Mono" w:hAnsi="Roboto Mono"/>
          <w:color w:val="188038"/>
          <w:rtl w:val="0"/>
        </w:rPr>
        <w:t xml:space="preserve">decision="no_statements"</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Aplica primero la definición y el </w:t>
      </w:r>
      <w:r w:rsidDel="00000000" w:rsidR="00000000" w:rsidRPr="00000000">
        <w:rPr>
          <w:rFonts w:ascii="Roboto Mono" w:cs="Roboto Mono" w:eastAsia="Roboto Mono" w:hAnsi="Roboto Mono"/>
          <w:color w:val="188038"/>
          <w:rtl w:val="0"/>
        </w:rPr>
        <w:t xml:space="preserve">orientation_anchor</w:t>
      </w:r>
      <w:r w:rsidDel="00000000" w:rsidR="00000000" w:rsidRPr="00000000">
        <w:rPr>
          <w:rtl w:val="0"/>
        </w:rPr>
        <w:t xml:space="preserve">; usa las reglas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exclude</w:t>
      </w:r>
      <w:r w:rsidDel="00000000" w:rsidR="00000000" w:rsidRPr="00000000">
        <w:rPr>
          <w:rtl w:val="0"/>
        </w:rPr>
        <w:t xml:space="preserve"> para resolver fronteras. Una coincidencia temática o léxica no basta. Las exclusiones tienen prioridad cuando describen exactamente el caso. No transformes automáticamente palabras como «solidaridad», «igualdad», «libertad», «responsabilidad», «propiedad», «sostenibilidad» o «acuerdo» en códigos.</w:t>
      </w:r>
    </w:p>
    <w:p w:rsidR="00000000" w:rsidDel="00000000" w:rsidP="00000000" w:rsidRDefault="00000000" w:rsidRPr="00000000" w14:paraId="000001FB">
      <w:pPr>
        <w:rPr/>
      </w:pPr>
      <w:r w:rsidDel="00000000" w:rsidR="00000000" w:rsidRPr="00000000">
        <w:rPr>
          <w:rtl w:val="0"/>
        </w:rPr>
        <w:t xml:space="preserve">Codifica la justificación normativa, no el mecanismo por sí solo. Que una reforma use reparto, seguro social, un fondo común, impuestos, aportes estatales o financiamiento colectivo no activa automáticamente un código distributivo. En particular, Solidaridad como deber colectivo (</w:t>
      </w:r>
      <w:r w:rsidDel="00000000" w:rsidR="00000000" w:rsidRPr="00000000">
        <w:rPr>
          <w:rFonts w:ascii="Roboto Mono" w:cs="Roboto Mono" w:eastAsia="Roboto Mono" w:hAnsi="Roboto Mono"/>
          <w:color w:val="188038"/>
          <w:rtl w:val="0"/>
        </w:rPr>
        <w:t xml:space="preserve">solidaridad_previsional_colectiva</w:t>
      </w:r>
      <w:r w:rsidDel="00000000" w:rsidR="00000000" w:rsidRPr="00000000">
        <w:rPr>
          <w:rtl w:val="0"/>
        </w:rPr>
        <w:t xml:space="preserve">) exige que la evidencia formule un deber de apoyo mutuo o de compartir sacrificios, cargas, recursos o riesgos. No basta describir o defender una política denominada solidaria.</w:t>
      </w:r>
    </w:p>
    <w:p w:rsidR="00000000" w:rsidDel="00000000" w:rsidP="00000000" w:rsidRDefault="00000000" w:rsidRPr="00000000" w14:paraId="000001FC">
      <w:pPr>
        <w:rPr/>
      </w:pPr>
      <w:r w:rsidDel="00000000" w:rsidR="00000000" w:rsidRPr="00000000">
        <w:rPr>
          <w:rtl w:val="0"/>
        </w:rPr>
        <w:t xml:space="preserve">UNIDAD Y EVIDENCIA</w:t>
      </w:r>
    </w:p>
    <w:p w:rsidR="00000000" w:rsidDel="00000000" w:rsidP="00000000" w:rsidRDefault="00000000" w:rsidRPr="00000000" w14:paraId="000001FD">
      <w:pPr>
        <w:rPr/>
      </w:pPr>
      <w:r w:rsidDel="00000000" w:rsidR="00000000" w:rsidRPr="00000000">
        <w:rPr>
          <w:rtl w:val="0"/>
        </w:rPr>
        <w:t xml:space="preserve">La unidad codificable es una proposición normativa expresada en el </w:t>
      </w:r>
      <w:r w:rsidDel="00000000" w:rsidR="00000000" w:rsidRPr="00000000">
        <w:rPr>
          <w:rFonts w:ascii="Roboto Mono" w:cs="Roboto Mono" w:eastAsia="Roboto Mono" w:hAnsi="Roboto Mono"/>
          <w:color w:val="188038"/>
          <w:rtl w:val="0"/>
        </w:rPr>
        <w:t xml:space="preserve">target_text</w:t>
      </w:r>
      <w:r w:rsidDel="00000000" w:rsidR="00000000" w:rsidRPr="00000000">
        <w:rPr>
          <w:rtl w:val="0"/>
        </w:rPr>
        <w:t xml:space="preserve">. Si el objetivo contiene varias proposiciones codificables, registra cada una por separado. No dupliques una misma proposición con el mismo código y orientación.</w:t>
      </w:r>
    </w:p>
    <w:p w:rsidR="00000000" w:rsidDel="00000000" w:rsidP="00000000" w:rsidRDefault="00000000" w:rsidRPr="00000000" w14:paraId="000001FE">
      <w:pPr>
        <w:rPr/>
      </w:pPr>
      <w:r w:rsidDel="00000000" w:rsidR="00000000" w:rsidRPr="00000000">
        <w:rPr>
          <w:rtl w:val="0"/>
        </w:rPr>
        <w:t xml:space="preserve">Para cada anotación:</w:t>
      </w:r>
    </w:p>
    <w:p w:rsidR="00000000" w:rsidDel="00000000" w:rsidP="00000000" w:rsidRDefault="00000000" w:rsidRPr="00000000" w14:paraId="000001FF">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Copia en </w:t>
      </w:r>
      <w:r w:rsidDel="00000000" w:rsidR="00000000" w:rsidRPr="00000000">
        <w:rPr>
          <w:rFonts w:ascii="Roboto Mono" w:cs="Roboto Mono" w:eastAsia="Roboto Mono" w:hAnsi="Roboto Mono"/>
          <w:color w:val="188038"/>
          <w:rtl w:val="0"/>
        </w:rPr>
        <w:t xml:space="preserve">evidence_text</w:t>
      </w:r>
      <w:r w:rsidDel="00000000" w:rsidR="00000000" w:rsidRPr="00000000">
        <w:rPr>
          <w:rtl w:val="0"/>
        </w:rPr>
        <w:t xml:space="preserve"> la subcadena literal mínima del </w:t>
      </w:r>
      <w:r w:rsidDel="00000000" w:rsidR="00000000" w:rsidRPr="00000000">
        <w:rPr>
          <w:rFonts w:ascii="Roboto Mono" w:cs="Roboto Mono" w:eastAsia="Roboto Mono" w:hAnsi="Roboto Mono"/>
          <w:color w:val="188038"/>
          <w:rtl w:val="0"/>
        </w:rPr>
        <w:t xml:space="preserve">target_text</w:t>
      </w:r>
      <w:r w:rsidDel="00000000" w:rsidR="00000000" w:rsidRPr="00000000">
        <w:rPr>
          <w:rtl w:val="0"/>
        </w:rPr>
        <w:t xml:space="preserve"> que permita reconocer la razón y su sentido. Puede contener más de una oración si eso es indispensable.</w:t>
      </w:r>
    </w:p>
    <w:p w:rsidR="00000000" w:rsidDel="00000000" w:rsidP="00000000" w:rsidRDefault="00000000" w:rsidRPr="00000000" w14:paraId="00000200">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corrijas ortografía, espacios, mayúsculas, puntuación ni saltos de línea.</w:t>
      </w:r>
    </w:p>
    <w:p w:rsidR="00000000" w:rsidDel="00000000" w:rsidP="00000000" w:rsidRDefault="00000000" w:rsidRPr="00000000" w14:paraId="00000201">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esa subcadena aparece más de una vez, indica en </w:t>
      </w:r>
      <w:r w:rsidDel="00000000" w:rsidR="00000000" w:rsidRPr="00000000">
        <w:rPr>
          <w:rFonts w:ascii="Roboto Mono" w:cs="Roboto Mono" w:eastAsia="Roboto Mono" w:hAnsi="Roboto Mono"/>
          <w:color w:val="188038"/>
          <w:rtl w:val="0"/>
        </w:rPr>
        <w:t xml:space="preserve">evidence_occurrence</w:t>
      </w:r>
      <w:r w:rsidDel="00000000" w:rsidR="00000000" w:rsidRPr="00000000">
        <w:rPr>
          <w:rtl w:val="0"/>
        </w:rPr>
        <w:t xml:space="preserve"> su aparición empezando en 1; en otro caso usa 1.</w:t>
      </w:r>
    </w:p>
    <w:p w:rsidR="00000000" w:rsidDel="00000000" w:rsidP="00000000" w:rsidRDefault="00000000" w:rsidRPr="00000000" w14:paraId="00000202">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evidencia debe provenir siempre del objetivo. El contexto adyacente solo puede ayudar a resolver una referencia o el alcance de una negación; nunca crea una anotación ausente del objetivo.</w:t>
      </w:r>
    </w:p>
    <w:p w:rsidR="00000000" w:rsidDel="00000000" w:rsidP="00000000" w:rsidRDefault="00000000" w:rsidRPr="00000000" w14:paraId="00000203">
      <w:pPr>
        <w:rPr/>
      </w:pPr>
      <w:r w:rsidDel="00000000" w:rsidR="00000000" w:rsidRPr="00000000">
        <w:rPr>
          <w:rtl w:val="0"/>
        </w:rPr>
        <w:t xml:space="preserve">SOLAPAMIENTO</w:t>
      </w:r>
    </w:p>
    <w:p w:rsidR="00000000" w:rsidDel="00000000" w:rsidP="00000000" w:rsidRDefault="00000000" w:rsidRPr="00000000" w14:paraId="00000204">
      <w:pPr>
        <w:rPr/>
      </w:pPr>
      <w:r w:rsidDel="00000000" w:rsidR="00000000" w:rsidRPr="00000000">
        <w:rPr>
          <w:rtl w:val="0"/>
        </w:rPr>
        <w:t xml:space="preserve">Una misma evidencia puede recibir más de un concepto solo cuando expresa razones normativas distintas y cada código satisface por separado su definición. No añadas códigos por asociación temática, por enumerar alternativas cercanas ni por repetir la misma explicación con etiquetas diferentes.</w:t>
      </w:r>
    </w:p>
    <w:p w:rsidR="00000000" w:rsidDel="00000000" w:rsidP="00000000" w:rsidRDefault="00000000" w:rsidRPr="00000000" w14:paraId="00000205">
      <w:pPr>
        <w:rPr/>
      </w:pPr>
      <w:r w:rsidDel="00000000" w:rsidR="00000000" w:rsidRPr="00000000">
        <w:rPr>
          <w:rtl w:val="0"/>
        </w:rPr>
        <w:t xml:space="preserve">ORIENTACIÓN (</w:t>
      </w:r>
      <w:r w:rsidDel="00000000" w:rsidR="00000000" w:rsidRPr="00000000">
        <w:rPr>
          <w:rFonts w:ascii="Roboto Mono" w:cs="Roboto Mono" w:eastAsia="Roboto Mono" w:hAnsi="Roboto Mono"/>
          <w:color w:val="188038"/>
          <w:rtl w:val="0"/>
        </w:rPr>
        <w:t xml:space="preserve">stance</w:t>
      </w: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Usa exclusivamente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u </w:t>
      </w:r>
      <w:r w:rsidDel="00000000" w:rsidR="00000000" w:rsidRPr="00000000">
        <w:rPr>
          <w:rFonts w:ascii="Roboto Mono" w:cs="Roboto Mono" w:eastAsia="Roboto Mono" w:hAnsi="Roboto Mono"/>
          <w:color w:val="188038"/>
          <w:rtl w:val="0"/>
        </w:rPr>
        <w:t xml:space="preserve">oppose</w:t>
      </w:r>
      <w:r w:rsidDel="00000000" w:rsidR="00000000" w:rsidRPr="00000000">
        <w:rPr>
          <w:rtl w:val="0"/>
        </w:rPr>
        <w:t xml:space="preserve">, siempre respecto del </w:t>
      </w:r>
      <w:r w:rsidDel="00000000" w:rsidR="00000000" w:rsidRPr="00000000">
        <w:rPr>
          <w:rFonts w:ascii="Roboto Mono" w:cs="Roboto Mono" w:eastAsia="Roboto Mono" w:hAnsi="Roboto Mono"/>
          <w:color w:val="188038"/>
          <w:rtl w:val="0"/>
        </w:rPr>
        <w:t xml:space="preserve">orientation_anchor</w:t>
      </w:r>
      <w:r w:rsidDel="00000000" w:rsidR="00000000" w:rsidRPr="00000000">
        <w:rPr>
          <w:rtl w:val="0"/>
        </w:rPr>
        <w:t xml:space="preserve"> del concepto elegido:</w:t>
      </w:r>
    </w:p>
    <w:p w:rsidR="00000000" w:rsidDel="00000000" w:rsidP="00000000" w:rsidRDefault="00000000" w:rsidRPr="00000000" w14:paraId="00000207">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la evidencia afirma, defiende o presupone la proposición del ancla;</w:t>
      </w:r>
    </w:p>
    <w:p w:rsidR="00000000" w:rsidDel="00000000" w:rsidP="00000000" w:rsidRDefault="00000000" w:rsidRPr="00000000" w14:paraId="00000208">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oppose</w:t>
      </w:r>
      <w:r w:rsidDel="00000000" w:rsidR="00000000" w:rsidRPr="00000000">
        <w:rPr>
          <w:rtl w:val="0"/>
        </w:rPr>
        <w:t xml:space="preserve">: la evidencia niega, critica, rechaza o refuta esa proposición.</w:t>
      </w:r>
    </w:p>
    <w:p w:rsidR="00000000" w:rsidDel="00000000" w:rsidP="00000000" w:rsidRDefault="00000000" w:rsidRPr="00000000" w14:paraId="00000209">
      <w:pPr>
        <w:rPr/>
      </w:pPr>
      <w:r w:rsidDel="00000000" w:rsidR="00000000" w:rsidRPr="00000000">
        <w:rPr>
          <w:rtl w:val="0"/>
        </w:rPr>
        <w:t xml:space="preserve">Conserva el alcance de negaciones, condicionales y citas atribuidas. No deduzcas la orientación desde el voto a favor o en contra de un proyecto. Una crítica al gobierno o a una institución tampoco fija por sí sola la orientación.</w:t>
      </w:r>
    </w:p>
    <w:p w:rsidR="00000000" w:rsidDel="00000000" w:rsidP="00000000" w:rsidRDefault="00000000" w:rsidRPr="00000000" w14:paraId="0000020A">
      <w:pPr>
        <w:rPr/>
      </w:pPr>
      <w:r w:rsidDel="00000000" w:rsidR="00000000" w:rsidRPr="00000000">
        <w:rPr>
          <w:rtl w:val="0"/>
        </w:rPr>
        <w:t xml:space="preserve">JUSTIFICACIÓN BREVE</w:t>
      </w:r>
    </w:p>
    <w:p w:rsidR="00000000" w:rsidDel="00000000" w:rsidP="00000000" w:rsidRDefault="00000000" w:rsidRPr="00000000" w14:paraId="0000020B">
      <w:pPr>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justification</w:t>
      </w:r>
      <w:r w:rsidDel="00000000" w:rsidR="00000000" w:rsidRPr="00000000">
        <w:rPr>
          <w:rtl w:val="0"/>
        </w:rPr>
        <w:t xml:space="preserve"> escribe una o dos oraciones breves. Explica conjuntamente:</w:t>
      </w:r>
    </w:p>
    <w:p w:rsidR="00000000" w:rsidDel="00000000" w:rsidP="00000000" w:rsidRDefault="00000000" w:rsidRPr="00000000" w14:paraId="0000020C">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qué razón normativa expresa la evidencia y por qué cumple la definición o una regla de inclusión del concepto;</w:t>
      </w:r>
    </w:p>
    <w:p w:rsidR="00000000" w:rsidDel="00000000" w:rsidP="00000000" w:rsidRDefault="00000000" w:rsidRPr="00000000" w14:paraId="0000020D">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 qué esa evidencia apoya u opone el </w:t>
      </w:r>
      <w:r w:rsidDel="00000000" w:rsidR="00000000" w:rsidRPr="00000000">
        <w:rPr>
          <w:rFonts w:ascii="Roboto Mono" w:cs="Roboto Mono" w:eastAsia="Roboto Mono" w:hAnsi="Roboto Mono"/>
          <w:color w:val="188038"/>
          <w:rtl w:val="0"/>
        </w:rPr>
        <w:t xml:space="preserve">orientation_anchor</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No repitas la cita completa, no enumeres alternativas descartadas, no cites índices del libro y no incluyas razonamiento paso a paso.</w:t>
      </w:r>
    </w:p>
    <w:p w:rsidR="00000000" w:rsidDel="00000000" w:rsidP="00000000" w:rsidRDefault="00000000" w:rsidRPr="00000000" w14:paraId="0000020F">
      <w:pPr>
        <w:rPr/>
      </w:pPr>
      <w:r w:rsidDel="00000000" w:rsidR="00000000" w:rsidRPr="00000000">
        <w:rPr>
          <w:rtl w:val="0"/>
        </w:rPr>
        <w:t xml:space="preserve">CONFIANZA</w:t>
      </w:r>
    </w:p>
    <w:p w:rsidR="00000000" w:rsidDel="00000000" w:rsidP="00000000" w:rsidRDefault="00000000" w:rsidRPr="00000000" w14:paraId="00000210">
      <w:pPr>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Son niveles ordinales de confianza percibida, no probabilidades.</w:t>
      </w:r>
    </w:p>
    <w:p w:rsidR="00000000" w:rsidDel="00000000" w:rsidP="00000000" w:rsidRDefault="00000000" w:rsidRPr="00000000" w14:paraId="00000211">
      <w:pPr>
        <w:rPr/>
      </w:pPr>
      <w:r w:rsidDel="00000000" w:rsidR="00000000" w:rsidRPr="00000000">
        <w:rPr>
          <w:rtl w:val="0"/>
        </w:rPr>
        <w:t xml:space="preserve">Para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considera conjuntamente que la evidencia sea una justificación normativa, el código, la orientación y la suficiencia del span:</w:t>
      </w:r>
    </w:p>
    <w:p w:rsidR="00000000" w:rsidDel="00000000" w:rsidP="00000000" w:rsidRDefault="00000000" w:rsidRPr="00000000" w14:paraId="00000212">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la asignación está directamente respaldada por el texto y el libro;</w:t>
      </w:r>
    </w:p>
    <w:p w:rsidR="00000000" w:rsidDel="00000000" w:rsidP="00000000" w:rsidRDefault="00000000" w:rsidRPr="00000000" w14:paraId="00000213">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existe una lectura preferible, pero persiste una duda acotada;</w:t>
      </w:r>
    </w:p>
    <w:p w:rsidR="00000000" w:rsidDel="00000000" w:rsidP="00000000" w:rsidRDefault="00000000" w:rsidRPr="00000000" w14:paraId="00000214">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falta contexto necesario o dos lecturas sustantivas siguen siendo comparables.</w:t>
      </w:r>
    </w:p>
    <w:p w:rsidR="00000000" w:rsidDel="00000000" w:rsidP="00000000" w:rsidRDefault="00000000" w:rsidRPr="00000000" w14:paraId="00000215">
      <w:pPr>
        <w:rPr/>
      </w:pPr>
      <w:r w:rsidDel="00000000" w:rsidR="00000000" w:rsidRPr="00000000">
        <w:rPr>
          <w:rFonts w:ascii="Roboto Mono" w:cs="Roboto Mono" w:eastAsia="Roboto Mono" w:hAnsi="Roboto Mono"/>
          <w:color w:val="188038"/>
          <w:rtl w:val="0"/>
        </w:rPr>
        <w:t xml:space="preserve">decision_confidence</w:t>
      </w:r>
      <w:r w:rsidDel="00000000" w:rsidR="00000000" w:rsidRPr="00000000">
        <w:rPr>
          <w:rtl w:val="0"/>
        </w:rPr>
        <w:t xml:space="preserve"> expresa la confianza en que el bloque contiene al menos una declaración cubierta por el libro o no contiene ninguna. No la calcules como promedio de las anotaciones. Un bloque sin códigos puede tener confianza alta si la ausencia de razones codificables es clara.</w:t>
      </w:r>
    </w:p>
    <w:p w:rsidR="00000000" w:rsidDel="00000000" w:rsidP="00000000" w:rsidRDefault="00000000" w:rsidRPr="00000000" w14:paraId="00000216">
      <w:pPr>
        <w:rPr/>
      </w:pPr>
      <w:r w:rsidDel="00000000" w:rsidR="00000000" w:rsidRPr="00000000">
        <w:rPr>
          <w:rtl w:val="0"/>
        </w:rPr>
        <w:t xml:space="preserve">FLAGS DE CALIDAD</w:t>
      </w:r>
    </w:p>
    <w:p w:rsidR="00000000" w:rsidDel="00000000" w:rsidP="00000000" w:rsidRDefault="00000000" w:rsidRPr="00000000" w14:paraId="00000217">
      <w:pPr>
        <w:rPr/>
      </w:pPr>
      <w:r w:rsidDel="00000000" w:rsidR="00000000" w:rsidRPr="00000000">
        <w:rPr>
          <w:rtl w:val="0"/>
        </w:rPr>
        <w:t xml:space="preserve">Usa únicamente estas flags, sin duplicarlas:</w:t>
      </w:r>
    </w:p>
    <w:p w:rsidR="00000000" w:rsidDel="00000000" w:rsidP="00000000" w:rsidRDefault="00000000" w:rsidRPr="00000000" w14:paraId="00000218">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vote</w:t>
      </w:r>
      <w:r w:rsidDel="00000000" w:rsidR="00000000" w:rsidRPr="00000000">
        <w:rPr>
          <w:rtl w:val="0"/>
        </w:rPr>
        <w:t xml:space="preserve">: el objetivo contiene una votación, un voto o una justificación de voto;</w:t>
      </w:r>
    </w:p>
    <w:p w:rsidR="00000000" w:rsidDel="00000000" w:rsidP="00000000" w:rsidRDefault="00000000" w:rsidRPr="00000000" w14:paraId="00000219">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procedural</w:t>
      </w:r>
      <w:r w:rsidDel="00000000" w:rsidR="00000000" w:rsidRPr="00000000">
        <w:rPr>
          <w:rtl w:val="0"/>
        </w:rPr>
        <w:t xml:space="preserve">: predomina la tramitación, el informe, el orden o la formalidad y no hay una razón sustantiva codificable;</w:t>
      </w:r>
    </w:p>
    <w:p w:rsidR="00000000" w:rsidDel="00000000" w:rsidP="00000000" w:rsidRDefault="00000000" w:rsidRPr="00000000" w14:paraId="0000021A">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too_short</w:t>
      </w:r>
      <w:r w:rsidDel="00000000" w:rsidR="00000000" w:rsidRPr="00000000">
        <w:rPr>
          <w:rtl w:val="0"/>
        </w:rPr>
        <w:t xml:space="preserve">: el fragmento es demasiado breve para decidir con fiabilidad;</w:t>
      </w:r>
    </w:p>
    <w:p w:rsidR="00000000" w:rsidDel="00000000" w:rsidP="00000000" w:rsidRDefault="00000000" w:rsidRPr="00000000" w14:paraId="0000021B">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truncated</w:t>
      </w:r>
      <w:r w:rsidDel="00000000" w:rsidR="00000000" w:rsidRPr="00000000">
        <w:rPr>
          <w:rtl w:val="0"/>
        </w:rPr>
        <w:t xml:space="preserve">: el texto comienza o termina de manera visiblemente incompleta;</w:t>
      </w:r>
    </w:p>
    <w:p w:rsidR="00000000" w:rsidDel="00000000" w:rsidP="00000000" w:rsidRDefault="00000000" w:rsidRPr="00000000" w14:paraId="0000021C">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insufficient_context</w:t>
      </w:r>
      <w:r w:rsidDel="00000000" w:rsidR="00000000" w:rsidRPr="00000000">
        <w:rPr>
          <w:rtl w:val="0"/>
        </w:rPr>
        <w:t xml:space="preserve">: una referencia, negación, sujeto u orientación depende de contexto ausente o insuficiente;</w:t>
      </w:r>
    </w:p>
    <w:p w:rsidR="00000000" w:rsidDel="00000000" w:rsidP="00000000" w:rsidRDefault="00000000" w:rsidRPr="00000000" w14:paraId="0000021D">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segmentation_problem</w:t>
      </w:r>
      <w:r w:rsidDel="00000000" w:rsidR="00000000" w:rsidRPr="00000000">
        <w:rPr>
          <w:rtl w:val="0"/>
        </w:rPr>
        <w:t xml:space="preserve">: la frontera del bloque mezcla intervenciones o corta una unidad de sentido de modo que afecta la codificación.</w:t>
      </w:r>
    </w:p>
    <w:p w:rsidR="00000000" w:rsidDel="00000000" w:rsidP="00000000" w:rsidRDefault="00000000" w:rsidRPr="00000000" w14:paraId="0000021E">
      <w:pPr>
        <w:rPr/>
      </w:pPr>
      <w:r w:rsidDel="00000000" w:rsidR="00000000" w:rsidRPr="00000000">
        <w:rPr>
          <w:rtl w:val="0"/>
        </w:rPr>
        <w:t xml:space="preserve">No marques </w:t>
      </w:r>
      <w:r w:rsidDel="00000000" w:rsidR="00000000" w:rsidRPr="00000000">
        <w:rPr>
          <w:rFonts w:ascii="Roboto Mono" w:cs="Roboto Mono" w:eastAsia="Roboto Mono" w:hAnsi="Roboto Mono"/>
          <w:color w:val="188038"/>
          <w:rtl w:val="0"/>
        </w:rPr>
        <w:t xml:space="preserve">insufficient_context</w:t>
      </w:r>
      <w:r w:rsidDel="00000000" w:rsidR="00000000" w:rsidRPr="00000000">
        <w:rPr>
          <w:rtl w:val="0"/>
        </w:rPr>
        <w:t xml:space="preserve"> si el objetivo sigue siendo autosuficiente. La ausencia de códigos no prueba que el tema esté ausente del corpus.</w:t>
      </w:r>
    </w:p>
    <w:p w:rsidR="00000000" w:rsidDel="00000000" w:rsidP="00000000" w:rsidRDefault="00000000" w:rsidRPr="00000000" w14:paraId="0000021F">
      <w:pPr>
        <w:rPr/>
      </w:pPr>
      <w:r w:rsidDel="00000000" w:rsidR="00000000" w:rsidRPr="00000000">
        <w:rPr>
          <w:rtl w:val="0"/>
        </w:rPr>
        <w:t xml:space="preserve">DECISIÓN Y CONTRATO DE SALIDA</w:t>
      </w:r>
    </w:p>
    <w:p w:rsidR="00000000" w:rsidDel="00000000" w:rsidP="00000000" w:rsidRDefault="00000000" w:rsidRPr="00000000" w14:paraId="00000220">
      <w:pPr>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decision="statements"</w:t>
      </w:r>
      <w:r w:rsidDel="00000000" w:rsidR="00000000" w:rsidRPr="00000000">
        <w:rPr>
          <w:rtl w:val="0"/>
        </w:rPr>
        <w:t xml:space="preserve"> si hay al menos una anotación válida. Usa </w:t>
      </w:r>
      <w:r w:rsidDel="00000000" w:rsidR="00000000" w:rsidRPr="00000000">
        <w:rPr>
          <w:rFonts w:ascii="Roboto Mono" w:cs="Roboto Mono" w:eastAsia="Roboto Mono" w:hAnsi="Roboto Mono"/>
          <w:color w:val="188038"/>
          <w:rtl w:val="0"/>
        </w:rPr>
        <w:t xml:space="preserve">decision="no_statements"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annotations=[]</w:t>
      </w:r>
      <w:r w:rsidDel="00000000" w:rsidR="00000000" w:rsidRPr="00000000">
        <w:rPr>
          <w:rtl w:val="0"/>
        </w:rPr>
        <w:t xml:space="preserve"> si el objetivo no contiene ninguna justificación normativa cubierta por el libro.</w:t>
      </w:r>
    </w:p>
    <w:p w:rsidR="00000000" w:rsidDel="00000000" w:rsidP="00000000" w:rsidRDefault="00000000" w:rsidRPr="00000000" w14:paraId="00000221">
      <w:pPr>
        <w:rPr/>
      </w:pPr>
      <w:r w:rsidDel="00000000" w:rsidR="00000000" w:rsidRPr="00000000">
        <w:rPr>
          <w:rtl w:val="0"/>
        </w:rPr>
        <w:t xml:space="preserve">Entrega únicamente un objeto JSON válido, sin Markdown, comentarios, preámbulo, conclusión ni claves adicionales. Respeta exactamente el esquema recibido:</w:t>
      </w:r>
    </w:p>
    <w:p w:rsidR="00000000" w:rsidDel="00000000" w:rsidP="00000000" w:rsidRDefault="00000000" w:rsidRPr="00000000" w14:paraId="00000222">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raíz contiene solo </w:t>
      </w: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annotations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quality_flags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decision_confidence</w:t>
      </w:r>
      <w:r w:rsidDel="00000000" w:rsidR="00000000" w:rsidRPr="00000000">
        <w:rPr>
          <w:rtl w:val="0"/>
        </w:rPr>
        <w:t xml:space="preserve">.</w:t>
      </w:r>
    </w:p>
    <w:p w:rsidR="00000000" w:rsidDel="00000000" w:rsidP="00000000" w:rsidRDefault="00000000" w:rsidRPr="00000000" w14:paraId="00000223">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 anotación contiene solo </w:t>
      </w:r>
      <w:r w:rsidDel="00000000" w:rsidR="00000000" w:rsidRPr="00000000">
        <w:rPr>
          <w:rFonts w:ascii="Roboto Mono" w:cs="Roboto Mono" w:eastAsia="Roboto Mono" w:hAnsi="Roboto Mono"/>
          <w:color w:val="188038"/>
          <w:rtl w:val="0"/>
        </w:rPr>
        <w:t xml:space="preserve">evidence_text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evidence_occurrence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justification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w:t>
      </w:r>
    </w:p>
    <w:p w:rsidR="00000000" w:rsidDel="00000000" w:rsidP="00000000" w:rsidRDefault="00000000" w:rsidRPr="00000000" w14:paraId="00000224">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concept_id</w:t>
      </w:r>
      <w:r w:rsidDel="00000000" w:rsidR="00000000" w:rsidRPr="00000000">
        <w:rPr>
          <w:rtl w:val="0"/>
        </w:rPr>
        <w:t xml:space="preserve"> debe ser un ID existente del libro.</w:t>
      </w:r>
    </w:p>
    <w:p w:rsidR="00000000" w:rsidDel="00000000" w:rsidP="00000000" w:rsidRDefault="00000000" w:rsidRPr="00000000" w14:paraId="00000225">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decision="no_statements"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annotations</w:t>
      </w:r>
      <w:r w:rsidDel="00000000" w:rsidR="00000000" w:rsidRPr="00000000">
        <w:rPr>
          <w:rtl w:val="0"/>
        </w:rPr>
        <w:t xml:space="preserve"> debe ser exactamente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26">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incluyas offsets, IDs de anotación, conceptos propuestos, notas generales, campos de revisión humana, probabilidades ni cadenas de pensamiento. El programa calcula offsets, asigna IDs y decide qué casos remitir a revisión.</w:t>
      </w:r>
    </w:p>
    <w:p w:rsidR="00000000" w:rsidDel="00000000" w:rsidP="00000000" w:rsidRDefault="00000000" w:rsidRPr="00000000" w14:paraId="00000227">
      <w:pPr>
        <w:rPr/>
      </w:pPr>
      <w:r w:rsidDel="00000000" w:rsidR="00000000" w:rsidRPr="00000000">
        <w:rPr>
          <w:rtl w:val="0"/>
        </w:rPr>
      </w:r>
    </w:p>
    <w:sectPr>
      <w:headerReference r:id="rId16" w:type="defaul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En los documentos AKN del corpus, la estructura XML permite distinguir intervenciones, hablantes y secciones del debate.</w:t>
      </w:r>
    </w:p>
  </w:footnote>
  <w:footnote w:id="1">
    <w:p w:rsidR="00000000" w:rsidDel="00000000" w:rsidP="00000000" w:rsidRDefault="00000000" w:rsidRPr="00000000" w14:paraId="0000022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Esta recuperación se aplicó a la discusión del tercer trámite de la Ley N.º 21.735, del 29 de enero de 2025. </w:t>
      </w:r>
    </w:p>
  </w:footnote>
  <w:footnote w:id="2">
    <w:p w:rsidR="00000000" w:rsidDel="00000000" w:rsidP="00000000" w:rsidRDefault="00000000" w:rsidRPr="00000000" w14:paraId="0000022D">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segmentación parte de los párrafos delimitados por saltos de línea. Los que superan 150 palabras se dividen por oraciones y, si es necesario, por límites entre palabras. Los segmentos breves se agrupan dentro de la misma intervención, con un objetivo de 100 palabras y un máximo inicial de 150. Después, los fragmentos de menos de 50 palabras se unen al vecino más corto; en caso de empate, al anterior. Esta fusión puede superar el máximo inicial. Se conservan las intervenciones completas de entre 5 y 49 palabras y se excluyen las de menos de 5. Cada fragmento mantiene su orden y las posiciones de sus componentes en el texto original. Los fragmentos anterior y siguiente del mismo documento se presentan como contexto, incluso cuando pertenecen a otra intervención. La evidencia codificada debe proceder del fragmento objetivo. La intervención constituye la unidad documental; el fragmento, la entrada de codificación; y la declaración, la unidad analítica del DNA.</w:t>
      </w:r>
    </w:p>
    <w:p w:rsidR="00000000" w:rsidDel="00000000" w:rsidP="00000000" w:rsidRDefault="00000000" w:rsidRPr="00000000" w14:paraId="0000022E">
      <w:pPr>
        <w:spacing w:before="0" w:line="240" w:lineRule="auto"/>
        <w:rPr>
          <w:sz w:val="20"/>
          <w:szCs w:val="20"/>
        </w:rPr>
      </w:pPr>
      <w:r w:rsidDel="00000000" w:rsidR="00000000" w:rsidRPr="00000000">
        <w:rPr>
          <w:rtl w:val="0"/>
        </w:rPr>
      </w:r>
    </w:p>
  </w:footnote>
  <w:footnote w:id="3">
    <w:p w:rsidR="00000000" w:rsidDel="00000000" w:rsidP="00000000" w:rsidRDefault="00000000" w:rsidRPr="00000000" w14:paraId="0000022F">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 considerará como de centroizquierda a los partidos ex-concertacionistas (Partido Por la Democracia, Partido Radical, Partido Socialista de Chile y Partido Demócrata Cristiano) y al Partido Liberal de Chile.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lineRule="auto"/>
    </w:pPr>
    <w:rPr>
      <w:b w:val="1"/>
      <w:bCs w:val="1"/>
      <w:sz w:val="26"/>
      <w:szCs w:val="26"/>
    </w:rPr>
  </w:style>
  <w:style w:type="paragraph" w:styleId="Heading4">
    <w:name w:val="heading 4"/>
    <w:basedOn w:val="Normal"/>
    <w:next w:val="Normal"/>
    <w:pPr>
      <w:keepNext w:val="1"/>
      <w:keepLines w:val="1"/>
      <w:spacing w:after="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ismaelaguayob/bcn-scraper" TargetMode="External"/><Relationship Id="rId10" Type="http://schemas.openxmlformats.org/officeDocument/2006/relationships/hyperlink" Target="https://www.bcn.cl/leychile/navegar?idNorma=1188263"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bcn.cl/leychile/navegar?idNorma=1171923" TargetMode="External"/><Relationship Id="rId15" Type="http://schemas.openxmlformats.org/officeDocument/2006/relationships/hyperlink" Target="https://drive.google.com/file/d/1-9Bvil-coVsMPeXySK8YQeBqLWXRXXEb/view?usp=sharing" TargetMode="Externa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