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  <w:jc w:val="left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false"/>
          <w:b w:val="true"/>
          <w:u w:val="none"/>
          <w:strike w:val="false"/>
          <w:sz w:val="24"/>
          <w:szCs w:val="24"/>
          <w:color w:val="000000"/>
        </w:rPr>
        <w:t xml:space="preserve">Tabla S1</w:t>
      </w:r>
    </w:p>
    <w:p>
      <w:pPr>
        <w:pStyle w:val="Normal"/>
        <w:jc w:val="left"/>
        <w:keepNext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Times New Roman" w:hAnsi="Times New Roman" w:eastAsia="Times New Roman" w:cs="Times New Roman"/>
          <w:i w:val="true"/>
          <w:b w:val="false"/>
          <w:u w:val="none"/>
          <w:strike w:val="false"/>
          <w:sz w:val="24"/>
          <w:szCs w:val="24"/>
          <w:color w:val="000000"/>
        </w:rPr>
        <w:t xml:space="preserve">Concordancia entre la referencia humana y los modelos por concepto</w:t>
      </w:r>
    </w:p>
    <w:tbl xmlns:a="http://schemas.openxmlformats.org/drawingml/2006/main" xmlns:pic="http://schemas.openxmlformats.org/drawingml/2006/picture">
      <w:tblPr>
        <w:tblLayout w:type="fixed"/>
        <w:jc w:val="center"/>
        <w:tblLook w:firstRow="1" w:lastRow="0" w:firstColumn="0" w:lastColumn="0" w:noHBand="0" w:noVBand="1"/>
      </w:tblPr>
      <w:tblGrid>
        <w:gridCol w:w="2992"/>
        <w:gridCol w:w="400"/>
        <w:gridCol w:w="580"/>
        <w:gridCol w:w="580"/>
        <w:gridCol w:w="580"/>
        <w:gridCol w:w="580"/>
        <w:gridCol w:w="1907"/>
        <w:gridCol w:w="2067"/>
        <w:gridCol w:w="954"/>
        <w:gridCol w:w="740"/>
      </w:tblGrid>
      <w:tr>
        <w:trPr>
          <w:cantSplit/>
          <w:trHeight w:val="587" w:hRule="auto"/>
          <w:tblHeader/>
        </w:trPr>
        <w:tc>
          <w:tcPr>
            <w:tcBorders>
              <w:bottom w:val="single" w:sz="12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Concepto</w:t>
            </w:r>
          </w:p>
        </w:tc>
        <w:tc>
          <w:tcPr>
            <w:tcBorders>
              <w:bottom w:val="single" w:sz="12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n</w:t>
            </w:r>
          </w:p>
        </w:tc>
        <w:tc>
          <w:tcPr>
            <w:tcBorders>
              <w:bottom w:val="single" w:sz="12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P</w:t>
            </w:r>
          </w:p>
        </w:tc>
        <w:tc>
          <w:tcPr>
            <w:tcBorders>
              <w:bottom w:val="single" w:sz="12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S</w:t>
            </w:r>
          </w:p>
        </w:tc>
        <w:tc>
          <w:tcPr>
            <w:tcBorders>
              <w:bottom w:val="single" w:sz="12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F1</w:t>
            </w:r>
          </w:p>
        </w:tc>
        <w:tc>
          <w:tcPr>
            <w:tcBorders>
              <w:bottom w:val="single" w:sz="12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κ</w:t>
            </w:r>
          </w:p>
        </w:tc>
        <w:tc>
          <w:tcPr>
            <w:tcBorders>
              <w:bottom w:val="single" w:sz="12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α H–L [IC 95 %]</w:t>
            </w:r>
          </w:p>
        </w:tc>
        <w:tc>
          <w:tcPr>
            <w:tcBorders>
              <w:bottom w:val="single" w:sz="12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α H–Hk [IC 95 %]</w:t>
            </w:r>
          </w:p>
        </w:tc>
        <w:tc>
          <w:tcPr>
            <w:tcBorders>
              <w:bottom w:val="single" w:sz="12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α L–Hk</w:t>
            </w:r>
          </w:p>
        </w:tc>
        <w:tc>
          <w:tcPr>
            <w:tcBorders>
              <w:bottom w:val="single" w:sz="12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true"/>
                <w:u w:val="none"/>
                <w:strike w:val="false"/>
                <w:sz w:val="24"/>
                <w:szCs w:val="24"/>
                <w:color w:val="000000"/>
              </w:rPr>
              <w:t xml:space="preserve">α tres</w:t>
            </w:r>
          </w:p>
        </w:tc>
      </w:tr>
      <w:tr>
        <w:trPr>
          <w:cantSplit/>
          <w:trHeight w:val="552" w:hRule="auto"/>
        </w:trPr>
        <w:tc>
          <w:tcPr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Mercado</w:t>
            </w:r>
          </w:p>
        </w:tc>
        <w:tc>
          <w:tcPr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65</w:t>
            </w:r>
          </w:p>
        </w:tc>
        <w:tc>
          <w:tcPr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0,81</w:t>
            </w:r>
          </w:p>
        </w:tc>
        <w:tc>
          <w:tcPr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0,71</w:t>
            </w:r>
          </w:p>
        </w:tc>
        <w:tc>
          <w:tcPr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0,75</w:t>
            </w:r>
          </w:p>
        </w:tc>
        <w:tc>
          <w:tcPr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0,70</w:t>
            </w:r>
          </w:p>
        </w:tc>
        <w:tc>
          <w:tcPr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0,70 [0,60–0,80]</w:t>
            </w:r>
          </w:p>
        </w:tc>
        <w:tc>
          <w:tcPr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0,76 [0,67–0,84]</w:t>
            </w:r>
          </w:p>
        </w:tc>
        <w:tc>
          <w:tcPr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0,80</w:t>
            </w:r>
          </w:p>
        </w:tc>
        <w:tc>
          <w:tcPr>
            <w:tcBorders>
              <w:bottom w:val="none" w:sz="0" w:space="0" w:color="000000"/>
              <w:top w:val="single" w:sz="12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0,76</w:t>
            </w:r>
          </w:p>
        </w:tc>
      </w:tr>
      <w:tr>
        <w:trPr>
          <w:cantSplit/>
          <w:trHeight w:val="55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Necesidad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0,60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0,89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0,72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0,67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0,66 [0,55–0,76]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0,55 [0,43–0,66]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0,85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0,70</w:t>
            </w:r>
          </w:p>
        </w:tc>
      </w:tr>
      <w:tr>
        <w:trPr>
          <w:cantSplit/>
          <w:trHeight w:val="55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Acuerdos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0,76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0,78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0,77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0,74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0,74 [0,62–0,84]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0,73 [0,62–0,83]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0,81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0,76</w:t>
            </w:r>
          </w:p>
        </w:tc>
      </w:tr>
      <w:tr>
        <w:trPr>
          <w:cantSplit/>
          <w:trHeight w:val="55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Capitalización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42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0,93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0,62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0,74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0,72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0,72 [0,58–0,83]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0,69 [0,56–0,80]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0,64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0,68</w:t>
            </w:r>
          </w:p>
        </w:tc>
      </w:tr>
      <w:tr>
        <w:trPr>
          <w:cantSplit/>
          <w:trHeight w:val="55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Reciprocidad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0,69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0,75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0,72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0,69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0,69 [0,55–0,81]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0,73 [0,60–0,84]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0,86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0,76</w:t>
            </w:r>
          </w:p>
        </w:tc>
      </w:tr>
      <w:tr>
        <w:trPr>
          <w:cantSplit/>
          <w:trHeight w:val="55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Igualdad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0,58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0,58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0,58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0,54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0,54 [0,38–0,67]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0,70 [0,56–0,82]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0,76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0,66</w:t>
            </w:r>
          </w:p>
        </w:tc>
      </w:tr>
      <w:tr>
        <w:trPr>
          <w:cantSplit/>
          <w:trHeight w:val="55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Ineficiencia estatal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0,88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0,62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0,72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0,70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0,70 [0,54–0,83]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0,73 [0,59–0,85]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0,85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0,76</w:t>
            </w:r>
          </w:p>
        </w:tc>
      </w:tr>
      <w:tr>
        <w:trPr>
          <w:cantSplit/>
          <w:trHeight w:val="55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Propiedad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30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0,76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0,93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0,84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0,82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0,82 [0,70–0,91]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0,80 [0,68–0,89]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0,86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0,83</w:t>
            </w:r>
          </w:p>
        </w:tc>
      </w:tr>
      <w:tr>
        <w:trPr>
          <w:cantSplit/>
          <w:trHeight w:val="55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Solidaridad colectiva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0,70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0,54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0,61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0,58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0,58 [0,38–0,74]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0,64 [0,46–0,79]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0,74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0,65</w:t>
            </w:r>
          </w:p>
        </w:tc>
      </w:tr>
      <w:tr>
        <w:trPr>
          <w:cantSplit/>
          <w:trHeight w:val="55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Costos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0,65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0,68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0,67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0,64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0,64 [0,46–0,79]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0,52 [0,35–0,68]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0,78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0,65</w:t>
            </w:r>
          </w:p>
        </w:tc>
      </w:tr>
      <w:tr>
        <w:trPr>
          <w:cantSplit/>
          <w:trHeight w:val="55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Ilegitimidad dictatorial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24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1,00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0,79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0,88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0,88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0,88 [0,75–0,97]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0,90 [0,79–0,98]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0,92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0,90</w:t>
            </w:r>
          </w:p>
        </w:tc>
      </w:tr>
      <w:tr>
        <w:trPr>
          <w:cantSplit/>
          <w:trHeight w:val="55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Libertad de elección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0,76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0,84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0,80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0,79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0,79 [0,63–0,92]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0,78 [0,61–0,90]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0,93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0,83</w:t>
            </w:r>
          </w:p>
        </w:tc>
      </w:tr>
      <w:tr>
        <w:trPr>
          <w:cantSplit/>
          <w:trHeight w:val="55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Identidad*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0,44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0,61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0,51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0,48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0,48 [0,27–0,66]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0,49 [0,26–0,68]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0,70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0,56</w:t>
            </w:r>
          </w:p>
        </w:tc>
      </w:tr>
      <w:tr>
        <w:trPr>
          <w:cantSplit/>
          <w:trHeight w:val="552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Control*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0,50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0,43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0,46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0,44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0,44 [0,17–0,66]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0,48 [0,19–0,71]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0,91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0,60</w:t>
            </w:r>
          </w:p>
        </w:tc>
      </w:tr>
      <w:tr>
        <w:trPr>
          <w:cantSplit/>
          <w:trHeight w:val="572" w:hRule="auto"/>
        </w:trPr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Solidaridad intergeneracional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12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0,53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0,75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0,62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0,61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0,61 [0,36–0,80]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0,61 [0,36–0,80]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0,82</w:t>
            </w:r>
          </w:p>
        </w:tc>
        <w:tc>
          <w:tcPr>
            <w:tcBorders>
              <w:bottom w:val="single" w:sz="16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0,68</w:t>
            </w:r>
          </w:p>
        </w:tc>
      </w:tr>
      <w:tr>
        <w:trPr>
          <w:cantSplit/>
          <w:trHeight w:val="360" w:hRule="auto"/>
        </w:trPr>
        <w:tc>
          <w:tcPr>
            <w:gridSpan w:val="10"/>
            <w:tcBorders>
              <w:bottom w:val="single" w:sz="16" w:space="0" w:color="000000"/>
              <w:top w:val="single" w:sz="16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60" w:right="60" w:firstLine="0" w:firstLineChars="0"/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</w:pPr>
            <w:r>
              <w:rPr>
                <w:rFonts w:ascii="Times New Roman" w:hAnsi="Times New Roman" w:eastAsia="Times New Roman" w:cs="Times New Roman"/>
                <w:i w:val="tru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Nota.</w:t>
            </w:r>
            <w:r>
              <w:rPr>
                <w:rFonts w:ascii="Times New Roman" w:hAnsi="Times New Roman" w:eastAsia="Times New Roman" w:cs="Times New Roman"/>
                <w:i w:val="false"/>
                <w:b w:val="false"/>
                <w:u w:val="none"/>
                <w:strike w:val="false"/>
                <w:sz w:val="24"/>
                <w:szCs w:val="24"/>
                <w:color w:val="000000"/>
              </w:rPr>
              <w:t xml:space="preserve"> n: bloques con el concepto en la referencia (359 evaluados). P, S, F1 y κ (Cohen): par humano–Luna. H: humano; L: Luna-6; Hk: Haiku 5.5; tres: los tres codificadores. IC 95 %: remuestreo de bloques (10.000). * Excluido: todo su intervalo con Luna queda bajo 0,667. Actitud no aparece porque la referencia no lo asigna. Nombres abreviados.</w:t>
            </w:r>
          </w:p>
        </w:tc>
      </w:tr>
    </w:tbl>
    <w:sectPr>
      <w:pgMar w:header="708" w:bottom="648" w:top="648" w:right="1008" w:left="1008" w:footer="708" w:gutter="0"/>
      <w:pgSz w:h="11906" w:w="16838" w:orient="landscape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ismaelaguayob</cp:lastModifiedBy>
  <cp:revision>9</cp:revision>
  <dcterms:created xsi:type="dcterms:W3CDTF">2017-02-28T11:18:00Z</dcterms:created>
  <dcterms:modified xsi:type="dcterms:W3CDTF">2026-10-15T20:31:40Z</dcterms:modified>
  <cp:category/>
</cp:coreProperties>
</file>