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1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Intervenciones incluidas y descartadas por ley y trámite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56"/>
        <w:gridCol w:w="1728"/>
        <w:gridCol w:w="1080"/>
        <w:gridCol w:w="2232"/>
        <w:gridCol w:w="2232"/>
      </w:tblGrid>
      <w:tr>
        <w:trPr>
          <w:cantSplit/>
          <w:trHeight w:val="587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Ley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Trámite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Descartadas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Sustantivas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21.419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Primero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Segundo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55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Tercero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Primero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Segundo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Primero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Segundo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</w:t>
            </w:r>
          </w:p>
        </w:tc>
      </w:tr>
      <w:tr>
        <w:trPr>
          <w:cantSplit/>
          <w:trHeight w:val="572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Ley 21.735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Tercero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139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Se descartan las intervenciones compuestas solo por bloques de votación o procedimiento, o ambos. Sustantivas = intervenciones con al menos un bloque sustantivo.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2026-10-15T15:15:49Z</dcterms:modified>
  <cp:category/>
</cp:coreProperties>
</file>