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2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Posturas sobre cada concepto por ley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64"/>
        <w:gridCol w:w="3168"/>
        <w:gridCol w:w="3168"/>
        <w:gridCol w:w="3168"/>
      </w:tblGrid>
      <w:tr>
        <w:trPr>
          <w:cantSplit/>
          <w:trHeight w:val="74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Ley 21.419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Ley 21.538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Ley 21.735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+ 3 (27.3%)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− 8 (72.7%)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+ 44 (51.8%)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− 41 (48.2%)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Propiedad de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+ 3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+ 81 (91.0%)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− 8 (9.0%)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+ 20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+ 11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+ 95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Control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 (50.0%)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 (33.3%)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− 4 (66.7%)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Actitud del beneficiario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+ 0 (0.0%)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(100.0%)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Identidad grupal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+ 8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+ 10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+ 52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+ 57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+ 25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+ 128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+ 36 (94.7%)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− 2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+ 27 (96.4%)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+ 84 (98.8%)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(1.2%)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+ 14 (43.8%)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− 18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+ 3 (50.0%)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− 3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+ 50 (68.5%)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− 23 (31.5%)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+ 14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+ 24 (88.9%)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− 3 (11.1%)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+ 15 (53.6%)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− 13 (46.4%)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+ 41 (95.3%)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− 2 (4.7%)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+ 45 (57.7%)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− 33 (42.3%)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+ 13 (65.0%)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− 7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+ 3 (37.5%)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− 5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+ 86 (48.9%)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− 90 (51.1%)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 (50.0%)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+ 44 (97.8%)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(2.2%)</w:t>
            </w:r>
          </w:p>
        </w:tc>
      </w:tr>
      <w:tr>
        <w:trPr>
          <w:cantSplit/>
          <w:trHeight w:val="102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Acuerdos y moderación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+ 26 (96.3%)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(3.7%)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+ 6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+ 103 (88.8%)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− 13 (11.2%)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+ = apoyo; − = oposición; % = N/(N+ + N−). Negrita = tres N mayores por postura y ley, con empates.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2026-10-15T15:15:50Z</dcterms:modified>
  <cp:category/>
</cp:coreProperties>
</file>