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la referencia humana y los modelos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2"/>
        <w:gridCol w:w="400"/>
        <w:gridCol w:w="580"/>
        <w:gridCol w:w="580"/>
        <w:gridCol w:w="580"/>
        <w:gridCol w:w="580"/>
        <w:gridCol w:w="1907"/>
        <w:gridCol w:w="2067"/>
        <w:gridCol w:w="954"/>
        <w:gridCol w:w="740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κ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H–L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H–Hk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L–Hk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tres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Mercado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[0,60–0,80]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 [0,67–0,84]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Necesidad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 [0,55–0,76]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0,55 [0,43–0,66]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Acuerdos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 [0,62–0,84]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[0,62–0,83]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Capitalización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 [0,58–0,83]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[0,56–0,80]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Reciprocidad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[0,55–0,81]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[0,60–0,84]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 [0,38–0,67]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[0,56–0,82]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Ineficiencia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[0,54–0,83]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[0,59–0,85]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Propiedad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 [0,70–0,91]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 [0,68–0,89]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 [0,38–0,74]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0,52 [0,35–0,68]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Ilegitimidad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 [0,75–0,97]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 [0,79–0,98]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 [0,63–0,92]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 [0,61–0,90]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Identidad*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[0,27–0,66]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0,49 [0,26–0,68]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Control*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 [0,17–0,66]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[0,19–0,71]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[0,36–0,80]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[0,36–0,80]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360" w:hRule="auto"/>
        </w:trPr>
        <w:tc>
          <w:tcPr>
            <w:gridSpan w:val="10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n: bloques con el concepto en la referencia (359 evaluados). P, S, F1 y κ (Cohen): par humano–Luna. H: humano; L: Luna-6; Hk: Haiku 5.5; tres: los tres codificadores. IC 95 %: remuestreo de bloques (10.000). * Excluido: todo su intervalo con Luna queda bajo 0,667. Actitud no aparece porque la referencia no lo asigna. Nombres abreviados.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2026-10-15T15:15:35Z</dcterms:modified>
  <cp:category/>
</cp:coreProperties>
</file>